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7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 - supersedes ADR-002 v2.1 quota grouping content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v2.4.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ADR adopts the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model per QUA-004 and updates quota and capacity accounting to match Requirements Baseline v2.4.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v2.4 update — reservation-model gaps.</w:t>
      </w:r>
      <w:r>
        <w:t xml:space="preserve"> </w:t>
      </w:r>
      <w:r>
        <w:t xml:space="preserve">This revision folds the reviewed architecture-diagram gaps into the capacity-management decision:</w:t>
      </w:r>
      <w:r>
        <w:t xml:space="preserve"> </w:t>
      </w:r>
      <w:r>
        <w:rPr>
          <w:bCs/>
          <w:b/>
        </w:rPr>
        <w:t xml:space="preserve">reservation eligibility</w:t>
      </w:r>
      <w:r>
        <w:t xml:space="preserve"> </w:t>
      </w:r>
      <w:r>
        <w:t xml:space="preserve">now explicitly excludes Availability-Set VMs (</w:t>
      </w:r>
      <w:r>
        <w:rPr>
          <w:bCs/>
          <w:b/>
        </w:rPr>
        <w:t xml:space="preserve">CAP-020</w:t>
      </w:r>
      <w:r>
        <w:t xml:space="preserve">) and requires a deallocate/redeploy-to-AZ onboarding precondition (</w:t>
      </w:r>
      <w:r>
        <w:rPr>
          <w:bCs/>
          <w:b/>
        </w:rPr>
        <w:t xml:space="preserve">CAP-021</w:t>
      </w:r>
      <w:r>
        <w:t xml:space="preserve">); the managed estate is initialised as a</w:t>
      </w:r>
      <w:r>
        <w:t xml:space="preserve"> </w:t>
      </w:r>
      <w:r>
        <w:rPr>
          <w:bCs/>
          <w:b/>
        </w:rPr>
        <w:t xml:space="preserve">seed matrix of count-0 reservations</w:t>
      </w:r>
      <w:r>
        <w:t xml:space="preserve"> </w:t>
      </w:r>
      <w:r>
        <w:t xml:space="preserve">per eligible SKU×region×AZ under per-product-team budget governance (</w:t>
      </w:r>
      <w:r>
        <w:rPr>
          <w:bCs/>
          <w:b/>
        </w:rPr>
        <w:t xml:space="preserve">CAP-022</w:t>
      </w:r>
      <w:r>
        <w:t xml:space="preserve">, extending CAP-009), reconciled with</w:t>
      </w:r>
      <w:r>
        <w:t xml:space="preserve"> </w:t>
      </w:r>
      <w:r>
        <w:rPr>
          <w:bCs/>
          <w:b/>
        </w:rPr>
        <w:t xml:space="preserve">reactive SKU/AZ discovery</w:t>
      </w:r>
      <w:r>
        <w:t xml:space="preserve"> </w:t>
      </w:r>
      <w:r>
        <w:t xml:space="preserve">that auto-creates a reservation and simultaneously raises a scope-file governance item (</w:t>
      </w:r>
      <w:r>
        <w:rPr>
          <w:bCs/>
          <w:b/>
        </w:rPr>
        <w:t xml:space="preserve">CAP-024</w:t>
      </w:r>
      <w:r>
        <w:t xml:space="preserve">, reconciling CAP-019); reservations are organised into an explicit</w:t>
      </w:r>
      <w:r>
        <w:t xml:space="preserve"> </w:t>
      </w:r>
      <w:r>
        <w:rPr>
          <w:bCs/>
          <w:b/>
        </w:rPr>
        <w:t xml:space="preserve">regional + per-AZ CRG structure per environment</w:t>
      </w:r>
      <w:r>
        <w:t xml:space="preserve"> </w:t>
      </w:r>
      <w:r>
        <w:t xml:space="preserve">(</w:t>
      </w:r>
      <w:r>
        <w:rPr>
          <w:bCs/>
          <w:b/>
        </w:rPr>
        <w:t xml:space="preserve">CAP-023</w:t>
      </w:r>
      <w:r>
        <w:t xml:space="preserve">, extending CAP-011); VMs are placed toward an</w:t>
      </w:r>
      <w:r>
        <w:t xml:space="preserve"> </w:t>
      </w:r>
      <w:r>
        <w:rPr>
          <w:bCs/>
          <w:b/>
        </w:rPr>
        <w:t xml:space="preserve">even ≈1/zone_count per-zone distribution with a rebalancing action</w:t>
      </w:r>
      <w:r>
        <w:t xml:space="preserve"> </w:t>
      </w:r>
      <w:r>
        <w:t xml:space="preserve">(</w:t>
      </w:r>
      <w:r>
        <w:rPr>
          <w:bCs/>
          <w:b/>
        </w:rPr>
        <w:t xml:space="preserve">PLC-011</w:t>
      </w:r>
      <w:r>
        <w:t xml:space="preserve">); a shared</w:t>
      </w:r>
      <w:r>
        <w:t xml:space="preserve"> </w:t>
      </w:r>
      <w:r>
        <w:rPr>
          <w:bCs/>
          <w:b/>
        </w:rPr>
        <w:t xml:space="preserve">core subscription is classified entirely production</w:t>
      </w:r>
      <w:r>
        <w:t xml:space="preserve"> </w:t>
      </w:r>
      <w:r>
        <w:t xml:space="preserve">(</w:t>
      </w:r>
      <w:r>
        <w:rPr>
          <w:bCs/>
          <w:b/>
        </w:rPr>
        <w:t xml:space="preserve">CAP-001a</w:t>
      </w:r>
      <w:r>
        <w:t xml:space="preserve">); the</w:t>
      </w:r>
      <w:r>
        <w:t xml:space="preserve"> </w:t>
      </w:r>
      <w:r>
        <w:rPr>
          <w:bCs/>
          <w:b/>
        </w:rPr>
        <w:t xml:space="preserve">decommissioning-workflow boundary</w:t>
      </w:r>
      <w:r>
        <w:t xml:space="preserve"> </w:t>
      </w:r>
      <w:r>
        <w:t xml:space="preserve">is made explicit (</w:t>
      </w:r>
      <w:r>
        <w:rPr>
          <w:bCs/>
          <w:b/>
        </w:rPr>
        <w:t xml:space="preserve">CAP-008/CAP-010</w:t>
      </w:r>
      <w:r>
        <w:t xml:space="preserve">); and a deterministic</w:t>
      </w:r>
      <w:r>
        <w:t xml:space="preserve"> </w:t>
      </w:r>
      <w:r>
        <w:rPr>
          <w:bCs/>
          <w:b/>
        </w:rPr>
        <w:t xml:space="preserve">RG/CRG/subscription naming convention + counter</w:t>
      </w:r>
      <w:r>
        <w:t xml:space="preserve"> </w:t>
      </w:r>
      <w:r>
        <w:t xml:space="preserve">is adopted (</w:t>
      </w:r>
      <w:r>
        <w:rPr>
          <w:bCs/>
          <w:b/>
        </w:rPr>
        <w:t xml:space="preserve">OPS-006</w:t>
      </w:r>
      <w:r>
        <w:t xml:space="preserve">, config</w:t>
      </w:r>
      <w:r>
        <w:t xml:space="preserve"> </w:t>
      </w:r>
      <w:r>
        <w:rPr>
          <w:bCs/>
          <w:b/>
        </w:rPr>
        <w:t xml:space="preserve">C-12</w:t>
      </w:r>
      <w:r>
        <w:t xml:space="preserve">; zone tolerance config</w:t>
      </w:r>
      <w:r>
        <w:t xml:space="preserve"> </w:t>
      </w:r>
      <w:r>
        <w:rPr>
          <w:bCs/>
          <w:b/>
        </w:rPr>
        <w:t xml:space="preserve">C-13</w:t>
      </w:r>
      <w:r>
        <w:t xml:space="preserve">). See the new</w:t>
      </w:r>
      <w:r>
        <w:t xml:space="preserve"> </w:t>
      </w:r>
      <w:r>
        <w:rPr>
          <w:iCs/>
          <w:i/>
        </w:rPr>
        <w:t xml:space="preserve">Capacity Reservation Model (v2.4)</w:t>
      </w:r>
      <w:r>
        <w:t xml:space="preserve"> </w:t>
      </w:r>
      <w:r>
        <w:t xml:space="preserve">section below.</w:t>
      </w:r>
    </w:p>
    <w:p>
      <w:r>
        <w:pict>
          <v:rect style="width:0;height:1.5pt" o:hralign="center" o:hrstd="t" o:hr="t"/>
        </w:pict>
      </w:r>
    </w:p>
    <w:bookmarkStart w:id="36" w:name="adr-002---quota-and-capacity-management"/>
    <w:p>
      <w:pPr>
        <w:pStyle w:val="Heading1"/>
      </w:pPr>
      <w:r>
        <w:t xml:space="preserve">ADR-002 - Quota and Capacity Management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FinOps, Quota Owner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CAP-001, CAP-001a, CAP-002..CAP-024, QUA-001..QUA-014, RDY-001..RDY-004, PLC-011, OPS-006, FIN-001..FIN-006, GOV-001..GOV-006 (config C-12/C-13)</w:t>
      </w:r>
      <w:r>
        <w:br/>
      </w:r>
      <w:r>
        <w:rPr>
          <w:bCs/>
          <w:b/>
        </w:rPr>
        <w:t xml:space="preserve">Related POCs:</w:t>
      </w:r>
      <w:r>
        <w:t xml:space="preserve"> </w:t>
      </w:r>
      <w:r>
        <w:t xml:space="preserve">POC-001, POC-002, POC-003, POC-008, POC-011, DEP-001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Capacity reservations and VM-family quota are independent Azure control-plane resources. ACRME must validate both before deployment because a reservation without deployable consumer-subscription quota can still fail, and quota without reserved capacity does not guarantee physical capacity.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t xml:space="preserve">Requirements Baseline v2.2 also changes quota from a passive limit to a governed resource pool. Quota is deliberately used as a cost and consumption governor: teams must justify quota increases, and unused regional quota can be pooled and reallocated only under policy.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The earlier two-quota-group model (a Prod-only group plus a shared NonProd/DR group) protected Prod from NonProd consumption but fragments quota and forces separate, more frequent quota-increase requests to Microsoft. QUA-004 resolves this in favour of</w:t>
      </w:r>
      <w:r>
        <w:t xml:space="preserve"> </w:t>
      </w:r>
      <w:r>
        <w:rPr>
          <w:bCs/>
          <w:b/>
        </w:rPr>
        <w:t xml:space="preserve">one governed quota pool per applicable regional/quota-family scope covering Prod, NonProd/CVAL, and DR together</w:t>
      </w:r>
      <w:r>
        <w:t xml:space="preserve">, because a single pool collects all otherwise-stranded default per-region quota (QUA-003 hoarding) into one manipulable balance and lets ACRME allocate it wherever it is needed on demand — maximising manipulation flexibility, improving utilisation, and avoiding frequent quota requests to Microsoft. This ADR therefore</w:t>
      </w:r>
      <w:r>
        <w:t xml:space="preserve"> </w:t>
      </w:r>
      <w:r>
        <w:rPr>
          <w:bCs/>
          <w:b/>
        </w:rPr>
        <w:t xml:space="preserve">adopts the single governed pool as the primary model</w:t>
      </w:r>
      <w:r>
        <w:t xml:space="preserve">; a two-group (or multi-group) topology is retained only as a narrow, configuration-driven governance exception invoked when Azure Quota Group limits or a mandatory Prod-isolation governance boundary make a single pool impossible.</w:t>
      </w:r>
      <w:r>
        <w:t xml:space="preserve"> </w:t>
      </w:r>
      <w:r>
        <w:rPr>
          <w:rStyle w:val="VerbatimChar"/>
        </w:rPr>
        <w:t xml:space="preserve">[Decided]</w:t>
      </w:r>
    </w:p>
    <w:bookmarkEnd w:id="20"/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separate-but-correlated capacity and quota control plane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Capacity and quota are separate domains.</w:t>
      </w:r>
      <w:r>
        <w:t xml:space="preserve"> </w:t>
      </w:r>
      <w:r>
        <w:t xml:space="preserve">ACRME maintains reservation state and quota state independently but correlates them by subscription, region, zone, VM/quota family, SKU, environment, product, and intended demand.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Quota is a consumption governor.</w:t>
      </w:r>
      <w:r>
        <w:t xml:space="preserve"> </w:t>
      </w:r>
      <w:r>
        <w:t xml:space="preserve">Unallocated pooled quota is not a reason to increase a subscription automatically. Every increase records owner, workload, region, SKU/family, amount, existing usage, target date, and business justification.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One governed quota pool is the primary model.</w:t>
      </w:r>
      <w:r>
        <w:t xml:space="preserve"> </w:t>
      </w:r>
      <w:r>
        <w:t xml:space="preserve">Prod, NonProd/CVAL, and DR share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governed quota pool per applicable region and quota family (QUA-004). All eligible default per-region quota is hoarded into this pool (QUA-003) and allocated on demand to whichever environment needs it, maximising manipulation flexibility, improving utilisation, and minimising quota-increase requests to Microsoft. Prod protection inside the shared pool is enforced by engine controls (reserved Prod headroom floor, DR floor earmark, and priority ordering at allocation/reclamation time), not by physical group separation.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Multi-group topology is a narrow governance exception only.</w:t>
      </w:r>
      <w:r>
        <w:t xml:space="preserve"> </w:t>
      </w:r>
      <w:r>
        <w:t xml:space="preserve">A two-group (Prod-only + shared NonProd/DR) or multi-group topology is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Azure Quota Group limits or a mandatory Prod-isolation governance boundary make a single pool impossible. Each such exception is recorded in the Decision Log with the specific limit/boundary that forced it, and reverts to the single pool when the constraint is lifted. This is the configured implementation of the</w:t>
      </w:r>
      <w:r>
        <w:t xml:space="preserve"> </w:t>
      </w:r>
      <w:r>
        <w:t xml:space="preserve">“</w:t>
      </w:r>
      <w:r>
        <w:t xml:space="preserve">unless Azure limits or governance boundaries require separation</w:t>
      </w:r>
      <w:r>
        <w:t xml:space="preserve">”</w:t>
      </w:r>
      <w:r>
        <w:t xml:space="preserve"> </w:t>
      </w:r>
      <w:r>
        <w:t xml:space="preserve">clause in QUA-004, not a competing default design.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Consumer quota validation is mandatory and POC-gated.</w:t>
      </w:r>
      <w:r>
        <w:t xml:space="preserve"> </w:t>
      </w:r>
      <w:r>
        <w:t xml:space="preserve">Until POC-001 and authoritative Azure guidance prove otherwise, ACRME assumes the deploying/consumer subscription must hold sufficient quota even when consuming a provider-owned shared reservation.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DR quota is sized by distributed DR demand.</w:t>
      </w:r>
      <w:r>
        <w:t xml:space="preserve"> </w:t>
      </w:r>
      <w:r>
        <w:t xml:space="preserve">DR floor accounting uses the ADR-003 max-not-sum formula, not a fixed percentage of production.</w:t>
      </w:r>
      <w:r>
        <w:t xml:space="preserve"> </w:t>
      </w:r>
      <w:r>
        <w:rPr>
          <w:rStyle w:val="VerbatimChar"/>
        </w:rPr>
        <w:t xml:space="preserve">[Decided]</w:t>
      </w:r>
    </w:p>
    <w:bookmarkEnd w:id="21"/>
    <w:bookmarkStart w:id="22" w:name="managed-scope-and-capacity-controls"/>
    <w:p>
      <w:pPr>
        <w:pStyle w:val="Heading2"/>
      </w:pPr>
      <w:r>
        <w:t xml:space="preserve">Managed Scope and Capacity Controls</w:t>
      </w:r>
    </w:p>
    <w:p>
      <w:pPr>
        <w:pStyle w:val="FirstParagraph"/>
      </w:pPr>
      <w:r>
        <w:t xml:space="preserve">ACRME modifies only resources declared in the approved scope file. The scope includes tenant/management scope, subscription, region, zone, resource group, CRG, reservation, SKU/family, environment, buffer policy, enabled state, effective date, and policy version.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Capacity controls: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rPr>
          <w:rStyle w:val="VerbatimChar"/>
        </w:rPr>
        <w:t xml:space="preserve">Allocated VM Count</w:t>
      </w:r>
      <w:r>
        <w:t xml:space="preserve"> </w:t>
      </w:r>
      <w:r>
        <w:t xml:space="preserve">means running/allocated demand. Associated-but-deallocated VMs are reported separately and do not automatically preserve paid reservation quantity.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Azure resource creation must precede config activation: create/update the Azure CRG/reservation first, validate it, then activate deployment configuration that references 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Normal reconciliation never deletes CRGs or reservation definitions.</w:t>
      </w:r>
      <w:r>
        <w:t xml:space="preserve"> </w:t>
      </w:r>
      <w:r>
        <w:rPr>
          <w:bCs/>
          <w:b/>
        </w:rPr>
        <w:t xml:space="preserve">Decommissioning-workflow boundary (CAP-008/CAP-010).</w:t>
      </w:r>
      <w:r>
        <w:t xml:space="preserve"> </w:t>
      </w:r>
      <w:r>
        <w:t xml:space="preserve">Automatic reconciliation only ever</w:t>
      </w:r>
      <w:r>
        <w:t xml:space="preserve"> </w:t>
      </w:r>
      <w:r>
        <w:rPr>
          <w:bCs/>
          <w:b/>
        </w:rPr>
        <w:t xml:space="preserve">right-sizes a reservation down to 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Allocated + Buffer</w:t>
      </w:r>
      <w:r>
        <w:rPr>
          <w:bCs/>
          <w:b/>
        </w:rP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— it never reduces a reservation to zero and never deletes a CRG or reservation on its own. Reducing an unused managed reservation to</w:t>
      </w:r>
      <w:r>
        <w:t xml:space="preserve"> </w:t>
      </w:r>
      <w:r>
        <w:rPr>
          <w:bCs/>
          <w:b/>
        </w:rPr>
        <w:t xml:space="preserve">zero (returning it to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</w:t>
      </w:r>
      <w:r>
        <w:rPr>
          <w:bCs/>
          <w:b/>
        </w:rPr>
        <w:t xml:space="preserve">)</w:t>
      </w:r>
      <w:r>
        <w:t xml:space="preserve">, and any subsequent</w:t>
      </w:r>
      <w:r>
        <w:t xml:space="preserve"> </w:t>
      </w:r>
      <w:r>
        <w:rPr>
          <w:bCs/>
          <w:b/>
        </w:rPr>
        <w:t xml:space="preserve">retirement or deletion</w:t>
      </w:r>
      <w:r>
        <w:t xml:space="preserve">, are</w:t>
      </w:r>
      <w:r>
        <w:t xml:space="preserve"> </w:t>
      </w:r>
      <w:r>
        <w:rPr>
          <w:bCs/>
          <w:b/>
        </w:rPr>
        <w:t xml:space="preserve">gated actions in the approved decommissioning workflow</w:t>
      </w:r>
      <w:r>
        <w:t xml:space="preserve"> </w:t>
      </w:r>
      <w:r>
        <w:t xml:space="preserve">(operator approval, cost/DR/maintenance guards, immutable audit), not part of the automatic loop.</w:t>
      </w:r>
      <w:r>
        <w:t xml:space="preserve"> </w:t>
      </w:r>
      <w:r>
        <w:rPr>
          <w:rStyle w:val="VerbatimChar"/>
        </w:rPr>
        <w:t xml:space="preserve">[Decided]</w:t>
      </w:r>
    </w:p>
    <w:bookmarkEnd w:id="22"/>
    <w:bookmarkStart w:id="23" w:name="capacity-reservation-model-v2.4"/>
    <w:p>
      <w:pPr>
        <w:pStyle w:val="Heading2"/>
      </w:pPr>
      <w:r>
        <w:t xml:space="preserve">Capacity Reservation Model (v2.4)</w:t>
      </w:r>
    </w:p>
    <w:p>
      <w:pPr>
        <w:pStyle w:val="FirstParagraph"/>
      </w:pPr>
      <w:r>
        <w:t xml:space="preserve">This section records the reservation-model decisions folded in for Baseline v2.4. They refine, and are consistent with, the single-pool quota decision above.</w:t>
      </w:r>
    </w:p>
    <w:p>
      <w:pPr>
        <w:pStyle w:val="BodyText"/>
      </w:pPr>
      <w:r>
        <w:rPr>
          <w:bCs/>
          <w:b/>
        </w:rPr>
        <w:t xml:space="preserve">Reservation eligibility (CAP-020/CAP-021).</w:t>
      </w:r>
      <w:r>
        <w:t xml:space="preserve"> </w:t>
      </w:r>
      <w:r>
        <w:t xml:space="preserve">Only</w:t>
      </w:r>
      <w:r>
        <w:t xml:space="preserve"> </w:t>
      </w:r>
      <w:r>
        <w:rPr>
          <w:bCs/>
          <w:b/>
        </w:rPr>
        <w:t xml:space="preserve">zonal, non-Availability-Set</w:t>
      </w:r>
      <w:r>
        <w:t xml:space="preserve"> </w:t>
      </w:r>
      <w:r>
        <w:t xml:space="preserve">VMs are eligible for the zonal on-demand capacity reservations ACRME manages.</w:t>
      </w:r>
      <w:r>
        <w:t xml:space="preserve"> </w:t>
      </w:r>
      <w:r>
        <w:rPr>
          <w:bCs/>
          <w:b/>
        </w:rPr>
        <w:t xml:space="preserve">Availability-Set VMs are ineligible</w:t>
      </w:r>
      <w:r>
        <w:t xml:space="preserve"> </w:t>
      </w:r>
      <w:r>
        <w:t xml:space="preserve">(</w:t>
      </w:r>
      <w:r>
        <w:rPr>
          <w:bCs/>
          <w:b/>
        </w:rPr>
        <w:t xml:space="preserve">CAP-020</w:t>
      </w:r>
      <w:r>
        <w:t xml:space="preserve">) — an Availability Set and a zonal capacity reservation are mutually exclusive Azure placement constructs, so such VMs are rejected from the zonal reservation path. A VM that is not already zone-pinned must first satisfy the</w:t>
      </w:r>
      <w:r>
        <w:t xml:space="preserve"> </w:t>
      </w:r>
      <w:r>
        <w:rPr>
          <w:bCs/>
          <w:b/>
        </w:rPr>
        <w:t xml:space="preserve">deallocate/redeploy-to-AZ precondition</w:t>
      </w:r>
      <w:r>
        <w:t xml:space="preserve"> </w:t>
      </w:r>
      <w:r>
        <w:t xml:space="preserve">(</w:t>
      </w:r>
      <w:r>
        <w:rPr>
          <w:bCs/>
          <w:b/>
        </w:rPr>
        <w:t xml:space="preserve">CAP-021</w:t>
      </w:r>
      <w:r>
        <w:t xml:space="preserve">): it is deallocated and redeployed into a target availability zone through the governed onboarding/migration workflow before it can be associated with a per-AZ reservation.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Seed matrix + product-team budget governance (CAP-022, extends CAP-009).</w:t>
      </w:r>
      <w:r>
        <w:t xml:space="preserve"> </w:t>
      </w:r>
      <w:r>
        <w:t xml:space="preserve">The managed estate is initialised as a</w:t>
      </w:r>
      <w:r>
        <w:t xml:space="preserve"> </w:t>
      </w:r>
      <w:r>
        <w:rPr>
          <w:bCs/>
          <w:b/>
        </w:rPr>
        <w:t xml:space="preserve">seed matrix</w:t>
      </w:r>
      <w:r>
        <w:t xml:space="preserve">: a</w:t>
      </w:r>
      <w:r>
        <w:t xml:space="preserve"> </w:t>
      </w:r>
      <w:r>
        <w:rPr>
          <w:bCs/>
          <w:b/>
        </w:rPr>
        <w:t xml:space="preserve">count-0 (</w:t>
      </w:r>
      <w:r>
        <w:rPr>
          <w:rStyle w:val="VerbatimChar"/>
          <w:bCs/>
          <w:b/>
        </w:rPr>
        <w:t xml:space="preserve">seed</w:t>
      </w:r>
      <w:r>
        <w:rPr>
          <w:bCs/>
          <w:b/>
        </w:rPr>
        <w:t xml:space="preserve">) reservation for every eligible SKU × region × availability-zone combination</w:t>
      </w:r>
      <w:r>
        <w:t xml:space="preserve"> </w:t>
      </w:r>
      <w:r>
        <w:t xml:space="preserve">in scope. Seeds hold no paid capacity but make every eligible placement target pre-modelled, so a scale-up is a right-size of an existing seed rather than a create-from-nothing. The breadth of the seed matrix and the capacity any team may draw from it are bounded by</w:t>
      </w:r>
      <w:r>
        <w:t xml:space="preserve"> </w:t>
      </w:r>
      <w:r>
        <w:rPr>
          <w:bCs/>
          <w:b/>
        </w:rPr>
        <w:t xml:space="preserve">per-product-team budget governance</w:t>
      </w:r>
      <w:r>
        <w:t xml:space="preserve"> </w:t>
      </w:r>
      <w:r>
        <w:t xml:space="preserve">recorded in the scope file.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Reactive SKU/AZ discovery reconciled with governance (CAP-024, reconciles CAP-019).</w:t>
      </w:r>
      <w:r>
        <w:t xml:space="preserve"> </w:t>
      </w:r>
      <w:r>
        <w:t xml:space="preserve">When a VM is observed for a SKU×region×AZ combination not yet in the seed matrix, ACRME</w:t>
      </w:r>
      <w:r>
        <w:t xml:space="preserve"> </w:t>
      </w:r>
      <w:r>
        <w:rPr>
          <w:bCs/>
          <w:b/>
        </w:rPr>
        <w:t xml:space="preserve">reactively auto-creates</w:t>
      </w:r>
      <w:r>
        <w:t xml:space="preserve"> </w:t>
      </w:r>
      <w:r>
        <w:t xml:space="preserve">the backing reservation so live workloads are protected, and</w:t>
      </w:r>
      <w:r>
        <w:t xml:space="preserve"> </w:t>
      </w:r>
      <w:r>
        <w:rPr>
          <w:bCs/>
          <w:b/>
        </w:rPr>
        <w:t xml:space="preserve">simultaneously raises a scope-file governance item</w:t>
      </w:r>
      <w:r>
        <w:t xml:space="preserve"> </w:t>
      </w:r>
      <w:r>
        <w:t xml:space="preserve">so the newly discovered combination is brought under explicit, budgeted governance (CAP-019). Discovery therefore never bypasses governance — it creates capacity and a governance action in the same step.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Regional + per-AZ CRG structure (CAP-023, extends CAP-011).</w:t>
      </w:r>
      <w:r>
        <w:t xml:space="preserve"> </w:t>
      </w:r>
      <w:r>
        <w:t xml:space="preserve">Reservations are organised, per environment (Prod, NonProd/CVAL, DR-standby) and per region, into</w:t>
      </w:r>
      <w:r>
        <w:t xml:space="preserve"> </w:t>
      </w:r>
      <w:r>
        <w:rPr>
          <w:bCs/>
          <w:b/>
        </w:rPr>
        <w:t xml:space="preserve">one regional CRG plus one CRG per availability zone</w:t>
      </w:r>
      <w:r>
        <w:t xml:space="preserve">. The regional CRG anchors region-scoped (non-zone-pinned) reservations and governance; the per-AZ CRGs hold the zonal seed matrix and zone-pinned reservations. Naming follows OPS-006 (e.g. </w:t>
      </w:r>
      <w:r>
        <w:rPr>
          <w:rStyle w:val="VerbatimChar"/>
        </w:rPr>
        <w:t xml:space="preserve">crg-pr-eus2-reg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crg-pr-eus2-az1/az2/az3</w:t>
      </w:r>
      <w:r>
        <w:t xml:space="preserve">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Even per-zone distribution + rebalancing (PLC-011).</w:t>
      </w:r>
      <w:r>
        <w:t xml:space="preserve"> </w:t>
      </w:r>
      <w:r>
        <w:t xml:space="preserve">Within a placement region ACRME drives the per-zone VM distribution toward an</w:t>
      </w:r>
      <w:r>
        <w:t xml:space="preserve"> </w:t>
      </w:r>
      <w:r>
        <w:rPr>
          <w:bCs/>
          <w:b/>
        </w:rPr>
        <w:t xml:space="preserve">even target of ≈1/zone_count per zone</w:t>
      </w:r>
      <w:r>
        <w:t xml:space="preserve"> </w:t>
      </w:r>
      <w:r>
        <w:t xml:space="preserve">(≈33% for a three-zone region), selecting the eligible zone with the greatest deficit at placement time and raising a</w:t>
      </w:r>
      <w:r>
        <w:t xml:space="preserve"> </w:t>
      </w:r>
      <w:r>
        <w:rPr>
          <w:bCs/>
          <w:b/>
        </w:rPr>
        <w:t xml:space="preserve">rebalancing action</w:t>
      </w:r>
      <w:r>
        <w:t xml:space="preserve"> </w:t>
      </w:r>
      <w:r>
        <w:t xml:space="preserve">when the observed distribution drifts beyond the configurable tolerance band. Target and tolerance are configuration-driven (</w:t>
      </w:r>
      <w:r>
        <w:rPr>
          <w:bCs/>
          <w:b/>
        </w:rPr>
        <w:t xml:space="preserve">C-13</w:t>
      </w:r>
      <w:r>
        <w:t xml:space="preserve">); the algorithm and worked example are in the TDD Section 8.5 and Baseline Appendix A.9.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Core subscription classification (CAP-001a).</w:t>
      </w:r>
      <w:r>
        <w:t xml:space="preserve"> </w:t>
      </w:r>
      <w:r>
        <w:t xml:space="preserve">A shared</w:t>
      </w:r>
      <w:r>
        <w:t xml:space="preserve"> </w:t>
      </w:r>
      <w:r>
        <w:rPr>
          <w:bCs/>
          <w:b/>
        </w:rPr>
        <w:t xml:space="preserve">core subscription is classified entirely as production</w:t>
      </w:r>
      <w:r>
        <w:t xml:space="preserve"> </w:t>
      </w:r>
      <w:r>
        <w:t xml:space="preserve">for capacity, buffer, and protection purposes — every reservation it holds is governed under production rules regardless of the individual workload’s label.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Naming convention + counter (OPS-006, C-12).</w:t>
      </w:r>
      <w:r>
        <w:t xml:space="preserve"> </w:t>
      </w:r>
      <w:r>
        <w:t xml:space="preserve">Resource groups, CRGs, and subscriptions follow a deterministic naming convention with an incrementing counter — e.g. RG</w:t>
      </w:r>
      <w:r>
        <w:t xml:space="preserve"> </w:t>
      </w:r>
      <w:r>
        <w:rPr>
          <w:rStyle w:val="VerbatimChar"/>
        </w:rPr>
        <w:t xml:space="preserve">rg-odcr-&lt;env&gt;-&lt;region&gt;-&lt;NN&gt;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rg-odcr-prod-eus2-01</w:t>
      </w:r>
      <w:r>
        <w:t xml:space="preserve">), subscription</w:t>
      </w:r>
      <w:r>
        <w:t xml:space="preserve"> </w:t>
      </w:r>
      <w:r>
        <w:rPr>
          <w:rStyle w:val="VerbatimChar"/>
        </w:rPr>
        <w:t xml:space="preserve">sub-&lt;org&gt;-&lt;domain&gt;-&lt;purpose&gt;-&lt;NN&gt;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sub-jda-cld-core-01</w:t>
      </w:r>
      <w:r>
        <w:t xml:space="preserve">), CRG per the CAP-023 examples. The pattern is configuration-driven (</w:t>
      </w:r>
      <w:r>
        <w:rPr>
          <w:bCs/>
          <w:b/>
        </w:rPr>
        <w:t xml:space="preserve">C-12</w:t>
      </w:r>
      <w:r>
        <w:t xml:space="preserve">) so it can be adjusted without code change.</w:t>
      </w:r>
      <w:r>
        <w:t xml:space="preserve"> </w:t>
      </w:r>
      <w:r>
        <w:rPr>
          <w:rStyle w:val="VerbatimChar"/>
        </w:rPr>
        <w:t xml:space="preserve">[Decided]</w:t>
      </w:r>
    </w:p>
    <w:bookmarkEnd w:id="23"/>
    <w:bookmarkStart w:id="24" w:name="quota-pooling-and-allocation"/>
    <w:p>
      <w:pPr>
        <w:pStyle w:val="Heading2"/>
      </w:pPr>
      <w:r>
        <w:t xml:space="preserve">Quota Pooling and Allocation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subscription, region, VM/quota family, assigned quota, used quota, available quota, pooled quota, and pending increase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subscriptions contribute unused regional VM-family quota to the governed pool when policy permits.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quota to target subscriptions for deployment demand, production buffer, and approved DR need.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Reclaim quota only when it will not drop a subscription below current usage, committed demand, production buffer, or approved DR need.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all allocation, reclamation, request, approval, rejection, and failure events with before/after values and correlation IDs.</w:t>
            </w:r>
          </w:p>
        </w:tc>
      </w:tr>
    </w:tbl>
    <w:p>
      <w:pPr>
        <w:pStyle w:val="BodyText"/>
      </w:pPr>
      <w:r>
        <w:t xml:space="preserve">Production subscriptions maintain configurable quota headroom above current usage to support growth and the next approved deployment.</w:t>
      </w:r>
      <w:r>
        <w:t xml:space="preserve"> </w:t>
      </w:r>
      <w:r>
        <w:rPr>
          <w:rStyle w:val="VerbatimChar"/>
        </w:rPr>
        <w:t xml:space="preserve">[Decided]</w:t>
      </w:r>
    </w:p>
    <w:bookmarkEnd w:id="24"/>
    <w:bookmarkStart w:id="27" w:name="dr-floor-accounting"/>
    <w:p>
      <w:pPr>
        <w:pStyle w:val="Heading2"/>
      </w:pPr>
      <w:r>
        <w:t xml:space="preserve">DR Floor Accounting</w:t>
      </w:r>
    </w:p>
    <w:p>
      <w:pPr>
        <w:pStyle w:val="FirstParagraph"/>
      </w:pPr>
      <w:r>
        <w:t xml:space="preserve">DR floor is destination-, SKU-, zone-, and policy-scoped:</w:t>
      </w:r>
    </w:p>
    <w:p>
      <w:pPr>
        <w:pStyle w:val="SourceCode"/>
      </w:pPr>
      <w:r>
        <w:rPr>
          <w:rStyle w:val="VerbatimChar"/>
        </w:rPr>
        <w:t xml:space="preserve">Destination_DR_Requirement(d, sku, zone)</w:t>
      </w:r>
      <w:r>
        <w:br/>
      </w:r>
      <w:r>
        <w:rPr>
          <w:rStyle w:val="VerbatimChar"/>
        </w:rPr>
        <w:t xml:space="preserve">  = MAX over non-concurrent source regions s protected by destination d (</w:t>
      </w:r>
      <w:r>
        <w:br/>
      </w:r>
      <w:r>
        <w:rPr>
          <w:rStyle w:val="VerbatimChar"/>
        </w:rPr>
        <w:t xml:space="preserve">      Workload_Portion(s -&gt; d, sku, zone)</w:t>
      </w:r>
      <w:r>
        <w:br/>
      </w:r>
      <w:r>
        <w:rPr>
          <w:rStyle w:val="VerbatimChar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DR_Floor_vCPU(d, sku, zone)</w:t>
      </w:r>
      <w:r>
        <w:br/>
      </w:r>
      <w:r>
        <w:rPr>
          <w:rStyle w:val="VerbatimChar"/>
        </w:rPr>
        <w:t xml:space="preserve">  = Destination_DR_Requirement(d, sku, zone) * vCPU_Per_Instance(sku)</w:t>
      </w:r>
    </w:p>
    <w:p>
      <w:pPr>
        <w:pStyle w:val="FirstParagraph"/>
      </w:pPr>
      <w:r>
        <w:rPr>
          <w:rStyle w:val="VerbatimChar"/>
        </w:rPr>
        <w:t xml:space="preserve">MAX</w:t>
      </w:r>
      <w:r>
        <w:t xml:space="preserve"> </w:t>
      </w:r>
      <w:r>
        <w:t xml:space="preserve">is valid only because the baseline assumes a single failed source region at a time. A configured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basis is available where a customer contract or geography requires simultaneous source-region failure coverage.</w:t>
      </w:r>
      <w:r>
        <w:t xml:space="preserve"> </w:t>
      </w:r>
      <w:r>
        <w:rPr>
          <w:rStyle w:val="VerbatimChar"/>
        </w:rPr>
        <w:t xml:space="preserve">[Decided]</w:t>
      </w:r>
    </w:p>
    <w:bookmarkStart w:id="25" w:name="single-pool-accounting-primary-model"/>
    <w:p>
      <w:pPr>
        <w:pStyle w:val="Heading3"/>
      </w:pPr>
      <w:r>
        <w:t xml:space="preserve">Single-pool accounting (primary model)</w:t>
      </w:r>
    </w:p>
    <w:p>
      <w:pPr>
        <w:pStyle w:val="FirstParagraph"/>
      </w:pPr>
      <w:r>
        <w:t xml:space="preserve">In the single governed pool, Prod, NonProd/CVAL, and DR draw from one</w:t>
      </w:r>
      <w:r>
        <w:t xml:space="preserve"> </w:t>
      </w:r>
      <w:r>
        <w:rPr>
          <w:rStyle w:val="VerbatimChar"/>
        </w:rPr>
        <w:t xml:space="preserve">Pool_Limit</w:t>
      </w:r>
      <w:r>
        <w:t xml:space="preserve">. ACRME protects Prod and DR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shared balance using logical earmarks rather than physical groups:</w:t>
      </w:r>
    </w:p>
    <w:p>
      <w:pPr>
        <w:pStyle w:val="SourceCode"/>
      </w:pPr>
      <w:r>
        <w:rPr>
          <w:rStyle w:val="VerbatimChar"/>
        </w:rPr>
        <w:t xml:space="preserve">Pool_Headroom            = Pool_Limit - Pool_Used</w:t>
      </w:r>
      <w:r>
        <w:br/>
      </w:r>
      <w:r>
        <w:rPr>
          <w:rStyle w:val="VerbatimChar"/>
        </w:rPr>
        <w:t xml:space="preserve">Prod_Reserved_Floor      = Prod_Used_vCPU + Prod_Growth_Buffer_vCPU</w:t>
      </w:r>
      <w:r>
        <w:br/>
      </w:r>
      <w:r>
        <w:rPr>
          <w:rStyle w:val="VerbatimChar"/>
        </w:rPr>
        <w:t xml:space="preserve">DR_Earmark_vCPU          = SUM over destinations d in scope ( DR_Floor_vCPU(d, sku, zone) )</w:t>
      </w:r>
      <w:r>
        <w:br/>
      </w:r>
      <w:r>
        <w:rPr>
          <w:rStyle w:val="VerbatimChar"/>
        </w:rPr>
        <w:t xml:space="preserve">Allocatable_NonProd      = Pool_Limit - Prod_Reserved_Floor - DR_Earmark_vCPU - NonProd_Used_vCPU</w:t>
      </w:r>
      <w:r>
        <w:br/>
      </w:r>
      <w:r>
        <w:rPr>
          <w:rStyle w:val="VerbatimChar"/>
        </w:rPr>
        <w:t xml:space="preserve">Emergency_DR_Available   = Pool_Headroom + reclaimable NonProd above committed demand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Prod_Reserved_Floor</w:t>
      </w:r>
      <w:r>
        <w:t xml:space="preserve"> </w:t>
      </w:r>
      <w:r>
        <w:t xml:space="preserve">is never allocatable to NonProd; NonProd allocation stops at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reaching zero (fail-safe).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DR_Earmark_vCPU</w:t>
      </w:r>
      <w:r>
        <w:t xml:space="preserve"> </w:t>
      </w:r>
      <w:r>
        <w:t xml:space="preserve">reserves the max-not-sum DR requirement inside the pool so live NonProd usage cannot consume the standby-activation headroom (see ADR-003 CVAL/DR double-count guard).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During a declared DR event the DR orchestrator may draw</w:t>
      </w:r>
      <w:r>
        <w:t xml:space="preserve"> </w:t>
      </w:r>
      <w:r>
        <w:rPr>
          <w:rStyle w:val="VerbatimChar"/>
        </w:rPr>
        <w:t xml:space="preserve">Emergency_DR_Available</w:t>
      </w:r>
      <w:r>
        <w:t xml:space="preserve"> </w:t>
      </w:r>
      <w:r>
        <w:t xml:space="preserve">— pool headroom first, then reclaimable NonProd above committed demand — because all three environments share one pool, no cross-group transfer is required. This is the flexibility gain that motivates the single-pool model.</w:t>
      </w:r>
      <w:r>
        <w:t xml:space="preserve"> </w:t>
      </w:r>
      <w:r>
        <w:rPr>
          <w:rStyle w:val="VerbatimChar"/>
        </w:rPr>
        <w:t xml:space="preserve">[Decided]</w:t>
      </w:r>
    </w:p>
    <w:bookmarkEnd w:id="25"/>
    <w:bookmarkStart w:id="26" w:name="X6577e5fe18d2c1285d4625d7fa0edc6f93ae969"/>
    <w:p>
      <w:pPr>
        <w:pStyle w:val="Heading3"/>
      </w:pPr>
      <w:r>
        <w:t xml:space="preserve">Two-group accounting (exception topology only)</w:t>
      </w:r>
    </w:p>
    <w:p>
      <w:pPr>
        <w:pStyle w:val="FirstParagraph"/>
      </w:pPr>
      <w:r>
        <w:t xml:space="preserve">Where the QUA-004 exception applies (Azure limit / mandatory Prod isolation), ACRME falls back to per-group accounting:</w:t>
      </w:r>
    </w:p>
    <w:p>
      <w:pPr>
        <w:pStyle w:val="SourceCode"/>
      </w:pPr>
      <w:r>
        <w:rPr>
          <w:rStyle w:val="VerbatimChar"/>
        </w:rPr>
        <w:t xml:space="preserve">Effective_NonProd_Ceiling = NonProd_DR_Group_Limit - DR_Floor_vCPU</w:t>
      </w:r>
      <w:r>
        <w:br/>
      </w:r>
      <w:r>
        <w:rPr>
          <w:rStyle w:val="VerbatimChar"/>
        </w:rPr>
        <w:t xml:space="preserve">NonProd_Headroom          = Effective_NonProd_Ceiling - NonProd_Used_vCPU</w:t>
      </w:r>
      <w:r>
        <w:br/>
      </w:r>
      <w:r>
        <w:rPr>
          <w:rStyle w:val="VerbatimChar"/>
        </w:rPr>
        <w:t xml:space="preserve">Group_Headroom            = Group_Limit - Group_Used</w:t>
      </w:r>
    </w:p>
    <w:p>
      <w:pPr>
        <w:pStyle w:val="FirstParagraph"/>
      </w:pPr>
      <w:r>
        <w:t xml:space="preserve">These are engine accounting controls in both models. They do not create a native Azure sub-reservation unless Azure later provides and ACRME validates that capability.</w:t>
      </w:r>
      <w:r>
        <w:t xml:space="preserve"> </w:t>
      </w:r>
      <w:r>
        <w:rPr>
          <w:rStyle w:val="VerbatimChar"/>
        </w:rPr>
        <w:t xml:space="preserve">[Assumed]</w:t>
      </w:r>
    </w:p>
    <w:bookmarkEnd w:id="26"/>
    <w:bookmarkEnd w:id="27"/>
    <w:bookmarkStart w:id="28" w:name="readiness-and-enforcement"/>
    <w:p>
      <w:pPr>
        <w:pStyle w:val="Heading2"/>
      </w:pPr>
      <w:r>
        <w:t xml:space="preserve">Readiness and Enforcement</w:t>
      </w:r>
    </w:p>
    <w:p>
      <w:pPr>
        <w:pStyle w:val="FirstParagraph"/>
      </w:pPr>
      <w:r>
        <w:t xml:space="preserve">For every managed deployment, ACRME validates:</w:t>
      </w:r>
    </w:p>
    <w:p>
      <w:pPr>
        <w:numPr>
          <w:ilvl w:val="0"/>
          <w:numId w:val="1003"/>
        </w:numPr>
        <w:pStyle w:val="Compact"/>
      </w:pPr>
      <w:r>
        <w:t xml:space="preserve">target region/geography policy is approved;</w:t>
      </w:r>
    </w:p>
    <w:p>
      <w:pPr>
        <w:numPr>
          <w:ilvl w:val="0"/>
          <w:numId w:val="1003"/>
        </w:numPr>
        <w:pStyle w:val="Compact"/>
      </w:pPr>
      <w:r>
        <w:t xml:space="preserve">zone and SKU are supported;</w:t>
      </w:r>
    </w:p>
    <w:p>
      <w:pPr>
        <w:numPr>
          <w:ilvl w:val="0"/>
          <w:numId w:val="1003"/>
        </w:numPr>
        <w:pStyle w:val="Compact"/>
      </w:pPr>
      <w:r>
        <w:t xml:space="preserve">reservation exists when required;</w:t>
      </w:r>
    </w:p>
    <w:p>
      <w:pPr>
        <w:numPr>
          <w:ilvl w:val="0"/>
          <w:numId w:val="1003"/>
        </w:numPr>
        <w:pStyle w:val="Compact"/>
      </w:pPr>
      <w:r>
        <w:t xml:space="preserve">reservation SKU, region, zone, and sharing authorization match;</w:t>
      </w:r>
    </w:p>
    <w:p>
      <w:pPr>
        <w:numPr>
          <w:ilvl w:val="0"/>
          <w:numId w:val="1003"/>
        </w:numPr>
        <w:pStyle w:val="Compact"/>
      </w:pPr>
      <w:r>
        <w:t xml:space="preserve">sufficient reserved capacity exists or over-allocation is explicitly approved;</w:t>
      </w:r>
    </w:p>
    <w:p>
      <w:pPr>
        <w:numPr>
          <w:ilvl w:val="0"/>
          <w:numId w:val="1003"/>
        </w:numPr>
        <w:pStyle w:val="Compact"/>
      </w:pPr>
      <w:r>
        <w:t xml:space="preserve">consumer/deploying subscription quota is sufficient;</w:t>
      </w:r>
    </w:p>
    <w:p>
      <w:pPr>
        <w:numPr>
          <w:ilvl w:val="0"/>
          <w:numId w:val="1003"/>
        </w:numPr>
        <w:pStyle w:val="Compact"/>
      </w:pPr>
      <w:r>
        <w:t xml:space="preserve">quota and reservation state are fresh enough;</w:t>
      </w:r>
    </w:p>
    <w:p>
      <w:pPr>
        <w:numPr>
          <w:ilvl w:val="0"/>
          <w:numId w:val="1003"/>
        </w:numPr>
        <w:pStyle w:val="Compact"/>
      </w:pPr>
      <w:r>
        <w:t xml:space="preserve">no policy, exception, or maintenance block is active.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Quota and capacity readiness states are defined in ADR-001. Reserved capacity greater than deployable quota must produce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 </w:t>
      </w:r>
      <w:r>
        <w:t xml:space="preserve">depending on policy; it must not be reported as fully ready.</w:t>
      </w:r>
      <w:r>
        <w:t xml:space="preserve"> </w:t>
      </w:r>
      <w:r>
        <w:rPr>
          <w:rStyle w:val="VerbatimChar"/>
        </w:rPr>
        <w:t xml:space="preserve">[Decided]</w:t>
      </w:r>
    </w:p>
    <w:bookmarkEnd w:id="28"/>
    <w:bookmarkStart w:id="29" w:name="quota-group-preview-dependency"/>
    <w:p>
      <w:pPr>
        <w:pStyle w:val="Heading2"/>
      </w:pPr>
      <w:r>
        <w:t xml:space="preserve">Quota Group Preview Dependency</w:t>
      </w:r>
    </w:p>
    <w:p>
      <w:pPr>
        <w:pStyle w:val="FirstParagraph"/>
      </w:pPr>
      <w:r>
        <w:t xml:space="preserve">Azure Quota Groups and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semantics remain feature-maturity dependencies. ACRME must pin API versions, monitor version drift, and retain subscription-level quota checks until POC-001 and DEP-001 explicitly approve otherwise.</w:t>
      </w:r>
      <w:r>
        <w:t xml:space="preserve"> </w:t>
      </w:r>
      <w:r>
        <w:rPr>
          <w:rStyle w:val="VerbatimChar"/>
        </w:rPr>
        <w:t xml:space="preserve">[Assumed]</w:t>
      </w:r>
    </w:p>
    <w:bookmarkEnd w:id="29"/>
    <w:bookmarkStart w:id="30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</w:t>
      </w:r>
    </w:p>
    <w:p>
      <w:pPr>
        <w:numPr>
          <w:ilvl w:val="0"/>
          <w:numId w:val="1004"/>
        </w:numPr>
        <w:pStyle w:val="Compact"/>
      </w:pPr>
      <w:r>
        <w:t xml:space="preserve">Single governed pool maximises manipulation flexibility: all stranded default per-region quota is collected once and allocated where needed, improving utilisation and cutting the number of quota-increase requests to Microsoft (QUA-003/QUA-004).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t xml:space="preserve">Emergency DR draw needs no cross-group transfer — Prod, NonProd/CVAL, and DR share one balance — so declared-event capacity acquisition is faster and simpler.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4"/>
        </w:numPr>
        <w:pStyle w:val="Compact"/>
      </w:pPr>
      <w:r>
        <w:t xml:space="preserve">Preserves production protection via logical earmarks 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 instead of physical group separation.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t xml:space="preserve">Treats quota as an auditable governance/cost control, not just a technical limit.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t xml:space="preserve">Avoids the old fixed 30-40% DR floor and aligns quota planning with distributed DR demand.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t xml:space="preserve">Makes capacity/quota readiness explicit for AEP/provisioning.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FirstParagraph"/>
      </w:pPr>
      <w:r>
        <w:rPr>
          <w:bCs/>
          <w:b/>
        </w:rPr>
        <w:t xml:space="preserve">Negative / trade-offs</w:t>
      </w:r>
    </w:p>
    <w:p>
      <w:pPr>
        <w:numPr>
          <w:ilvl w:val="0"/>
          <w:numId w:val="1005"/>
        </w:numPr>
        <w:pStyle w:val="Compact"/>
      </w:pPr>
      <w:r>
        <w:t xml:space="preserve">Single-pool topology requires strong engine controls (earmark enforcement, priority ordering, fail-safe stop) to prevent NonProd or DR from consuming Prod headroom; the protection is only as good as those controls.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5"/>
        </w:numPr>
        <w:pStyle w:val="Compact"/>
      </w:pPr>
      <w:r>
        <w:t xml:space="preserve">The exception two-group topology reduces manipulation flexibility and remains dependent on POC evidence for quota-neutral transfers; it is used only when Azure limits or Prod-isolation governance force it.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5"/>
        </w:numPr>
        <w:pStyle w:val="Compact"/>
      </w:pPr>
      <w:r>
        <w:t xml:space="preserve">Consumer quota behavior under shared reservations remains a top technical unknown until POC-001 completes.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5"/>
        </w:numPr>
        <w:pStyle w:val="Compact"/>
      </w:pPr>
      <w:r>
        <w:t xml:space="preserve">Max-not-sum DR floor under-protects simultaneous source-region failures unless the SUM override is configured.</w:t>
      </w:r>
      <w:r>
        <w:t xml:space="preserve"> </w:t>
      </w:r>
      <w:r>
        <w:rPr>
          <w:rStyle w:val="VerbatimChar"/>
        </w:rPr>
        <w:t xml:space="preserve">[Derived]</w:t>
      </w:r>
    </w:p>
    <w:bookmarkEnd w:id="30"/>
    <w:bookmarkStart w:id="31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two-group model for every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the default; it fragments quota and multiplies quota-increase requests. Single governed pool is the primary model; two-group is a narrow governance exception.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pool with no Prod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quota remains a consumption governor and Prod protection is first priority — enforced by logical earmarks inside the shared pool.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separate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by exception; it can make emergency DR transfer non-atomic.</w:t>
            </w:r>
            <w:r>
              <w:t xml:space="preserve"> </w:t>
            </w:r>
            <w:r>
              <w:rPr>
                <w:rStyle w:val="VerbatimChar"/>
              </w:rPr>
              <w:t xml:space="preserve">[Derived]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floor as</w:t>
            </w:r>
            <w:r>
              <w:t xml:space="preserve"> </w:t>
            </w:r>
            <w:r>
              <w:rPr>
                <w:rStyle w:val="VerbatimChar"/>
              </w:rPr>
              <w:t xml:space="preserve">prod * dr_ratio_max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by requirements v2.1; replaced by max-over-non-concurrent-sources sizing.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quota as proof of consumer deployability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pending POC-001; validate consumer quota.</w:t>
            </w:r>
            <w:r>
              <w:t xml:space="preserve"> </w:t>
            </w:r>
            <w:r>
              <w:rPr>
                <w:rStyle w:val="VerbatimChar"/>
              </w:rPr>
              <w:t xml:space="preserve">[Assumed]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ppendix---adr-summary"/>
    <w:p>
      <w:pPr>
        <w:pStyle w:val="Heading2"/>
      </w:pPr>
      <w:r>
        <w:t xml:space="preserve">Appendix -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Quota and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CAP-001/001a, CAP-002..024, QUA-001..014, RDY-001..004, PLC-011, OPS-006 (C-12/C-13)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consumer quota; POC-008 production quota buffer; POC-011 max-not-sum safety; DEP-001 feature maturity</w:t>
            </w:r>
          </w:p>
        </w:tc>
      </w:tr>
    </w:tbl>
    <w:bookmarkEnd w:id="32"/>
    <w:bookmarkStart w:id="33" w:name="appendix---status-legend"/>
    <w:p>
      <w:pPr>
        <w:pStyle w:val="Heading2"/>
      </w:pPr>
      <w:r>
        <w:t xml:space="preserve">Appendix -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33"/>
    <w:bookmarkStart w:id="34" w:name="appendix---evidence-tag-taxonomy"/>
    <w:p>
      <w:pPr>
        <w:pStyle w:val="Heading2"/>
      </w:pPr>
      <w:r>
        <w:t xml:space="preserve">Appendix -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4"/>
    <w:bookmarkStart w:id="35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ADR-001 - Region Selection and Customer 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acrme_adr_001_region_selection.md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ADR-003 - Capacity Management during Disaster Recovery (DR)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acrme_adr_003_capacity_management_during_dr.md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ADR-004 - Forecast, Reconciliation, and Increase of Capacity and 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acrme_adr_004_forecast_and_increase_of_capacity_and_quota.md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POC-001, POC-008, POC-011, quota-group feature review, and first end-to-end quota allocation/reclamation evidence.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2026-09-07T12:10:59Z</dcterms:created>
  <dcterms:modified xsi:type="dcterms:W3CDTF">2026-09-07T12:10:59Z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