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rPr/>
      </w:pPr>
      <w:r>
        <w:rPr/>
      </w:r>
    </w:p>
    <w:p>
      <w:pPr>
        <w:pStyle w:val="Normal"/>
        <w:jc w:val="center"/>
        <w:rPr/>
      </w:pPr>
      <w:r>
        <w:rPr>
          <w:rFonts w:eastAsia="Calibri Light" w:ascii="Calibri Light" w:hAnsi="Calibri Light"/>
          <w:b/>
          <w:i w:val="false"/>
          <w:color w:val="1F6F8B"/>
          <w:sz w:val="24"/>
        </w:rPr>
        <w:t>AZURE CAPACITY RESERVATION</w:t>
      </w:r>
    </w:p>
    <w:p>
      <w:pPr>
        <w:pStyle w:val="Title"/>
        <w:jc w:val="center"/>
        <w:rPr/>
      </w:pPr>
      <w:r>
        <w:rPr>
          <w:rFonts w:eastAsia="Calibri Light" w:ascii="Calibri Light" w:hAnsi="Calibri Light"/>
          <w:b w:val="false"/>
          <w:i w:val="false"/>
          <w:color w:val="0B3D5C"/>
          <w:sz w:val="56"/>
        </w:rPr>
        <w:t>ACRME POC Test Workbook v2</w:t>
      </w:r>
    </w:p>
    <w:p>
      <w:pPr>
        <w:pStyle w:val="Normal"/>
        <w:jc w:val="center"/>
        <w:rPr/>
      </w:pPr>
      <w:r>
        <w:rPr>
          <w:rFonts w:eastAsia="Calibri"/>
          <w:b w:val="false"/>
          <w:i w:val="false"/>
          <w:color w:val="555555"/>
          <w:sz w:val="26"/>
        </w:rPr>
        <w:t>Finalized Design Validation — Test Runbook and Progress Tracker</w:t>
      </w:r>
    </w:p>
    <w:tbl>
      <w:tblPr>
        <w:tblW w:w="9638"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9638"/>
      </w:tblGrid>
      <w:tr>
        <w:trPr>
          <w:cantSplit/>
          <w:trHeight w:val="80" w:hRule="exact"/>
        </w:trPr>
        <w:tc>
          <w:tcPr>
            <w:tcW w:w="9638" w:type="dxa"/>
            <w:tcBorders/>
            <w:shd w:fill="0B3D5C" w:val="clear"/>
          </w:tcPr>
          <w:p>
            <w:pPr>
              <w:pStyle w:val="Normal"/>
              <w:spacing w:lineRule="auto" w:line="252" w:before="40" w:after="40"/>
              <w:jc w:val="start"/>
              <w:rPr/>
            </w:pPr>
            <w:r>
              <w:rPr/>
            </w:r>
          </w:p>
        </w:tc>
      </w:tr>
    </w:tbl>
    <w:p>
      <w:pPr>
        <w:pStyle w:val="Normal"/>
        <w:rPr/>
      </w:pPr>
      <w:r>
        <w:rPr/>
      </w:r>
    </w:p>
    <w:tbl>
      <w:tblPr>
        <w:tblStyle w:val="TableGrid"/>
        <w:tblW w:w="963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cantSplit/>
        </w:trPr>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9"/>
                <w:szCs w:val="22"/>
                <w:lang w:val="en-US" w:eastAsia="en-US" w:bidi="ar-SA"/>
              </w:rPr>
              <w:t>Version</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9"/>
                <w:szCs w:val="22"/>
                <w:lang w:val="en-US" w:eastAsia="en-US" w:bidi="ar-SA"/>
              </w:rPr>
              <w:t>2.0 (Post Fact-Check Review)</w:t>
            </w:r>
          </w:p>
        </w:tc>
      </w:tr>
      <w:tr>
        <w:trPr>
          <w:cantSplit/>
        </w:trPr>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9"/>
                <w:szCs w:val="22"/>
                <w:lang w:val="en-US" w:eastAsia="en-US" w:bidi="ar-SA"/>
              </w:rPr>
              <w:t>Status</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9"/>
                <w:szCs w:val="22"/>
                <w:lang w:val="en-US" w:eastAsia="en-US" w:bidi="ar-SA"/>
              </w:rPr>
              <w:t>ACTIVE — Validation In Progress</w:t>
            </w:r>
          </w:p>
        </w:tc>
      </w:tr>
      <w:tr>
        <w:trPr>
          <w:cantSplit/>
        </w:trPr>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9"/>
                <w:szCs w:val="22"/>
                <w:lang w:val="en-US" w:eastAsia="en-US" w:bidi="ar-SA"/>
              </w:rPr>
              <w:t>Date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9"/>
                <w:szCs w:val="22"/>
                <w:lang w:val="en-US" w:eastAsia="en-US" w:bidi="ar-SA"/>
              </w:rPr>
              <w:t>August 21, 2026</w:t>
            </w:r>
          </w:p>
        </w:tc>
      </w:tr>
      <w:tr>
        <w:trPr>
          <w:cantSplit/>
        </w:trPr>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9"/>
                <w:szCs w:val="22"/>
                <w:lang w:val="en-US" w:eastAsia="en-US" w:bidi="ar-SA"/>
              </w:rPr>
              <w:t>Classification</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9"/>
                <w:szCs w:val="22"/>
                <w:lang w:val="en-US" w:eastAsia="en-US" w:bidi="ar-SA"/>
              </w:rPr>
              <w:t>Internal — Engineering Validation</w:t>
            </w:r>
          </w:p>
        </w:tc>
      </w:tr>
      <w:tr>
        <w:trPr>
          <w:cantSplit/>
        </w:trPr>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9"/>
                <w:szCs w:val="22"/>
                <w:lang w:val="en-US" w:eastAsia="en-US" w:bidi="ar-SA"/>
              </w:rPr>
              <w:t>Owner</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9"/>
                <w:szCs w:val="22"/>
                <w:lang w:val="en-US" w:eastAsia="en-US" w:bidi="ar-SA"/>
              </w:rPr>
              <w:t>[Test Lead Name]</w:t>
            </w:r>
          </w:p>
        </w:tc>
      </w:tr>
      <w:tr>
        <w:trPr>
          <w:cantSplit/>
        </w:trPr>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9"/>
                <w:szCs w:val="22"/>
                <w:lang w:val="en-US" w:eastAsia="en-US" w:bidi="ar-SA"/>
              </w:rPr>
              <w:t>Environment</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9"/>
                <w:szCs w:val="22"/>
                <w:lang w:val="en-US" w:eastAsia="en-US" w:bidi="ar-SA"/>
              </w:rPr>
              <w:t>[Subscription ID / Tenant ID — fill on start]</w:t>
            </w:r>
          </w:p>
        </w:tc>
      </w:tr>
      <w:tr>
        <w:trPr>
          <w:cantSplit/>
        </w:trPr>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9"/>
                <w:szCs w:val="22"/>
                <w:lang w:val="en-US" w:eastAsia="en-US" w:bidi="ar-SA"/>
              </w:rPr>
              <w:t>Authoritative source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9"/>
                <w:szCs w:val="22"/>
                <w:lang w:val="en-US" w:eastAsia="en-US" w:bidi="ar-SA"/>
              </w:rPr>
              <w:t>acrme_production_readiness_review_and_architecture.md</w:t>
            </w:r>
          </w:p>
        </w:tc>
      </w:tr>
      <w:tr>
        <w:trPr>
          <w:cantSplit/>
        </w:trPr>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9"/>
                <w:szCs w:val="22"/>
                <w:lang w:val="en-US" w:eastAsia="en-US" w:bidi="ar-SA"/>
              </w:rPr>
              <w:t>Programme</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9"/>
                <w:szCs w:val="22"/>
                <w:lang w:val="en-US" w:eastAsia="en-US" w:bidi="ar-SA"/>
              </w:rPr>
              <w:t>Azure Capacity Reservation Management Engine (ACRME)</w:t>
            </w:r>
          </w:p>
        </w:tc>
      </w:tr>
    </w:tbl>
    <w:p>
      <w:pPr>
        <w:pStyle w:val="Normal"/>
        <w:rPr/>
      </w:pPr>
      <w:r>
        <w:rPr>
          <w:rFonts w:eastAsia="Calibri"/>
          <w:b w:val="false"/>
          <w:i/>
          <w:color w:val="555555"/>
          <w:sz w:val="20"/>
        </w:rPr>
        <w:t>This workbook is the executable validation runbook for the finalized ACRME architecture. Expected results are hypotheses until executed with retained evidence. Preview features are not Microsoft contractual commitments. Tier 3 and VMSS emergency automation remain blocked in Phase 1.</w:t>
      </w:r>
      <w:r>
        <w:br w:type="page"/>
      </w:r>
    </w:p>
    <w:p>
      <w:pPr>
        <w:pStyle w:val="Heading1"/>
        <w:spacing w:before="0" w:after="160"/>
        <w:rPr/>
      </w:pPr>
      <w:bookmarkStart w:id="0" w:name="__RefHeading___Toc21392_693750392"/>
      <w:bookmarkEnd w:id="0"/>
      <w:r>
        <w:rPr/>
        <w:t>Contents</w:t>
      </w:r>
    </w:p>
    <w:p>
      <w:pPr>
        <w:pStyle w:val="Normal"/>
        <w:rPr/>
      </w:pPr>
      <w:r>
        <w:rPr>
          <w:rFonts w:eastAsia="Calibri"/>
          <w:b w:val="false"/>
          <w:i/>
          <w:color w:val="555555"/>
          <w:sz w:val="19"/>
        </w:rPr>
        <w:t>Update this table of contents in Microsoft Word (References → Update Table) after opening the file.</w:t>
      </w:r>
    </w:p>
    <w:sdt>
      <w:sdtPr>
        <w:docPartObj>
          <w:docPartGallery w:val="Table of Contents"/>
          <w:docPartUnique w:val="true"/>
        </w:docPartObj>
      </w:sdtPr>
      <w:sdtContent>
        <w:p>
          <w:pPr>
            <w:pStyle w:val="TOC1"/>
            <w:tabs>
              <w:tab w:val="clear" w:pos="9638"/>
              <w:tab w:val="right" w:pos="9637" w:leader="dot"/>
            </w:tabs>
            <w:rPr/>
          </w:pPr>
          <w:r>
            <w:fldChar w:fldCharType="begin"/>
          </w:r>
          <w:r>
            <w:rPr>
              <w:rStyle w:val="IndexLink"/>
            </w:rPr>
            <w:instrText xml:space="preserve"> TOC \o "1-3" \u \h</w:instrText>
          </w:r>
          <w:r>
            <w:rPr>
              <w:rStyle w:val="IndexLink"/>
            </w:rPr>
            <w:fldChar w:fldCharType="separate"/>
          </w:r>
          <w:hyperlink w:anchor="__RefHeading___Toc21392_693750392" w:tooltip="Contents">
            <w:r>
              <w:rPr>
                <w:rStyle w:val="IndexLink"/>
              </w:rPr>
              <w:t>Contents</w:t>
              <w:tab/>
              <w:t>2</w:t>
            </w:r>
          </w:hyperlink>
        </w:p>
        <w:p>
          <w:pPr>
            <w:pStyle w:val="TOC1"/>
            <w:tabs>
              <w:tab w:val="clear" w:pos="9638"/>
              <w:tab w:val="right" w:pos="9637" w:leader="dot"/>
            </w:tabs>
            <w:rPr/>
          </w:pPr>
          <w:hyperlink w:anchor="__RefHeading___Toc21394_693750392" w:tooltip="1. How to Use This Workbook">
            <w:r>
              <w:rPr>
                <w:rStyle w:val="IndexLink"/>
              </w:rPr>
              <w:t>1. How to Use This Workbook</w:t>
              <w:tab/>
              <w:t>6</w:t>
            </w:r>
          </w:hyperlink>
        </w:p>
        <w:p>
          <w:pPr>
            <w:pStyle w:val="TOC2"/>
            <w:tabs>
              <w:tab w:val="clear" w:pos="9355"/>
              <w:tab w:val="right" w:pos="9637" w:leader="dot"/>
            </w:tabs>
            <w:rPr/>
          </w:pPr>
          <w:hyperlink w:anchor="__RefHeading___Toc21396_693750392" w:tooltip="1.1 Evidence retention requirements">
            <w:r>
              <w:rPr>
                <w:rStyle w:val="IndexLink"/>
              </w:rPr>
              <w:t>1.1 Evidence retention requirements</w:t>
              <w:tab/>
              <w:t>6</w:t>
            </w:r>
          </w:hyperlink>
        </w:p>
        <w:p>
          <w:pPr>
            <w:pStyle w:val="TOC2"/>
            <w:tabs>
              <w:tab w:val="clear" w:pos="9355"/>
              <w:tab w:val="right" w:pos="9637" w:leader="dot"/>
            </w:tabs>
            <w:rPr/>
          </w:pPr>
          <w:hyperlink w:anchor="__RefHeading___Toc21398_693750392" w:tooltip="1.2 Status vocabulary">
            <w:r>
              <w:rPr>
                <w:rStyle w:val="IndexLink"/>
              </w:rPr>
              <w:t>1.2 Status vocabulary</w:t>
              <w:tab/>
              <w:t>6</w:t>
            </w:r>
          </w:hyperlink>
        </w:p>
        <w:p>
          <w:pPr>
            <w:pStyle w:val="TOC1"/>
            <w:tabs>
              <w:tab w:val="clear" w:pos="9638"/>
              <w:tab w:val="right" w:pos="9637" w:leader="dot"/>
            </w:tabs>
            <w:rPr/>
          </w:pPr>
          <w:hyperlink w:anchor="__RefHeading___Toc21400_693750392" w:tooltip="2. Environment Details">
            <w:r>
              <w:rPr>
                <w:rStyle w:val="IndexLink"/>
              </w:rPr>
              <w:t>2. Environment Details</w:t>
              <w:tab/>
              <w:t>7</w:t>
            </w:r>
          </w:hyperlink>
        </w:p>
        <w:p>
          <w:pPr>
            <w:pStyle w:val="TOC2"/>
            <w:tabs>
              <w:tab w:val="clear" w:pos="9355"/>
              <w:tab w:val="right" w:pos="9637" w:leader="dot"/>
            </w:tabs>
            <w:rPr/>
          </w:pPr>
          <w:hyperlink w:anchor="__RefHeading___Toc21402_693750392" w:tooltip="2.1 Naming conventions (recommended)">
            <w:r>
              <w:rPr>
                <w:rStyle w:val="IndexLink"/>
              </w:rPr>
              <w:t>2.1 Naming conventions (recommended)</w:t>
              <w:tab/>
              <w:t>7</w:t>
            </w:r>
          </w:hyperlink>
        </w:p>
        <w:p>
          <w:pPr>
            <w:pStyle w:val="TOC1"/>
            <w:tabs>
              <w:tab w:val="clear" w:pos="9638"/>
              <w:tab w:val="right" w:pos="9637" w:leader="dot"/>
            </w:tabs>
            <w:rPr/>
          </w:pPr>
          <w:hyperlink w:anchor="__RefHeading___Toc21404_693750392" w:tooltip="3. Pre-Flight Checklist">
            <w:r>
              <w:rPr>
                <w:rStyle w:val="IndexLink"/>
              </w:rPr>
              <w:t>3. Pre-Flight Checklist</w:t>
              <w:tab/>
              <w:t>8</w:t>
            </w:r>
          </w:hyperlink>
        </w:p>
        <w:p>
          <w:pPr>
            <w:pStyle w:val="TOC2"/>
            <w:tabs>
              <w:tab w:val="clear" w:pos="9355"/>
              <w:tab w:val="right" w:pos="9637" w:leader="dot"/>
            </w:tabs>
            <w:rPr/>
          </w:pPr>
          <w:hyperlink w:anchor="__RefHeading___Toc21406_693750392" w:tooltip="3.1 Hard region separation check">
            <w:r>
              <w:rPr>
                <w:rStyle w:val="IndexLink"/>
              </w:rPr>
              <w:t>3.1 Hard region separation check</w:t>
              <w:tab/>
              <w:t>9</w:t>
            </w:r>
          </w:hyperlink>
        </w:p>
        <w:p>
          <w:pPr>
            <w:pStyle w:val="TOC1"/>
            <w:tabs>
              <w:tab w:val="clear" w:pos="9638"/>
              <w:tab w:val="right" w:pos="9637" w:leader="dot"/>
            </w:tabs>
            <w:rPr/>
          </w:pPr>
          <w:hyperlink w:anchor="__RefHeading___Toc21408_693750392" w:tooltip="4. POC Test Groups">
            <w:r>
              <w:rPr>
                <w:rStyle w:val="IndexLink"/>
              </w:rPr>
              <w:t>4. POC Test Groups</w:t>
              <w:tab/>
              <w:t>9</w:t>
            </w:r>
          </w:hyperlink>
        </w:p>
        <w:p>
          <w:pPr>
            <w:pStyle w:val="TOC2"/>
            <w:tabs>
              <w:tab w:val="clear" w:pos="9355"/>
              <w:tab w:val="right" w:pos="9637" w:leader="dot"/>
            </w:tabs>
            <w:rPr/>
          </w:pPr>
          <w:hyperlink w:anchor="__RefHeading___Toc21410_693750392" w:tooltip="4.0 Test inventory summary">
            <w:r>
              <w:rPr>
                <w:rStyle w:val="IndexLink"/>
              </w:rPr>
              <w:t>4.0 Test inventory summary</w:t>
              <w:tab/>
              <w:t>9</w:t>
            </w:r>
          </w:hyperlink>
        </w:p>
        <w:p>
          <w:pPr>
            <w:pStyle w:val="TOC2"/>
            <w:tabs>
              <w:tab w:val="clear" w:pos="9355"/>
              <w:tab w:val="right" w:pos="9637" w:leader="dot"/>
            </w:tabs>
            <w:rPr/>
          </w:pPr>
          <w:hyperlink w:anchor="__RefHeading___Toc21412_693750392" w:tooltip="4.0.1 Recommended execution order">
            <w:r>
              <w:rPr>
                <w:rStyle w:val="IndexLink"/>
              </w:rPr>
              <w:t>4.0.1 Recommended execution order</w:t>
              <w:tab/>
              <w:t>9</w:t>
            </w:r>
          </w:hyperlink>
        </w:p>
        <w:p>
          <w:pPr>
            <w:pStyle w:val="TOC2"/>
            <w:tabs>
              <w:tab w:val="clear" w:pos="9355"/>
              <w:tab w:val="right" w:pos="9637" w:leader="dot"/>
            </w:tabs>
            <w:rPr/>
          </w:pPr>
          <w:hyperlink w:anchor="__RefHeading___Toc21414_693750392" w:tooltip="Group 1: CRG Creation and Basic Reservation">
            <w:r>
              <w:rPr>
                <w:rStyle w:val="IndexLink"/>
              </w:rPr>
              <w:t>Group 1: CRG Creation and Basic Reservation</w:t>
              <w:tab/>
              <w:t>10</w:t>
            </w:r>
          </w:hyperlink>
        </w:p>
        <w:p>
          <w:pPr>
            <w:pStyle w:val="TOC3"/>
            <w:tabs>
              <w:tab w:val="clear" w:pos="9071"/>
              <w:tab w:val="right" w:pos="9637" w:leader="dot"/>
            </w:tabs>
            <w:rPr/>
          </w:pPr>
          <w:hyperlink w:anchor="__RefHeading___Toc21416_693750392" w:tooltip="POC-01: Create CRG in Provider Subscription">
            <w:r>
              <w:rPr>
                <w:rStyle w:val="IndexLink"/>
              </w:rPr>
              <w:t>POC-01: Create CRG in Provider Subscription</w:t>
              <w:tab/>
              <w:t>10</w:t>
            </w:r>
          </w:hyperlink>
        </w:p>
        <w:p>
          <w:pPr>
            <w:pStyle w:val="TOC3"/>
            <w:tabs>
              <w:tab w:val="clear" w:pos="9071"/>
              <w:tab w:val="right" w:pos="9637" w:leader="dot"/>
            </w:tabs>
            <w:rPr/>
          </w:pPr>
          <w:hyperlink w:anchor="__RefHeading___Toc21418_693750392" w:tooltip="POC-02: Create Capacity Reservation within the CRG">
            <w:r>
              <w:rPr>
                <w:rStyle w:val="IndexLink"/>
              </w:rPr>
              <w:t>POC-02: Create Capacity Reservation within the CRG</w:t>
              <w:tab/>
              <w:t>11</w:t>
            </w:r>
          </w:hyperlink>
        </w:p>
        <w:p>
          <w:pPr>
            <w:pStyle w:val="TOC3"/>
            <w:tabs>
              <w:tab w:val="clear" w:pos="9071"/>
              <w:tab w:val="right" w:pos="9637" w:leader="dot"/>
            </w:tabs>
            <w:rPr/>
          </w:pPr>
          <w:hyperlink w:anchor="__RefHeading___Toc21420_693750392" w:tooltip="POC-03: Associate VM with Reservation (Provider Subscription)">
            <w:r>
              <w:rPr>
                <w:rStyle w:val="IndexLink"/>
              </w:rPr>
              <w:t>POC-03: Associate VM with Reservation (Provider Subscription)</w:t>
              <w:tab/>
              <w:t>12</w:t>
            </w:r>
          </w:hyperlink>
        </w:p>
        <w:p>
          <w:pPr>
            <w:pStyle w:val="TOC3"/>
            <w:tabs>
              <w:tab w:val="clear" w:pos="9071"/>
              <w:tab w:val="right" w:pos="9637" w:leader="dot"/>
            </w:tabs>
            <w:rPr/>
          </w:pPr>
          <w:hyperlink w:anchor="__RefHeading___Toc21422_693750392" w:tooltip="POC-04: Verify Capacity Consumption Count Increments">
            <w:r>
              <w:rPr>
                <w:rStyle w:val="IndexLink"/>
              </w:rPr>
              <w:t>POC-04: Verify Capacity Consumption Count Increments</w:t>
              <w:tab/>
              <w:t>13</w:t>
            </w:r>
          </w:hyperlink>
        </w:p>
        <w:p>
          <w:pPr>
            <w:pStyle w:val="TOC3"/>
            <w:tabs>
              <w:tab w:val="clear" w:pos="9071"/>
              <w:tab w:val="right" w:pos="9637" w:leader="dot"/>
            </w:tabs>
            <w:rPr/>
          </w:pPr>
          <w:hyperlink w:anchor="__RefHeading___Toc21424_693750392" w:tooltip="POC-05: Disassociate VM — Verify Capacity Released">
            <w:r>
              <w:rPr>
                <w:rStyle w:val="IndexLink"/>
              </w:rPr>
              <w:t>POC-05: Disassociate VM — Verify Capacity Released</w:t>
              <w:tab/>
              <w:t>14</w:t>
            </w:r>
          </w:hyperlink>
        </w:p>
        <w:p>
          <w:pPr>
            <w:pStyle w:val="TOC3"/>
            <w:tabs>
              <w:tab w:val="clear" w:pos="9071"/>
              <w:tab w:val="right" w:pos="9637" w:leader="dot"/>
            </w:tabs>
            <w:rPr/>
          </w:pPr>
          <w:hyperlink w:anchor="__RefHeading___Toc21426_693750392" w:tooltip="G1 group roll-up sign-off">
            <w:r>
              <w:rPr>
                <w:rStyle w:val="IndexLink"/>
              </w:rPr>
              <w:t>G1 group roll-up sign-off</w:t>
              <w:tab/>
              <w:t>15</w:t>
            </w:r>
          </w:hyperlink>
        </w:p>
        <w:p>
          <w:pPr>
            <w:pStyle w:val="TOC2"/>
            <w:tabs>
              <w:tab w:val="clear" w:pos="9355"/>
              <w:tab w:val="right" w:pos="9637" w:leader="dot"/>
            </w:tabs>
            <w:rPr/>
          </w:pPr>
          <w:hyperlink w:anchor="__RefHeading___Toc21428_693750392" w:tooltip="Group 2: Cross-Subscription Sharing (Preview Feature)">
            <w:r>
              <w:rPr>
                <w:rStyle w:val="IndexLink"/>
              </w:rPr>
              <w:t>Group 2: Cross-Subscription Sharing (Preview Feature)</w:t>
              <w:tab/>
              <w:t>15</w:t>
            </w:r>
          </w:hyperlink>
        </w:p>
        <w:p>
          <w:pPr>
            <w:pStyle w:val="TOC3"/>
            <w:tabs>
              <w:tab w:val="clear" w:pos="9071"/>
              <w:tab w:val="right" w:pos="9637" w:leader="dot"/>
            </w:tabs>
            <w:rPr/>
          </w:pPr>
          <w:hyperlink w:anchor="__RefHeading___Toc21430_693750392" w:tooltip="POC-06: Enable Cross-Subscription Sharing on CRG">
            <w:r>
              <w:rPr>
                <w:rStyle w:val="IndexLink"/>
              </w:rPr>
              <w:t>POC-06: Enable Cross-Subscription Sharing on CRG</w:t>
              <w:tab/>
              <w:t>15</w:t>
            </w:r>
          </w:hyperlink>
        </w:p>
        <w:p>
          <w:pPr>
            <w:pStyle w:val="TOC3"/>
            <w:tabs>
              <w:tab w:val="clear" w:pos="9071"/>
              <w:tab w:val="right" w:pos="9637" w:leader="dot"/>
            </w:tabs>
            <w:rPr/>
          </w:pPr>
          <w:hyperlink w:anchor="__RefHeading___Toc21432_693750392" w:tooltip="POC-06a: Cross-Subscription Zone Alignment Validation (FC-06 — Critical)">
            <w:r>
              <w:rPr>
                <w:rStyle w:val="IndexLink"/>
              </w:rPr>
              <w:t>POC-06a: Cross-Subscription Zone Alignment Validation (FC-06 — Critical)</w:t>
              <w:tab/>
              <w:t>16</w:t>
            </w:r>
          </w:hyperlink>
        </w:p>
        <w:p>
          <w:pPr>
            <w:pStyle w:val="TOC3"/>
            <w:tabs>
              <w:tab w:val="clear" w:pos="9071"/>
              <w:tab w:val="right" w:pos="9637" w:leader="dot"/>
            </w:tabs>
            <w:rPr/>
          </w:pPr>
          <w:hyperlink w:anchor="__RefHeading___Toc21434_693750392" w:tooltip="POC-07: Consumer Discovers Shared CRG via ARG">
            <w:r>
              <w:rPr>
                <w:rStyle w:val="IndexLink"/>
              </w:rPr>
              <w:t>POC-07: Consumer Discovers Shared CRG via ARG</w:t>
              <w:tab/>
              <w:t>17</w:t>
            </w:r>
          </w:hyperlink>
        </w:p>
        <w:p>
          <w:pPr>
            <w:pStyle w:val="TOC3"/>
            <w:tabs>
              <w:tab w:val="clear" w:pos="9071"/>
              <w:tab w:val="right" w:pos="9637" w:leader="dot"/>
            </w:tabs>
            <w:rPr/>
          </w:pPr>
          <w:hyperlink w:anchor="__RefHeading___Toc21436_693750392" w:tooltip="POC-08: Associate Consumer VM with Shared CRG">
            <w:r>
              <w:rPr>
                <w:rStyle w:val="IndexLink"/>
              </w:rPr>
              <w:t>POC-08: Associate Consumer VM with Shared CRG</w:t>
              <w:tab/>
              <w:t>18</w:t>
            </w:r>
          </w:hyperlink>
        </w:p>
        <w:p>
          <w:pPr>
            <w:pStyle w:val="TOC3"/>
            <w:tabs>
              <w:tab w:val="clear" w:pos="9071"/>
              <w:tab w:val="right" w:pos="9637" w:leader="dot"/>
            </w:tabs>
            <w:rPr/>
          </w:pPr>
          <w:hyperlink w:anchor="__RefHeading___Toc21438_693750392" w:tooltip="POC-09: Verify Combined Consumption Count">
            <w:r>
              <w:rPr>
                <w:rStyle w:val="IndexLink"/>
              </w:rPr>
              <w:t>POC-09: Verify Combined Consumption Count</w:t>
              <w:tab/>
              <w:t>19</w:t>
            </w:r>
          </w:hyperlink>
        </w:p>
        <w:p>
          <w:pPr>
            <w:pStyle w:val="TOC3"/>
            <w:tabs>
              <w:tab w:val="clear" w:pos="9071"/>
              <w:tab w:val="right" w:pos="9637" w:leader="dot"/>
            </w:tabs>
            <w:rPr/>
          </w:pPr>
          <w:hyperlink w:anchor="__RefHeading___Toc21440_693750392" w:tooltip="POC-10: 100-Consumer Limit Boundary Behaviour">
            <w:r>
              <w:rPr>
                <w:rStyle w:val="IndexLink"/>
              </w:rPr>
              <w:t>POC-10: 100-Consumer Limit Boundary Behaviour</w:t>
              <w:tab/>
              <w:t>20</w:t>
            </w:r>
          </w:hyperlink>
        </w:p>
        <w:p>
          <w:pPr>
            <w:pStyle w:val="TOC3"/>
            <w:tabs>
              <w:tab w:val="clear" w:pos="9071"/>
              <w:tab w:val="right" w:pos="9637" w:leader="dot"/>
            </w:tabs>
            <w:rPr/>
          </w:pPr>
          <w:hyperlink w:anchor="__RefHeading___Toc21442_693750392" w:tooltip="G2 group roll-up sign-off">
            <w:r>
              <w:rPr>
                <w:rStyle w:val="IndexLink"/>
              </w:rPr>
              <w:t>G2 group roll-up sign-off</w:t>
              <w:tab/>
              <w:t>21</w:t>
            </w:r>
          </w:hyperlink>
        </w:p>
        <w:p>
          <w:pPr>
            <w:pStyle w:val="TOC2"/>
            <w:tabs>
              <w:tab w:val="clear" w:pos="9355"/>
              <w:tab w:val="right" w:pos="9637" w:leader="dot"/>
            </w:tabs>
            <w:rPr/>
          </w:pPr>
          <w:hyperlink w:anchor="__RefHeading___Toc21444_693750392" w:tooltip="Group 3: DR Capacity and Failover">
            <w:r>
              <w:rPr>
                <w:rStyle w:val="IndexLink"/>
              </w:rPr>
              <w:t>Group 3: DR Capacity and Failover</w:t>
              <w:tab/>
              <w:t>22</w:t>
            </w:r>
          </w:hyperlink>
        </w:p>
        <w:p>
          <w:pPr>
            <w:pStyle w:val="TOC3"/>
            <w:tabs>
              <w:tab w:val="clear" w:pos="9071"/>
              <w:tab w:val="right" w:pos="9637" w:leader="dot"/>
            </w:tabs>
            <w:rPr/>
          </w:pPr>
          <w:hyperlink w:anchor="__RefHeading___Toc21446_693750392" w:tooltip="POC-11: Create DR Region CRG and Reservation">
            <w:r>
              <w:rPr>
                <w:rStyle w:val="IndexLink"/>
              </w:rPr>
              <w:t>POC-11: Create DR Region CRG and Reservation</w:t>
              <w:tab/>
              <w:t>22</w:t>
            </w:r>
          </w:hyperlink>
        </w:p>
        <w:p>
          <w:pPr>
            <w:pStyle w:val="TOC3"/>
            <w:tabs>
              <w:tab w:val="clear" w:pos="9071"/>
              <w:tab w:val="right" w:pos="9637" w:leader="dot"/>
            </w:tabs>
            <w:rPr/>
          </w:pPr>
          <w:hyperlink w:anchor="__RefHeading___Toc21448_693750392" w:tooltip="POC-12: Simulate DR Failover">
            <w:r>
              <w:rPr>
                <w:rStyle w:val="IndexLink"/>
              </w:rPr>
              <w:t>POC-12: Simulate DR Failover</w:t>
              <w:tab/>
              <w:t>23</w:t>
            </w:r>
          </w:hyperlink>
        </w:p>
        <w:p>
          <w:pPr>
            <w:pStyle w:val="TOC3"/>
            <w:tabs>
              <w:tab w:val="clear" w:pos="9071"/>
              <w:tab w:val="right" w:pos="9637" w:leader="dot"/>
            </w:tabs>
            <w:rPr/>
          </w:pPr>
          <w:hyperlink w:anchor="__RefHeading___Toc21450_693750392" w:tooltip="POC-13: DR Floor Protection Verification">
            <w:r>
              <w:rPr>
                <w:rStyle w:val="IndexLink"/>
              </w:rPr>
              <w:t>POC-13: DR Floor Protection Verification</w:t>
              <w:tab/>
              <w:t>24</w:t>
            </w:r>
          </w:hyperlink>
        </w:p>
        <w:p>
          <w:pPr>
            <w:pStyle w:val="TOC3"/>
            <w:tabs>
              <w:tab w:val="clear" w:pos="9071"/>
              <w:tab w:val="right" w:pos="9637" w:leader="dot"/>
            </w:tabs>
            <w:rPr/>
          </w:pPr>
          <w:hyperlink w:anchor="__RefHeading___Toc21452_693750392" w:tooltip="POC-14: Failback — Restore Primary, Release DR">
            <w:r>
              <w:rPr>
                <w:rStyle w:val="IndexLink"/>
              </w:rPr>
              <w:t>POC-14: Failback — Restore Primary, Release DR</w:t>
              <w:tab/>
              <w:t>25</w:t>
            </w:r>
          </w:hyperlink>
        </w:p>
        <w:p>
          <w:pPr>
            <w:pStyle w:val="TOC3"/>
            <w:tabs>
              <w:tab w:val="clear" w:pos="9071"/>
              <w:tab w:val="right" w:pos="9637" w:leader="dot"/>
            </w:tabs>
            <w:rPr/>
          </w:pPr>
          <w:hyperlink w:anchor="__RefHeading___Toc21454_693750392" w:tooltip="G3 group roll-up sign-off">
            <w:r>
              <w:rPr>
                <w:rStyle w:val="IndexLink"/>
              </w:rPr>
              <w:t>G3 group roll-up sign-off</w:t>
              <w:tab/>
              <w:t>26</w:t>
            </w:r>
          </w:hyperlink>
        </w:p>
        <w:p>
          <w:pPr>
            <w:pStyle w:val="TOC2"/>
            <w:tabs>
              <w:tab w:val="clear" w:pos="9355"/>
              <w:tab w:val="right" w:pos="9637" w:leader="dot"/>
            </w:tabs>
            <w:rPr/>
          </w:pPr>
          <w:hyperlink w:anchor="__RefHeading___Toc21456_693750392" w:tooltip="Group 4: Quota Group Validation (Preview — Gated)">
            <w:r>
              <w:rPr>
                <w:rStyle w:val="IndexLink"/>
              </w:rPr>
              <w:t>Group 4: Quota Group Validation (Preview — Gated)</w:t>
              <w:tab/>
              <w:t>26</w:t>
            </w:r>
          </w:hyperlink>
        </w:p>
        <w:p>
          <w:pPr>
            <w:pStyle w:val="TOC3"/>
            <w:tabs>
              <w:tab w:val="clear" w:pos="9071"/>
              <w:tab w:val="right" w:pos="9637" w:leader="dot"/>
            </w:tabs>
            <w:rPr/>
          </w:pPr>
          <w:hyperlink w:anchor="__RefHeading___Toc21458_693750392" w:tooltip="POC-30: Verify Quota Group API Availability">
            <w:r>
              <w:rPr>
                <w:rStyle w:val="IndexLink"/>
              </w:rPr>
              <w:t>POC-30: Verify Quota Group API Availability</w:t>
              <w:tab/>
              <w:t>26</w:t>
            </w:r>
          </w:hyperlink>
        </w:p>
        <w:p>
          <w:pPr>
            <w:pStyle w:val="TOC3"/>
            <w:tabs>
              <w:tab w:val="clear" w:pos="9071"/>
              <w:tab w:val="right" w:pos="9637" w:leader="dot"/>
            </w:tabs>
            <w:rPr/>
          </w:pPr>
          <w:hyperlink w:anchor="__RefHeading___Toc21460_693750392" w:tooltip="POC-31: Add Subscription to Quota Group and Verify Headroom">
            <w:r>
              <w:rPr>
                <w:rStyle w:val="IndexLink"/>
              </w:rPr>
              <w:t>POC-31: Add Subscription to Quota Group and Verify Headroom</w:t>
              <w:tab/>
              <w:t>27</w:t>
            </w:r>
          </w:hyperlink>
        </w:p>
        <w:p>
          <w:pPr>
            <w:pStyle w:val="TOC3"/>
            <w:tabs>
              <w:tab w:val="clear" w:pos="9071"/>
              <w:tab w:val="right" w:pos="9637" w:leader="dot"/>
            </w:tabs>
            <w:rPr/>
          </w:pPr>
          <w:hyperlink w:anchor="__RefHeading___Toc21462_693750392" w:tooltip="POC-32: Release and Reuse Behaviour">
            <w:r>
              <w:rPr>
                <w:rStyle w:val="IndexLink"/>
              </w:rPr>
              <w:t>POC-32: Release and Reuse Behaviour</w:t>
              <w:tab/>
              <w:t>28</w:t>
            </w:r>
          </w:hyperlink>
        </w:p>
        <w:p>
          <w:pPr>
            <w:pStyle w:val="TOC3"/>
            <w:tabs>
              <w:tab w:val="clear" w:pos="9071"/>
              <w:tab w:val="right" w:pos="9637" w:leader="dot"/>
            </w:tabs>
            <w:rPr/>
          </w:pPr>
          <w:hyperlink w:anchor="__RefHeading___Toc21464_693750392" w:tooltip="G4 group roll-up sign-off">
            <w:r>
              <w:rPr>
                <w:rStyle w:val="IndexLink"/>
              </w:rPr>
              <w:t>G4 group roll-up sign-off</w:t>
              <w:tab/>
              <w:t>29</w:t>
            </w:r>
          </w:hyperlink>
        </w:p>
        <w:p>
          <w:pPr>
            <w:pStyle w:val="TOC2"/>
            <w:tabs>
              <w:tab w:val="clear" w:pos="9355"/>
              <w:tab w:val="right" w:pos="9637" w:leader="dot"/>
            </w:tabs>
            <w:rPr/>
          </w:pPr>
          <w:hyperlink w:anchor="__RefHeading___Toc21466_693750392" w:tooltip="Group 5: Engine Safety Controls">
            <w:r>
              <w:rPr>
                <w:rStyle w:val="IndexLink"/>
              </w:rPr>
              <w:t>Group 5: Engine Safety Controls</w:t>
              <w:tab/>
              <w:t>30</w:t>
            </w:r>
          </w:hyperlink>
        </w:p>
        <w:p>
          <w:pPr>
            <w:pStyle w:val="TOC3"/>
            <w:tabs>
              <w:tab w:val="clear" w:pos="9071"/>
              <w:tab w:val="right" w:pos="9637" w:leader="dot"/>
            </w:tabs>
            <w:rPr/>
          </w:pPr>
          <w:hyperlink w:anchor="__RefHeading___Toc21468_693750392" w:tooltip="POC-15: Zero-Quantity Reservation Behaviour">
            <w:r>
              <w:rPr>
                <w:rStyle w:val="IndexLink"/>
              </w:rPr>
              <w:t>POC-15: Zero-Quantity Reservation Behaviour</w:t>
              <w:tab/>
              <w:t>30</w:t>
            </w:r>
          </w:hyperlink>
        </w:p>
        <w:p>
          <w:pPr>
            <w:pStyle w:val="TOC3"/>
            <w:tabs>
              <w:tab w:val="clear" w:pos="9071"/>
              <w:tab w:val="right" w:pos="9637" w:leader="dot"/>
            </w:tabs>
            <w:rPr/>
          </w:pPr>
          <w:hyperlink w:anchor="__RefHeading___Toc21470_693750392" w:tooltip="POC-16: ARG Indexing Delay Measurement">
            <w:r>
              <w:rPr>
                <w:rStyle w:val="IndexLink"/>
              </w:rPr>
              <w:t>POC-16: ARG Indexing Delay Measurement</w:t>
              <w:tab/>
              <w:t>31</w:t>
            </w:r>
          </w:hyperlink>
        </w:p>
        <w:p>
          <w:pPr>
            <w:pStyle w:val="TOC3"/>
            <w:tabs>
              <w:tab w:val="clear" w:pos="9071"/>
              <w:tab w:val="right" w:pos="9637" w:leader="dot"/>
            </w:tabs>
            <w:rPr/>
          </w:pPr>
          <w:hyperlink w:anchor="__RefHeading___Toc21472_693750392" w:tooltip="POC-17: Concurrent Association Safety">
            <w:r>
              <w:rPr>
                <w:rStyle w:val="IndexLink"/>
              </w:rPr>
              <w:t>POC-17: Concurrent Association Safety</w:t>
              <w:tab/>
              <w:t>32</w:t>
            </w:r>
          </w:hyperlink>
        </w:p>
        <w:p>
          <w:pPr>
            <w:pStyle w:val="TOC3"/>
            <w:tabs>
              <w:tab w:val="clear" w:pos="9071"/>
              <w:tab w:val="right" w:pos="9637" w:leader="dot"/>
            </w:tabs>
            <w:rPr/>
          </w:pPr>
          <w:hyperlink w:anchor="__RefHeading___Toc21474_693750392" w:tooltip="POC-18: Tier 1 Automatic Capacity Increase">
            <w:r>
              <w:rPr>
                <w:rStyle w:val="IndexLink"/>
              </w:rPr>
              <w:t>POC-18: Tier 1 Automatic Capacity Increase</w:t>
              <w:tab/>
              <w:t>33</w:t>
            </w:r>
          </w:hyperlink>
        </w:p>
        <w:p>
          <w:pPr>
            <w:pStyle w:val="TOC3"/>
            <w:tabs>
              <w:tab w:val="clear" w:pos="9071"/>
              <w:tab w:val="right" w:pos="9637" w:leader="dot"/>
            </w:tabs>
            <w:rPr/>
          </w:pPr>
          <w:hyperlink w:anchor="__RefHeading___Toc21476_693750392" w:tooltip="POC-19: Tier 2 Approval Gate">
            <w:r>
              <w:rPr>
                <w:rStyle w:val="IndexLink"/>
              </w:rPr>
              <w:t>POC-19: Tier 2 Approval Gate</w:t>
              <w:tab/>
              <w:t>34</w:t>
            </w:r>
          </w:hyperlink>
        </w:p>
        <w:p>
          <w:pPr>
            <w:pStyle w:val="TOC3"/>
            <w:tabs>
              <w:tab w:val="clear" w:pos="9071"/>
              <w:tab w:val="right" w:pos="9637" w:leader="dot"/>
            </w:tabs>
            <w:rPr/>
          </w:pPr>
          <w:hyperlink w:anchor="__RefHeading___Toc21478_693750392" w:tooltip="POC-20: Tier 3 Rejection in Phase 1">
            <w:r>
              <w:rPr>
                <w:rStyle w:val="IndexLink"/>
              </w:rPr>
              <w:t>POC-20: Tier 3 Rejection in Phase 1</w:t>
              <w:tab/>
              <w:t>35</w:t>
            </w:r>
          </w:hyperlink>
        </w:p>
        <w:p>
          <w:pPr>
            <w:pStyle w:val="TOC3"/>
            <w:tabs>
              <w:tab w:val="clear" w:pos="9071"/>
              <w:tab w:val="right" w:pos="9637" w:leader="dot"/>
            </w:tabs>
            <w:rPr/>
          </w:pPr>
          <w:hyperlink w:anchor="__RefHeading___Toc21480_693750392" w:tooltip="G5 group roll-up sign-off">
            <w:r>
              <w:rPr>
                <w:rStyle w:val="IndexLink"/>
              </w:rPr>
              <w:t>G5 group roll-up sign-off</w:t>
              <w:tab/>
              <w:t>36</w:t>
            </w:r>
          </w:hyperlink>
        </w:p>
        <w:p>
          <w:pPr>
            <w:pStyle w:val="TOC2"/>
            <w:tabs>
              <w:tab w:val="clear" w:pos="9355"/>
              <w:tab w:val="right" w:pos="9637" w:leader="dot"/>
            </w:tabs>
            <w:rPr/>
          </w:pPr>
          <w:hyperlink w:anchor="__RefHeading___Toc21482_693750392" w:tooltip="Group 6: AKS and VMSS Behaviour">
            <w:r>
              <w:rPr>
                <w:rStyle w:val="IndexLink"/>
              </w:rPr>
              <w:t>Group 6: AKS and VMSS Behaviour</w:t>
              <w:tab/>
              <w:t>36</w:t>
            </w:r>
          </w:hyperlink>
        </w:p>
        <w:p>
          <w:pPr>
            <w:pStyle w:val="TOC3"/>
            <w:tabs>
              <w:tab w:val="clear" w:pos="9071"/>
              <w:tab w:val="right" w:pos="9637" w:leader="dot"/>
            </w:tabs>
            <w:rPr/>
          </w:pPr>
          <w:hyperlink w:anchor="__RefHeading___Toc21484_693750392" w:tooltip="POC-AKS-01: AKS Node Pool CRG Association at Creation">
            <w:r>
              <w:rPr>
                <w:rStyle w:val="IndexLink"/>
              </w:rPr>
              <w:t>POC-AKS-01: AKS Node Pool CRG Association at Creation</w:t>
              <w:tab/>
              <w:t>36</w:t>
            </w:r>
          </w:hyperlink>
        </w:p>
        <w:p>
          <w:pPr>
            <w:pStyle w:val="TOC3"/>
            <w:tabs>
              <w:tab w:val="clear" w:pos="9071"/>
              <w:tab w:val="right" w:pos="9637" w:leader="dot"/>
            </w:tabs>
            <w:rPr/>
          </w:pPr>
          <w:hyperlink w:anchor="__RefHeading___Toc21486_693750392" w:tooltip="POC-AKS-02: Verify Existing Node Pool Requires Recreation for CRG Change (FC-18)">
            <w:r>
              <w:rPr>
                <w:rStyle w:val="IndexLink"/>
              </w:rPr>
              <w:t>POC-AKS-02: Verify Existing Node Pool Requires Recreation for CRG Change (FC-18)</w:t>
              <w:tab/>
              <w:t>37</w:t>
            </w:r>
          </w:hyperlink>
        </w:p>
        <w:p>
          <w:pPr>
            <w:pStyle w:val="TOC3"/>
            <w:tabs>
              <w:tab w:val="clear" w:pos="9071"/>
              <w:tab w:val="right" w:pos="9637" w:leader="dot"/>
            </w:tabs>
            <w:rPr/>
          </w:pPr>
          <w:hyperlink w:anchor="__RefHeading___Toc21488_693750392" w:tooltip="POC-VMSS-01: VMSS Uniform CRG Association">
            <w:r>
              <w:rPr>
                <w:rStyle w:val="IndexLink"/>
              </w:rPr>
              <w:t>POC-VMSS-01: VMSS Uniform CRG Association</w:t>
              <w:tab/>
              <w:t>38</w:t>
            </w:r>
          </w:hyperlink>
        </w:p>
        <w:p>
          <w:pPr>
            <w:pStyle w:val="TOC3"/>
            <w:tabs>
              <w:tab w:val="clear" w:pos="9071"/>
              <w:tab w:val="right" w:pos="9637" w:leader="dot"/>
            </w:tabs>
            <w:rPr/>
          </w:pPr>
          <w:hyperlink w:anchor="__RefHeading___Toc21490_693750392" w:tooltip="POC-VMSS-02: VMSS Flexible CRG Association">
            <w:r>
              <w:rPr>
                <w:rStyle w:val="IndexLink"/>
              </w:rPr>
              <w:t>POC-VMSS-02: VMSS Flexible CRG Association</w:t>
              <w:tab/>
              <w:t>39</w:t>
            </w:r>
          </w:hyperlink>
        </w:p>
        <w:p>
          <w:pPr>
            <w:pStyle w:val="TOC3"/>
            <w:tabs>
              <w:tab w:val="clear" w:pos="9071"/>
              <w:tab w:val="right" w:pos="9637" w:leader="dot"/>
            </w:tabs>
            <w:rPr/>
          </w:pPr>
          <w:hyperlink w:anchor="__RefHeading___Toc21492_693750392" w:tooltip="POC-VMSS-03: VMSS Disassociation Behaviour">
            <w:r>
              <w:rPr>
                <w:rStyle w:val="IndexLink"/>
              </w:rPr>
              <w:t>POC-VMSS-03: VMSS Disassociation Behaviour</w:t>
              <w:tab/>
              <w:t>40</w:t>
            </w:r>
          </w:hyperlink>
        </w:p>
        <w:p>
          <w:pPr>
            <w:pStyle w:val="TOC3"/>
            <w:tabs>
              <w:tab w:val="clear" w:pos="9071"/>
              <w:tab w:val="right" w:pos="9637" w:leader="dot"/>
            </w:tabs>
            <w:rPr/>
          </w:pPr>
          <w:hyperlink w:anchor="__RefHeading___Toc21494_693750392" w:tooltip="POC-VMSS-DR: VMSS Zone Outage via Shared CRG (Preview Limitation — FC-08)">
            <w:r>
              <w:rPr>
                <w:rStyle w:val="IndexLink"/>
              </w:rPr>
              <w:t>POC-VMSS-DR: VMSS Zone Outage via Shared CRG (Preview Limitation — FC-08)</w:t>
              <w:tab/>
              <w:t>41</w:t>
            </w:r>
          </w:hyperlink>
        </w:p>
        <w:p>
          <w:pPr>
            <w:pStyle w:val="TOC3"/>
            <w:tabs>
              <w:tab w:val="clear" w:pos="9071"/>
              <w:tab w:val="right" w:pos="9637" w:leader="dot"/>
            </w:tabs>
            <w:rPr/>
          </w:pPr>
          <w:hyperlink w:anchor="__RefHeading___Toc21496_693750392" w:tooltip="G6 group roll-up sign-off">
            <w:r>
              <w:rPr>
                <w:rStyle w:val="IndexLink"/>
              </w:rPr>
              <w:t>G6 group roll-up sign-off</w:t>
              <w:tab/>
              <w:t>42</w:t>
            </w:r>
          </w:hyperlink>
        </w:p>
        <w:p>
          <w:pPr>
            <w:pStyle w:val="TOC2"/>
            <w:tabs>
              <w:tab w:val="clear" w:pos="9355"/>
              <w:tab w:val="right" w:pos="9637" w:leader="dot"/>
            </w:tabs>
            <w:rPr/>
          </w:pPr>
          <w:hyperlink w:anchor="__RefHeading___Toc21498_693750392" w:tooltip="Group 7: API Rate and Throttle Behaviour (FC-16)">
            <w:r>
              <w:rPr>
                <w:rStyle w:val="IndexLink"/>
              </w:rPr>
              <w:t>Group 7: API Rate and Throttle Behaviour (FC-16)</w:t>
              <w:tab/>
              <w:t>42</w:t>
            </w:r>
          </w:hyperlink>
        </w:p>
        <w:p>
          <w:pPr>
            <w:pStyle w:val="TOC3"/>
            <w:tabs>
              <w:tab w:val="clear" w:pos="9071"/>
              <w:tab w:val="right" w:pos="9637" w:leader="dot"/>
            </w:tabs>
            <w:rPr/>
          </w:pPr>
          <w:hyperlink w:anchor="__RefHeading___Toc21500_693750392" w:tooltip="POC-THROTTLE-01: Observe Compute Throttle Budget Headers">
            <w:r>
              <w:rPr>
                <w:rStyle w:val="IndexLink"/>
              </w:rPr>
              <w:t>POC-THROTTLE-01: Observe Compute Throttle Budget Headers</w:t>
              <w:tab/>
              <w:t>42</w:t>
            </w:r>
          </w:hyperlink>
        </w:p>
        <w:p>
          <w:pPr>
            <w:pStyle w:val="TOC3"/>
            <w:tabs>
              <w:tab w:val="clear" w:pos="9071"/>
              <w:tab w:val="right" w:pos="9637" w:leader="dot"/>
            </w:tabs>
            <w:rPr/>
          </w:pPr>
          <w:hyperlink w:anchor="__RefHeading___Toc21502_693750392" w:tooltip="POC-THROTTLE-02: Observe 429 Response and Retry-After Header">
            <w:r>
              <w:rPr>
                <w:rStyle w:val="IndexLink"/>
              </w:rPr>
              <w:t>POC-THROTTLE-02: Observe 429 Response and Retry-After Header</w:t>
              <w:tab/>
              <w:t>43</w:t>
            </w:r>
          </w:hyperlink>
        </w:p>
        <w:p>
          <w:pPr>
            <w:pStyle w:val="TOC3"/>
            <w:tabs>
              <w:tab w:val="clear" w:pos="9071"/>
              <w:tab w:val="right" w:pos="9637" w:leader="dot"/>
            </w:tabs>
            <w:rPr/>
          </w:pPr>
          <w:hyperlink w:anchor="__RefHeading___Toc21504_693750392" w:tooltip="POC-THROTTLE-03: Validate Budget Recovery After Throttle">
            <w:r>
              <w:rPr>
                <w:rStyle w:val="IndexLink"/>
              </w:rPr>
              <w:t>POC-THROTTLE-03: Validate Budget Recovery After Throttle</w:t>
              <w:tab/>
              <w:t>44</w:t>
            </w:r>
          </w:hyperlink>
        </w:p>
        <w:p>
          <w:pPr>
            <w:pStyle w:val="TOC3"/>
            <w:tabs>
              <w:tab w:val="clear" w:pos="9071"/>
              <w:tab w:val="right" w:pos="9637" w:leader="dot"/>
            </w:tabs>
            <w:rPr/>
          </w:pPr>
          <w:hyperlink w:anchor="__RefHeading___Toc21506_693750392" w:tooltip="G7 group roll-up sign-off">
            <w:r>
              <w:rPr>
                <w:rStyle w:val="IndexLink"/>
              </w:rPr>
              <w:t>G7 group roll-up sign-off</w:t>
              <w:tab/>
              <w:t>45</w:t>
            </w:r>
          </w:hyperlink>
        </w:p>
        <w:p>
          <w:pPr>
            <w:pStyle w:val="TOC2"/>
            <w:tabs>
              <w:tab w:val="clear" w:pos="9355"/>
              <w:tab w:val="right" w:pos="9637" w:leader="dot"/>
            </w:tabs>
            <w:rPr/>
          </w:pPr>
          <w:hyperlink w:anchor="__RefHeading___Toc21508_693750392" w:tooltip="Group 8: Reserved Instance Discount Scope (FC-09)">
            <w:r>
              <w:rPr>
                <w:rStyle w:val="IndexLink"/>
              </w:rPr>
              <w:t>Group 8: Reserved Instance Discount Scope (FC-09)</w:t>
              <w:tab/>
              <w:t>45</w:t>
            </w:r>
          </w:hyperlink>
        </w:p>
        <w:p>
          <w:pPr>
            <w:pStyle w:val="TOC3"/>
            <w:tabs>
              <w:tab w:val="clear" w:pos="9071"/>
              <w:tab w:val="right" w:pos="9637" w:leader="dot"/>
            </w:tabs>
            <w:rPr/>
          </w:pPr>
          <w:hyperlink w:anchor="__RefHeading___Toc21510_693750392" w:tooltip="POC-RI-01: Verify RI Discount Scope for Provider Subscription">
            <w:r>
              <w:rPr>
                <w:rStyle w:val="IndexLink"/>
              </w:rPr>
              <w:t>POC-RI-01: Verify RI Discount Scope for Provider Subscription</w:t>
              <w:tab/>
              <w:t>46</w:t>
            </w:r>
          </w:hyperlink>
        </w:p>
        <w:p>
          <w:pPr>
            <w:pStyle w:val="TOC3"/>
            <w:tabs>
              <w:tab w:val="clear" w:pos="9071"/>
              <w:tab w:val="right" w:pos="9637" w:leader="dot"/>
            </w:tabs>
            <w:rPr/>
          </w:pPr>
          <w:hyperlink w:anchor="__RefHeading___Toc21512_693750392" w:tooltip="POC-RI-02: Document Discount Gap per Customer Pair">
            <w:r>
              <w:rPr>
                <w:rStyle w:val="IndexLink"/>
              </w:rPr>
              <w:t>POC-RI-02: Document Discount Gap per Customer Pair</w:t>
              <w:tab/>
              <w:t>46</w:t>
            </w:r>
          </w:hyperlink>
        </w:p>
        <w:p>
          <w:pPr>
            <w:pStyle w:val="TOC3"/>
            <w:tabs>
              <w:tab w:val="clear" w:pos="9071"/>
              <w:tab w:val="right" w:pos="9637" w:leader="dot"/>
            </w:tabs>
            <w:rPr/>
          </w:pPr>
          <w:hyperlink w:anchor="__RefHeading___Toc21514_693750392" w:tooltip="G8 group roll-up sign-off">
            <w:r>
              <w:rPr>
                <w:rStyle w:val="IndexLink"/>
              </w:rPr>
              <w:t>G8 group roll-up sign-off</w:t>
              <w:tab/>
              <w:t>47</w:t>
            </w:r>
          </w:hyperlink>
        </w:p>
        <w:p>
          <w:pPr>
            <w:pStyle w:val="TOC1"/>
            <w:tabs>
              <w:tab w:val="clear" w:pos="9638"/>
              <w:tab w:val="right" w:pos="9637" w:leader="dot"/>
            </w:tabs>
            <w:rPr/>
          </w:pPr>
          <w:hyperlink w:anchor="__RefHeading___Toc21516_693750392" w:tooltip="5. Test Progress Tracker">
            <w:r>
              <w:rPr>
                <w:rStyle w:val="IndexLink"/>
              </w:rPr>
              <w:t>5. Test Progress Tracker</w:t>
              <w:tab/>
              <w:t>48</w:t>
            </w:r>
          </w:hyperlink>
        </w:p>
        <w:p>
          <w:pPr>
            <w:pStyle w:val="TOC1"/>
            <w:tabs>
              <w:tab w:val="clear" w:pos="9638"/>
              <w:tab w:val="right" w:pos="9637" w:leader="dot"/>
            </w:tabs>
            <w:rPr/>
          </w:pPr>
          <w:hyperlink w:anchor="__RefHeading___Toc21518_693750392" w:tooltip="6. Phase Gate Sign-Off Checklist">
            <w:r>
              <w:rPr>
                <w:rStyle w:val="IndexLink"/>
              </w:rPr>
              <w:t>6. Phase Gate Sign-Off Checklist</w:t>
              <w:tab/>
              <w:t>50</w:t>
            </w:r>
          </w:hyperlink>
        </w:p>
        <w:p>
          <w:pPr>
            <w:pStyle w:val="TOC2"/>
            <w:tabs>
              <w:tab w:val="clear" w:pos="9355"/>
              <w:tab w:val="right" w:pos="9637" w:leader="dot"/>
            </w:tabs>
            <w:rPr/>
          </w:pPr>
          <w:hyperlink w:anchor="__RefHeading___Toc21520_693750392" w:tooltip="6.1 Phase 1 (Pilot) Gate">
            <w:r>
              <w:rPr>
                <w:rStyle w:val="IndexLink"/>
              </w:rPr>
              <w:t>6.1 Phase 1 (Pilot) Gate</w:t>
              <w:tab/>
              <w:t>50</w:t>
            </w:r>
          </w:hyperlink>
        </w:p>
        <w:p>
          <w:pPr>
            <w:pStyle w:val="TOC2"/>
            <w:tabs>
              <w:tab w:val="clear" w:pos="9355"/>
              <w:tab w:val="right" w:pos="9637" w:leader="dot"/>
            </w:tabs>
            <w:rPr/>
          </w:pPr>
          <w:hyperlink w:anchor="__RefHeading___Toc21522_693750392" w:tooltip="6.2 Phase 2 (Controlled Automation) Gate">
            <w:r>
              <w:rPr>
                <w:rStyle w:val="IndexLink"/>
              </w:rPr>
              <w:t>6.2 Phase 2 (Controlled Automation) Gate</w:t>
              <w:tab/>
              <w:t>51</w:t>
            </w:r>
          </w:hyperlink>
        </w:p>
        <w:p>
          <w:pPr>
            <w:pStyle w:val="TOC2"/>
            <w:tabs>
              <w:tab w:val="clear" w:pos="9355"/>
              <w:tab w:val="right" w:pos="9637" w:leader="dot"/>
            </w:tabs>
            <w:rPr/>
          </w:pPr>
          <w:hyperlink w:anchor="__RefHeading___Toc21524_693750392" w:tooltip="6.3 Production Gate">
            <w:r>
              <w:rPr>
                <w:rStyle w:val="IndexLink"/>
              </w:rPr>
              <w:t>6.3 Production Gate</w:t>
              <w:tab/>
              <w:t>51</w:t>
            </w:r>
          </w:hyperlink>
        </w:p>
        <w:p>
          <w:pPr>
            <w:pStyle w:val="TOC2"/>
            <w:tabs>
              <w:tab w:val="clear" w:pos="9355"/>
              <w:tab w:val="right" w:pos="9637" w:leader="dot"/>
            </w:tabs>
            <w:rPr/>
          </w:pPr>
          <w:hyperlink w:anchor="__RefHeading___Toc21526_693750392" w:tooltip="6.4 Production entry gates (architecture PG-01 … PG-10)">
            <w:r>
              <w:rPr>
                <w:rStyle w:val="IndexLink"/>
              </w:rPr>
              <w:t>6.4 Production entry gates (architecture PG-01 … PG-10)</w:t>
              <w:tab/>
              <w:t>52</w:t>
            </w:r>
          </w:hyperlink>
        </w:p>
        <w:p>
          <w:pPr>
            <w:pStyle w:val="TOC2"/>
            <w:tabs>
              <w:tab w:val="clear" w:pos="9355"/>
              <w:tab w:val="right" w:pos="9637" w:leader="dot"/>
            </w:tabs>
            <w:rPr/>
          </w:pPr>
          <w:hyperlink w:anchor="__RefHeading___Toc21528_693750392" w:tooltip="6.5 Residual risk acceptance (production entry)">
            <w:r>
              <w:rPr>
                <w:rStyle w:val="IndexLink"/>
              </w:rPr>
              <w:t>6.5 Residual risk acceptance (production entry)</w:t>
              <w:tab/>
              <w:t>53</w:t>
            </w:r>
          </w:hyperlink>
        </w:p>
        <w:p>
          <w:pPr>
            <w:pStyle w:val="TOC1"/>
            <w:tabs>
              <w:tab w:val="clear" w:pos="9638"/>
              <w:tab w:val="right" w:pos="9637" w:leader="dot"/>
            </w:tabs>
            <w:rPr/>
          </w:pPr>
          <w:hyperlink w:anchor="__RefHeading___Toc21530_693750392" w:tooltip="7. Issue and Blocker Log">
            <w:r>
              <w:rPr>
                <w:rStyle w:val="IndexLink"/>
              </w:rPr>
              <w:t>7. Issue and Blocker Log</w:t>
              <w:tab/>
              <w:t>53</w:t>
            </w:r>
          </w:hyperlink>
        </w:p>
        <w:p>
          <w:pPr>
            <w:pStyle w:val="TOC1"/>
            <w:tabs>
              <w:tab w:val="clear" w:pos="9638"/>
              <w:tab w:val="right" w:pos="9637" w:leader="dot"/>
            </w:tabs>
            <w:rPr/>
          </w:pPr>
          <w:hyperlink w:anchor="__RefHeading___Toc21532_693750392" w:tooltip="8. Assumptions Being Validated">
            <w:r>
              <w:rPr>
                <w:rStyle w:val="IndexLink"/>
              </w:rPr>
              <w:t>8. Assumptions Being Validated</w:t>
              <w:tab/>
              <w:t>54</w:t>
            </w:r>
          </w:hyperlink>
        </w:p>
        <w:p>
          <w:pPr>
            <w:pStyle w:val="TOC1"/>
            <w:tabs>
              <w:tab w:val="clear" w:pos="9638"/>
              <w:tab w:val="right" w:pos="9637" w:leader="dot"/>
            </w:tabs>
            <w:rPr/>
          </w:pPr>
          <w:hyperlink w:anchor="__RefHeading___Toc21534_693750392" w:tooltip="Appendix A — Azure CLI Quick Reference">
            <w:r>
              <w:rPr>
                <w:rStyle w:val="IndexLink"/>
              </w:rPr>
              <w:t>Appendix A — Azure CLI Quick Reference</w:t>
              <w:tab/>
              <w:t>55</w:t>
            </w:r>
          </w:hyperlink>
        </w:p>
        <w:p>
          <w:pPr>
            <w:pStyle w:val="TOC2"/>
            <w:tabs>
              <w:tab w:val="clear" w:pos="9355"/>
              <w:tab w:val="right" w:pos="9637" w:leader="dot"/>
            </w:tabs>
            <w:rPr/>
          </w:pPr>
          <w:hyperlink w:anchor="__RefHeading___Toc21536_693750392" w:tooltip="Login and subscription">
            <w:r>
              <w:rPr>
                <w:rStyle w:val="IndexLink"/>
              </w:rPr>
              <w:t>Login and subscription</w:t>
              <w:tab/>
              <w:t>55</w:t>
            </w:r>
          </w:hyperlink>
        </w:p>
        <w:p>
          <w:pPr>
            <w:pStyle w:val="TOC2"/>
            <w:tabs>
              <w:tab w:val="clear" w:pos="9355"/>
              <w:tab w:val="right" w:pos="9637" w:leader="dot"/>
            </w:tabs>
            <w:rPr/>
          </w:pPr>
          <w:hyperlink w:anchor="__RefHeading___Toc21538_693750392" w:tooltip="Resource provider check">
            <w:r>
              <w:rPr>
                <w:rStyle w:val="IndexLink"/>
              </w:rPr>
              <w:t>Resource provider check</w:t>
              <w:tab/>
              <w:t>55</w:t>
            </w:r>
          </w:hyperlink>
        </w:p>
        <w:p>
          <w:pPr>
            <w:pStyle w:val="TOC2"/>
            <w:tabs>
              <w:tab w:val="clear" w:pos="9355"/>
              <w:tab w:val="right" w:pos="9637" w:leader="dot"/>
            </w:tabs>
            <w:rPr/>
          </w:pPr>
          <w:hyperlink w:anchor="__RefHeading___Toc21540_693750392" w:tooltip="CRG commands">
            <w:r>
              <w:rPr>
                <w:rStyle w:val="IndexLink"/>
              </w:rPr>
              <w:t>CRG commands</w:t>
              <w:tab/>
              <w:t>56</w:t>
            </w:r>
          </w:hyperlink>
        </w:p>
        <w:p>
          <w:pPr>
            <w:pStyle w:val="TOC2"/>
            <w:tabs>
              <w:tab w:val="clear" w:pos="9355"/>
              <w:tab w:val="right" w:pos="9637" w:leader="dot"/>
            </w:tabs>
            <w:rPr/>
          </w:pPr>
          <w:hyperlink w:anchor="__RefHeading___Toc21542_693750392" w:tooltip="Capacity Reservation commands">
            <w:r>
              <w:rPr>
                <w:rStyle w:val="IndexLink"/>
              </w:rPr>
              <w:t>Capacity Reservation commands</w:t>
              <w:tab/>
              <w:t>56</w:t>
            </w:r>
          </w:hyperlink>
        </w:p>
        <w:p>
          <w:pPr>
            <w:pStyle w:val="TOC2"/>
            <w:tabs>
              <w:tab w:val="clear" w:pos="9355"/>
              <w:tab w:val="right" w:pos="9637" w:leader="dot"/>
            </w:tabs>
            <w:rPr/>
          </w:pPr>
          <w:hyperlink w:anchor="__RefHeading___Toc21544_693750392" w:tooltip="VM associate / disassociate">
            <w:r>
              <w:rPr>
                <w:rStyle w:val="IndexLink"/>
              </w:rPr>
              <w:t>VM associate / disassociate</w:t>
              <w:tab/>
              <w:t>56</w:t>
            </w:r>
          </w:hyperlink>
        </w:p>
        <w:p>
          <w:pPr>
            <w:pStyle w:val="TOC2"/>
            <w:tabs>
              <w:tab w:val="clear" w:pos="9355"/>
              <w:tab w:val="right" w:pos="9637" w:leader="dot"/>
            </w:tabs>
            <w:rPr/>
          </w:pPr>
          <w:hyperlink w:anchor="__RefHeading___Toc21546_693750392" w:tooltip="Sharing profile (REST)">
            <w:r>
              <w:rPr>
                <w:rStyle w:val="IndexLink"/>
              </w:rPr>
              <w:t>Sharing profile (REST)</w:t>
              <w:tab/>
              <w:t>56</w:t>
            </w:r>
          </w:hyperlink>
        </w:p>
        <w:p>
          <w:pPr>
            <w:pStyle w:val="TOC2"/>
            <w:tabs>
              <w:tab w:val="clear" w:pos="9355"/>
              <w:tab w:val="right" w:pos="9637" w:leader="dot"/>
            </w:tabs>
            <w:rPr/>
          </w:pPr>
          <w:hyperlink w:anchor="__RefHeading___Toc21548_693750392" w:tooltip="Zone mapping">
            <w:r>
              <w:rPr>
                <w:rStyle w:val="IndexLink"/>
              </w:rPr>
              <w:t>Zone mapping</w:t>
              <w:tab/>
              <w:t>56</w:t>
            </w:r>
          </w:hyperlink>
        </w:p>
        <w:p>
          <w:pPr>
            <w:pStyle w:val="TOC2"/>
            <w:tabs>
              <w:tab w:val="clear" w:pos="9355"/>
              <w:tab w:val="right" w:pos="9637" w:leader="dot"/>
            </w:tabs>
            <w:rPr/>
          </w:pPr>
          <w:hyperlink w:anchor="__RefHeading___Toc21550_693750392" w:tooltip="ARG query">
            <w:r>
              <w:rPr>
                <w:rStyle w:val="IndexLink"/>
              </w:rPr>
              <w:t>ARG query</w:t>
              <w:tab/>
              <w:t>56</w:t>
            </w:r>
          </w:hyperlink>
        </w:p>
        <w:p>
          <w:pPr>
            <w:pStyle w:val="TOC2"/>
            <w:tabs>
              <w:tab w:val="clear" w:pos="9355"/>
              <w:tab w:val="right" w:pos="9637" w:leader="dot"/>
            </w:tabs>
            <w:rPr/>
          </w:pPr>
          <w:hyperlink w:anchor="__RefHeading___Toc21552_693750392" w:tooltip="Quota check">
            <w:r>
              <w:rPr>
                <w:rStyle w:val="IndexLink"/>
              </w:rPr>
              <w:t>Quota check</w:t>
              <w:tab/>
              <w:t>56</w:t>
            </w:r>
          </w:hyperlink>
        </w:p>
        <w:p>
          <w:pPr>
            <w:pStyle w:val="TOC2"/>
            <w:tabs>
              <w:tab w:val="clear" w:pos="9355"/>
              <w:tab w:val="right" w:pos="9637" w:leader="dot"/>
            </w:tabs>
            <w:rPr/>
          </w:pPr>
          <w:hyperlink w:anchor="__RefHeading___Toc21554_693750392" w:tooltip="Throttle headers">
            <w:r>
              <w:rPr>
                <w:rStyle w:val="IndexLink"/>
              </w:rPr>
              <w:t>Throttle headers</w:t>
              <w:tab/>
              <w:t>56</w:t>
            </w:r>
          </w:hyperlink>
        </w:p>
        <w:p>
          <w:pPr>
            <w:pStyle w:val="TOC2"/>
            <w:tabs>
              <w:tab w:val="clear" w:pos="9355"/>
              <w:tab w:val="right" w:pos="9637" w:leader="dot"/>
            </w:tabs>
            <w:rPr/>
          </w:pPr>
          <w:hyperlink w:anchor="__RefHeading___Toc21556_693750392" w:tooltip="Generic REST template">
            <w:r>
              <w:rPr>
                <w:rStyle w:val="IndexLink"/>
              </w:rPr>
              <w:t>Generic REST template</w:t>
              <w:tab/>
              <w:t>57</w:t>
            </w:r>
          </w:hyperlink>
        </w:p>
        <w:p>
          <w:pPr>
            <w:pStyle w:val="TOC1"/>
            <w:tabs>
              <w:tab w:val="clear" w:pos="9638"/>
              <w:tab w:val="right" w:pos="9637" w:leader="dot"/>
            </w:tabs>
            <w:rPr/>
          </w:pPr>
          <w:hyperlink w:anchor="__RefHeading___Toc21558_693750392" w:tooltip="Appendix B — Common Error Codes and Resolutions">
            <w:r>
              <w:rPr>
                <w:rStyle w:val="IndexLink"/>
              </w:rPr>
              <w:t>Appendix B — Common Error Codes and Resolutions</w:t>
              <w:tab/>
              <w:t>57</w:t>
            </w:r>
          </w:hyperlink>
        </w:p>
        <w:p>
          <w:pPr>
            <w:pStyle w:val="TOC1"/>
            <w:tabs>
              <w:tab w:val="clear" w:pos="9638"/>
              <w:tab w:val="right" w:pos="9637" w:leader="dot"/>
            </w:tabs>
            <w:rPr/>
          </w:pPr>
          <w:hyperlink w:anchor="__RefHeading___Toc21560_693750392" w:tooltip="Appendix C — Critical Design Constraints (Quick Card)">
            <w:r>
              <w:rPr>
                <w:rStyle w:val="IndexLink"/>
              </w:rPr>
              <w:t>Appendix C — Critical Design Constraints (Quick Card)</w:t>
              <w:tab/>
              <w:t>57</w:t>
            </w:r>
          </w:hyperlink>
        </w:p>
        <w:p>
          <w:pPr>
            <w:pStyle w:val="TOC1"/>
            <w:tabs>
              <w:tab w:val="clear" w:pos="9638"/>
              <w:tab w:val="right" w:pos="9637" w:leader="dot"/>
            </w:tabs>
            <w:rPr/>
          </w:pPr>
          <w:hyperlink w:anchor="__RefHeading___Toc21562_693750392" w:tooltip="Appendix D — Cleanup Procedure">
            <w:r>
              <w:rPr>
                <w:rStyle w:val="IndexLink"/>
              </w:rPr>
              <w:t>Appendix D — Cleanup Procedure</w:t>
              <w:tab/>
              <w:t>58</w:t>
            </w:r>
          </w:hyperlink>
        </w:p>
        <w:p>
          <w:pPr>
            <w:pStyle w:val="TOC1"/>
            <w:tabs>
              <w:tab w:val="clear" w:pos="9638"/>
              <w:tab w:val="right" w:pos="9637" w:leader="dot"/>
            </w:tabs>
            <w:rPr/>
          </w:pPr>
          <w:hyperlink w:anchor="__RefHeading___Toc21564_693750392" w:tooltip="Appendix E — Sign-Off Record">
            <w:r>
              <w:rPr>
                <w:rStyle w:val="IndexLink"/>
              </w:rPr>
              <w:t>Appendix E — Sign-Off Record</w:t>
              <w:tab/>
              <w:t>58</w:t>
            </w:r>
          </w:hyperlink>
        </w:p>
        <w:p>
          <w:pPr>
            <w:pStyle w:val="TOC1"/>
            <w:tabs>
              <w:tab w:val="clear" w:pos="9638"/>
              <w:tab w:val="right" w:pos="9637" w:leader="dot"/>
            </w:tabs>
            <w:rPr/>
          </w:pPr>
          <w:hyperlink w:anchor="__RefHeading___Toc21566_693750392" w:tooltip="Appendix F — Daily Execution Log Templates">
            <w:r>
              <w:rPr>
                <w:rStyle w:val="IndexLink"/>
              </w:rPr>
              <w:t>Appendix F — Daily Execution Log Templates</w:t>
              <w:tab/>
              <w:t>58</w:t>
            </w:r>
          </w:hyperlink>
        </w:p>
        <w:p>
          <w:pPr>
            <w:pStyle w:val="TOC2"/>
            <w:tabs>
              <w:tab w:val="clear" w:pos="9355"/>
              <w:tab w:val="right" w:pos="9637" w:leader="dot"/>
            </w:tabs>
            <w:rPr/>
          </w:pPr>
          <w:hyperlink w:anchor="__RefHeading___Toc21568_693750392" w:tooltip="Day 1 log">
            <w:r>
              <w:rPr>
                <w:rStyle w:val="IndexLink"/>
              </w:rPr>
              <w:t>Day 1 log</w:t>
              <w:tab/>
              <w:t>59</w:t>
            </w:r>
          </w:hyperlink>
        </w:p>
        <w:p>
          <w:pPr>
            <w:pStyle w:val="TOC2"/>
            <w:tabs>
              <w:tab w:val="clear" w:pos="9355"/>
              <w:tab w:val="right" w:pos="9637" w:leader="dot"/>
            </w:tabs>
            <w:rPr/>
          </w:pPr>
          <w:hyperlink w:anchor="__RefHeading___Toc21570_693750392" w:tooltip="Day 2 log">
            <w:r>
              <w:rPr>
                <w:rStyle w:val="IndexLink"/>
              </w:rPr>
              <w:t>Day 2 log</w:t>
              <w:tab/>
              <w:t>59</w:t>
            </w:r>
          </w:hyperlink>
        </w:p>
        <w:p>
          <w:pPr>
            <w:pStyle w:val="TOC2"/>
            <w:tabs>
              <w:tab w:val="clear" w:pos="9355"/>
              <w:tab w:val="right" w:pos="9637" w:leader="dot"/>
            </w:tabs>
            <w:rPr/>
          </w:pPr>
          <w:hyperlink w:anchor="__RefHeading___Toc21572_693750392" w:tooltip="Day 3 log">
            <w:r>
              <w:rPr>
                <w:rStyle w:val="IndexLink"/>
              </w:rPr>
              <w:t>Day 3 log</w:t>
              <w:tab/>
              <w:t>59</w:t>
            </w:r>
          </w:hyperlink>
        </w:p>
        <w:p>
          <w:pPr>
            <w:pStyle w:val="TOC2"/>
            <w:tabs>
              <w:tab w:val="clear" w:pos="9355"/>
              <w:tab w:val="right" w:pos="9637" w:leader="dot"/>
            </w:tabs>
            <w:rPr/>
          </w:pPr>
          <w:hyperlink w:anchor="__RefHeading___Toc21574_693750392" w:tooltip="Day 4 log">
            <w:r>
              <w:rPr>
                <w:rStyle w:val="IndexLink"/>
              </w:rPr>
              <w:t>Day 4 log</w:t>
              <w:tab/>
              <w:t>60</w:t>
            </w:r>
          </w:hyperlink>
        </w:p>
        <w:p>
          <w:pPr>
            <w:pStyle w:val="TOC2"/>
            <w:tabs>
              <w:tab w:val="clear" w:pos="9355"/>
              <w:tab w:val="right" w:pos="9637" w:leader="dot"/>
            </w:tabs>
            <w:rPr/>
          </w:pPr>
          <w:hyperlink w:anchor="__RefHeading___Toc21576_693750392" w:tooltip="Day 5 log">
            <w:r>
              <w:rPr>
                <w:rStyle w:val="IndexLink"/>
              </w:rPr>
              <w:t>Day 5 log</w:t>
              <w:tab/>
              <w:t>60</w:t>
            </w:r>
          </w:hyperlink>
        </w:p>
        <w:p>
          <w:pPr>
            <w:pStyle w:val="TOC1"/>
            <w:tabs>
              <w:tab w:val="clear" w:pos="9638"/>
              <w:tab w:val="right" w:pos="9637" w:leader="dot"/>
            </w:tabs>
            <w:rPr/>
          </w:pPr>
          <w:hyperlink w:anchor="__RefHeading___Toc21578_693750392" w:tooltip="Appendix G — Evidence Classification Guide">
            <w:r>
              <w:rPr>
                <w:rStyle w:val="IndexLink"/>
              </w:rPr>
              <w:t>Appendix G — Evidence Classification Guide</w:t>
              <w:tab/>
              <w:t>60</w:t>
            </w:r>
          </w:hyperlink>
        </w:p>
        <w:p>
          <w:pPr>
            <w:pStyle w:val="TOC1"/>
            <w:tabs>
              <w:tab w:val="clear" w:pos="9638"/>
              <w:tab w:val="right" w:pos="9637" w:leader="dot"/>
            </w:tabs>
            <w:rPr/>
          </w:pPr>
          <w:hyperlink w:anchor="__RefHeading___Toc21580_693750392" w:tooltip="Appendix H — Related Architecture References">
            <w:r>
              <w:rPr>
                <w:rStyle w:val="IndexLink"/>
              </w:rPr>
              <w:t>Appendix H — Related Architecture References</w:t>
              <w:tab/>
              <w:t>61</w:t>
            </w:r>
          </w:hyperlink>
          <w:r>
            <w:rPr>
              <w:rStyle w:val="IndexLink"/>
            </w:rPr>
            <w:fldChar w:fldCharType="end"/>
          </w:r>
        </w:p>
      </w:sdtContent>
    </w:sdt>
    <w:p>
      <w:pPr>
        <w:pStyle w:val="Heading1"/>
        <w:rPr/>
      </w:pPr>
      <w:r>
        <w:br w:type="page"/>
      </w:r>
      <w:bookmarkStart w:id="1" w:name="__RefHeading___Toc21394_693750392"/>
      <w:bookmarkEnd w:id="1"/>
      <w:r>
        <w:rPr/>
        <w:t>1. How to Use This Workbook</w:t>
      </w:r>
    </w:p>
    <w:p>
      <w:pPr>
        <w:pStyle w:val="Normal"/>
        <w:rPr/>
      </w:pPr>
      <w:r>
        <w:rPr>
          <w:rFonts w:eastAsia="Calibri"/>
          <w:b w:val="false"/>
          <w:i w:val="false"/>
          <w:color w:val="1A1A1A"/>
          <w:sz w:val="21"/>
        </w:rPr>
        <w:t>This section defines the operating rules for engineers executing ACRME validation tests. Follow the sequence strictly; later groups depend on earlier evidence.</w:t>
      </w:r>
    </w:p>
    <w:p>
      <w:pPr>
        <w:pStyle w:val="ListNumber"/>
        <w:numPr>
          <w:ilvl w:val="0"/>
          <w:numId w:val="4"/>
        </w:numPr>
        <w:rPr/>
      </w:pPr>
      <w:r>
        <w:rPr>
          <w:rFonts w:eastAsia="Calibri"/>
          <w:b w:val="false"/>
          <w:i w:val="false"/>
          <w:color w:val="1A1A1A"/>
          <w:sz w:val="21"/>
        </w:rPr>
        <w:t>Fill in the Environment Details table (Section 2) before starting any test. Do not proceed until every required field is populated.</w:t>
      </w:r>
    </w:p>
    <w:p>
      <w:pPr>
        <w:pStyle w:val="ListNumber"/>
        <w:numPr>
          <w:ilvl w:val="0"/>
          <w:numId w:val="4"/>
        </w:numPr>
        <w:rPr/>
      </w:pPr>
      <w:r>
        <w:rPr>
          <w:rFonts w:eastAsia="Calibri"/>
          <w:b w:val="false"/>
          <w:i w:val="false"/>
          <w:color w:val="1A1A1A"/>
          <w:sz w:val="21"/>
        </w:rPr>
        <w:t>Complete the Pre-Flight Checklist (Section 3) and mark every item Verified = Y before executing Group 1.</w:t>
      </w:r>
    </w:p>
    <w:p>
      <w:pPr>
        <w:pStyle w:val="ListNumber"/>
        <w:numPr>
          <w:ilvl w:val="0"/>
          <w:numId w:val="4"/>
        </w:numPr>
        <w:rPr/>
      </w:pPr>
      <w:r>
        <w:rPr>
          <w:rFonts w:eastAsia="Calibri"/>
          <w:b w:val="false"/>
          <w:i w:val="false"/>
          <w:color w:val="1A1A1A"/>
          <w:sz w:val="21"/>
        </w:rPr>
        <w:t>Work through POC groups in order. Later groups may depend on earlier ones passing. Prerequisites are listed on each POC entry.</w:t>
      </w:r>
    </w:p>
    <w:p>
      <w:pPr>
        <w:pStyle w:val="ListNumber"/>
        <w:numPr>
          <w:ilvl w:val="0"/>
          <w:numId w:val="4"/>
        </w:numPr>
        <w:rPr/>
      </w:pPr>
      <w:r>
        <w:rPr>
          <w:rFonts w:eastAsia="Calibri"/>
          <w:b w:val="false"/>
          <w:i w:val="false"/>
          <w:color w:val="1A1A1A"/>
          <w:sz w:val="21"/>
        </w:rPr>
        <w:t>Record actual results in the Actual Result field immediately after each test step completes. Do not batch-fill results at the end of a session.</w:t>
      </w:r>
    </w:p>
    <w:p>
      <w:pPr>
        <w:pStyle w:val="ListNumber"/>
        <w:numPr>
          <w:ilvl w:val="0"/>
          <w:numId w:val="4"/>
        </w:numPr>
        <w:rPr/>
      </w:pPr>
      <w:r>
        <w:rPr>
          <w:rFonts w:eastAsia="Calibri"/>
          <w:b w:val="false"/>
          <w:i w:val="false"/>
          <w:color w:val="1A1A1A"/>
          <w:sz w:val="21"/>
        </w:rPr>
        <w:t>Mark Status as Pass, Fail, or Blocked. If Blocked, record the blocker description in Notes / Blocker and open a row in the Issue and Blocker Log (Section 7).</w:t>
      </w:r>
    </w:p>
    <w:p>
      <w:pPr>
        <w:pStyle w:val="ListNumber"/>
        <w:numPr>
          <w:ilvl w:val="0"/>
          <w:numId w:val="4"/>
        </w:numPr>
        <w:rPr/>
      </w:pPr>
      <w:r>
        <w:rPr>
          <w:rFonts w:eastAsia="Calibri"/>
          <w:b w:val="false"/>
          <w:i w:val="false"/>
          <w:color w:val="1A1A1A"/>
          <w:sz w:val="21"/>
        </w:rPr>
        <w:t>All tests use the Azure CLI (az) unless otherwise specified. Ensure you are logged in with az login and have the correct subscription set with az account set --subscription &lt;SUBSCRIPTION_ID&gt;.</w:t>
      </w:r>
    </w:p>
    <w:p>
      <w:pPr>
        <w:pStyle w:val="ListNumber"/>
        <w:numPr>
          <w:ilvl w:val="0"/>
          <w:numId w:val="4"/>
        </w:numPr>
        <w:rPr/>
      </w:pPr>
      <w:r>
        <w:rPr>
          <w:rFonts w:eastAsia="Calibri"/>
          <w:b w:val="false"/>
          <w:i w:val="false"/>
          <w:color w:val="1A1A1A"/>
          <w:sz w:val="21"/>
        </w:rPr>
        <w:t>REST API calls use az rest syntax for consistency. Always pin the api-version shown in the step. Do not substitute a different version without recording the change.</w:t>
      </w:r>
    </w:p>
    <w:p>
      <w:pPr>
        <w:pStyle w:val="ListNumber"/>
        <w:numPr>
          <w:ilvl w:val="0"/>
          <w:numId w:val="4"/>
        </w:numPr>
        <w:rPr/>
      </w:pPr>
      <w:r>
        <w:rPr>
          <w:rFonts w:eastAsia="Calibri"/>
          <w:b w:val="false"/>
          <w:i w:val="false"/>
          <w:color w:val="1A1A1A"/>
          <w:sz w:val="21"/>
        </w:rPr>
        <w:t>Retain request and response identifiers, timestamps, before/after state, API version, region, SKU, and zone for every executed POC. These are required evidence for phase-gate sign-off.</w:t>
      </w:r>
    </w:p>
    <w:p>
      <w:pPr>
        <w:pStyle w:val="ListNumber"/>
        <w:numPr>
          <w:ilvl w:val="0"/>
          <w:numId w:val="4"/>
        </w:numPr>
        <w:rPr/>
      </w:pPr>
      <w:r>
        <w:rPr>
          <w:rFonts w:eastAsia="Calibri"/>
          <w:b w:val="false"/>
          <w:i w:val="false"/>
          <w:color w:val="1A1A1A"/>
          <w:sz w:val="21"/>
        </w:rPr>
        <w:t>Preview features (CRG Sharing, Quota Groups) are not Microsoft contractual commitments. Record observed behavior as Observed, not as SLA.</w:t>
      </w:r>
    </w:p>
    <w:p>
      <w:pPr>
        <w:pStyle w:val="ListNumber"/>
        <w:numPr>
          <w:ilvl w:val="0"/>
          <w:numId w:val="4"/>
        </w:numPr>
        <w:rPr/>
      </w:pPr>
      <w:r>
        <w:rPr>
          <w:rFonts w:eastAsia="Calibri"/>
          <w:b w:val="false"/>
          <w:i w:val="false"/>
          <w:color w:val="1A1A1A"/>
          <w:sz w:val="21"/>
        </w:rPr>
        <w:t>Do not automate Tier 3 or VMSS emergency operations in Phase 1. Those paths are blocked by design (G-14, FC-08).</w:t>
      </w:r>
    </w:p>
    <w:p>
      <w:pPr>
        <w:pStyle w:val="Heading2"/>
        <w:rPr/>
      </w:pPr>
      <w:bookmarkStart w:id="2" w:name="__RefHeading___Toc21396_693750392"/>
      <w:bookmarkEnd w:id="2"/>
      <w:r>
        <w:rPr/>
        <w:t>1.1 Evidence retention requirements</w:t>
      </w:r>
    </w:p>
    <w:p>
      <w:pPr>
        <w:pStyle w:val="Normal"/>
        <w:rPr/>
      </w:pPr>
      <w:r>
        <w:rPr>
          <w:rFonts w:eastAsia="Calibri"/>
          <w:b w:val="false"/>
          <w:i w:val="false"/>
          <w:color w:val="1A1A1A"/>
          <w:sz w:val="21"/>
        </w:rPr>
        <w:t>Each executed POC must retain the following evidence fields (architecture §42):</w:t>
      </w:r>
    </w:p>
    <w:p>
      <w:pPr>
        <w:pStyle w:val="ListBullet"/>
        <w:numPr>
          <w:ilvl w:val="0"/>
          <w:numId w:val="1"/>
        </w:numPr>
        <w:rPr/>
      </w:pPr>
      <w:r>
        <w:rPr>
          <w:rFonts w:eastAsia="Calibri"/>
          <w:b w:val="false"/>
          <w:i w:val="false"/>
          <w:color w:val="1A1A1A"/>
          <w:sz w:val="21"/>
        </w:rPr>
        <w:t>API version</w:t>
      </w:r>
    </w:p>
    <w:p>
      <w:pPr>
        <w:pStyle w:val="ListBullet"/>
        <w:numPr>
          <w:ilvl w:val="0"/>
          <w:numId w:val="1"/>
        </w:numPr>
        <w:rPr/>
      </w:pPr>
      <w:r>
        <w:rPr>
          <w:rFonts w:eastAsia="Calibri"/>
          <w:b w:val="false"/>
          <w:i w:val="false"/>
          <w:color w:val="1A1A1A"/>
          <w:sz w:val="21"/>
        </w:rPr>
        <w:t>Region</w:t>
      </w:r>
    </w:p>
    <w:p>
      <w:pPr>
        <w:pStyle w:val="ListBullet"/>
        <w:numPr>
          <w:ilvl w:val="0"/>
          <w:numId w:val="1"/>
        </w:numPr>
        <w:rPr/>
      </w:pPr>
      <w:r>
        <w:rPr>
          <w:rFonts w:eastAsia="Calibri"/>
          <w:b w:val="false"/>
          <w:i w:val="false"/>
          <w:color w:val="1A1A1A"/>
          <w:sz w:val="21"/>
        </w:rPr>
        <w:t>SKU</w:t>
      </w:r>
    </w:p>
    <w:p>
      <w:pPr>
        <w:pStyle w:val="ListBullet"/>
        <w:numPr>
          <w:ilvl w:val="0"/>
          <w:numId w:val="1"/>
        </w:numPr>
        <w:rPr/>
      </w:pPr>
      <w:r>
        <w:rPr>
          <w:rFonts w:eastAsia="Calibri"/>
          <w:b w:val="false"/>
          <w:i w:val="false"/>
          <w:color w:val="1A1A1A"/>
          <w:sz w:val="21"/>
        </w:rPr>
        <w:t>Zone (logical and physical if known)</w:t>
      </w:r>
    </w:p>
    <w:p>
      <w:pPr>
        <w:pStyle w:val="ListBullet"/>
        <w:numPr>
          <w:ilvl w:val="0"/>
          <w:numId w:val="1"/>
        </w:numPr>
        <w:rPr/>
      </w:pPr>
      <w:r>
        <w:rPr>
          <w:rFonts w:eastAsia="Calibri"/>
          <w:b w:val="false"/>
          <w:i w:val="false"/>
          <w:color w:val="1A1A1A"/>
          <w:sz w:val="21"/>
        </w:rPr>
        <w:t>VM or VMSS mode</w:t>
      </w:r>
    </w:p>
    <w:p>
      <w:pPr>
        <w:pStyle w:val="ListBullet"/>
        <w:numPr>
          <w:ilvl w:val="0"/>
          <w:numId w:val="1"/>
        </w:numPr>
        <w:rPr/>
      </w:pPr>
      <w:r>
        <w:rPr>
          <w:rFonts w:eastAsia="Calibri"/>
          <w:b w:val="false"/>
          <w:i w:val="false"/>
          <w:color w:val="1A1A1A"/>
          <w:sz w:val="21"/>
        </w:rPr>
        <w:t>Request and response identifiers (x-ms-request-id / correlation)</w:t>
      </w:r>
    </w:p>
    <w:p>
      <w:pPr>
        <w:pStyle w:val="ListBullet"/>
        <w:numPr>
          <w:ilvl w:val="0"/>
          <w:numId w:val="1"/>
        </w:numPr>
        <w:rPr/>
      </w:pPr>
      <w:r>
        <w:rPr>
          <w:rFonts w:eastAsia="Calibri"/>
          <w:b w:val="false"/>
          <w:i w:val="false"/>
          <w:color w:val="1A1A1A"/>
          <w:sz w:val="21"/>
        </w:rPr>
        <w:t>Timestamps (start, ARM confirm, ARG confirm)</w:t>
      </w:r>
    </w:p>
    <w:p>
      <w:pPr>
        <w:pStyle w:val="ListBullet"/>
        <w:numPr>
          <w:ilvl w:val="0"/>
          <w:numId w:val="1"/>
        </w:numPr>
        <w:rPr/>
      </w:pPr>
      <w:r>
        <w:rPr>
          <w:rFonts w:eastAsia="Calibri"/>
          <w:b w:val="false"/>
          <w:i w:val="false"/>
          <w:color w:val="1A1A1A"/>
          <w:sz w:val="21"/>
        </w:rPr>
        <w:t>Before and after state snapshots</w:t>
      </w:r>
    </w:p>
    <w:p>
      <w:pPr>
        <w:pStyle w:val="ListBullet"/>
        <w:numPr>
          <w:ilvl w:val="0"/>
          <w:numId w:val="1"/>
        </w:numPr>
        <w:rPr/>
      </w:pPr>
      <w:r>
        <w:rPr>
          <w:rFonts w:eastAsia="Calibri"/>
          <w:b w:val="false"/>
          <w:i w:val="false"/>
          <w:color w:val="1A1A1A"/>
          <w:sz w:val="21"/>
        </w:rPr>
        <w:t>Retry history</w:t>
      </w:r>
    </w:p>
    <w:p>
      <w:pPr>
        <w:pStyle w:val="ListBullet"/>
        <w:numPr>
          <w:ilvl w:val="0"/>
          <w:numId w:val="1"/>
        </w:numPr>
        <w:rPr/>
      </w:pPr>
      <w:r>
        <w:rPr>
          <w:rFonts w:eastAsia="Calibri"/>
          <w:b w:val="false"/>
          <w:i w:val="false"/>
          <w:color w:val="1A1A1A"/>
          <w:sz w:val="21"/>
        </w:rPr>
        <w:t>Observed propagation distribution</w:t>
      </w:r>
    </w:p>
    <w:p>
      <w:pPr>
        <w:pStyle w:val="ListBullet"/>
        <w:numPr>
          <w:ilvl w:val="0"/>
          <w:numId w:val="1"/>
        </w:numPr>
        <w:rPr/>
      </w:pPr>
      <w:r>
        <w:rPr>
          <w:rFonts w:eastAsia="Calibri"/>
          <w:b w:val="false"/>
          <w:i w:val="false"/>
          <w:color w:val="1A1A1A"/>
          <w:sz w:val="21"/>
        </w:rPr>
        <w:t>Classification: Documented / Observed / Assumed / Judgement</w:t>
      </w:r>
    </w:p>
    <w:p>
      <w:pPr>
        <w:pStyle w:val="Heading2"/>
        <w:rPr/>
      </w:pPr>
      <w:bookmarkStart w:id="3" w:name="__RefHeading___Toc21398_693750392"/>
      <w:bookmarkEnd w:id="3"/>
      <w:r>
        <w:rPr/>
        <w:t>1.2 Status vocabulary</w:t>
      </w:r>
    </w:p>
    <w:tbl>
      <w:tblPr>
        <w:tblStyle w:val="TableGrid"/>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cantSplit/>
        </w:trPr>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Status</w:t>
            </w:r>
          </w:p>
        </w:tc>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Meaning</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Test has not been executed</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[In Progress]</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Execution underway; results incomplete</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[Pass]</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Observed result meets expected criteria for this API version/region/SKU</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[Fail]</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Observed result contradicts expected criteria; open blocker if needed</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[Blocked]</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Cannot execute due to dependency, access, or platform unavailability</w:t>
            </w:r>
          </w:p>
        </w:tc>
      </w:tr>
    </w:tbl>
    <w:p>
      <w:pPr>
        <w:pStyle w:val="Normal"/>
        <w:spacing w:before="40" w:after="120"/>
        <w:rPr/>
      </w:pPr>
      <w:r>
        <w:rPr/>
      </w:r>
    </w:p>
    <w:p>
      <w:pPr>
        <w:pStyle w:val="Heading1"/>
        <w:rPr/>
      </w:pPr>
      <w:bookmarkStart w:id="4" w:name="__RefHeading___Toc21400_693750392"/>
      <w:bookmarkEnd w:id="4"/>
      <w:r>
        <w:rPr/>
        <w:t>2. Environment Details</w:t>
      </w:r>
    </w:p>
    <w:p>
      <w:pPr>
        <w:pStyle w:val="Normal"/>
        <w:rPr/>
      </w:pPr>
      <w:r>
        <w:rPr>
          <w:rFonts w:eastAsia="Calibri"/>
          <w:b w:val="false"/>
          <w:i w:val="false"/>
          <w:color w:val="1A1A1A"/>
          <w:sz w:val="21"/>
        </w:rPr>
        <w:t>Complete this table before any POC execution. Primary, DR, and Non-Production regions must be pairwise distinct (hard architectural constraint).</w:t>
      </w:r>
    </w:p>
    <w:tbl>
      <w:tblPr>
        <w:tblStyle w:val="TableGrid"/>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cantSplit/>
        </w:trPr>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Field</w:t>
            </w:r>
          </w:p>
        </w:tc>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Value (fill at start)</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Provider Subscription ID</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Consumer Subscription ID</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Tenant ID</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Resource Group (Provider)</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Resource Group (Consumer)</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Azure Region (Primary)</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Azure Region (DR) — must differ from Primary</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Azure Region (Non-Production) — must differ from Primary and DR</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VM SKU Under Test</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CRG Name (Provider)</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Capacity Reservation Name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Quota Group Name (if applicable)</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Test Engineer Name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Test Start Date</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Test Completion Target Date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2"/>
        <w:rPr/>
      </w:pPr>
      <w:bookmarkStart w:id="5" w:name="__RefHeading___Toc21402_693750392"/>
      <w:bookmarkEnd w:id="5"/>
      <w:r>
        <w:rPr/>
        <w:t>2.1 Naming conventions (recommended)</w:t>
      </w:r>
    </w:p>
    <w:tbl>
      <w:tblPr>
        <w:tblStyle w:val="TableGrid"/>
        <w:tblW w:w="963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213"/>
        <w:gridCol w:w="3213"/>
        <w:gridCol w:w="3213"/>
      </w:tblGrid>
      <w:tr>
        <w:trPr>
          <w:cantSplit/>
        </w:trPr>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Resource</w:t>
            </w:r>
          </w:p>
        </w:tc>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Pattern</w:t>
            </w:r>
          </w:p>
        </w:tc>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Example</w:t>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Provider RG</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rg-acrme-provider-&lt;region&gt;</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rg-acrme-provider-westeurope</w:t>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Consumer RG</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rg-acrme-consumer-&lt;region&gt;</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rg-acrme-consumer-westeurope</w:t>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Prod CRG</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crg-prod-&lt;region&gt;-&lt;sku&gt;</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crg-prod-westeurope-d4s</w:t>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NonProd CRG</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crg-nonprod-&lt;region&gt;-&lt;sku&gt;</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crg-nonprod-northeurope-d4s</w:t>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DR CRG</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crg-dr-&lt;region&gt;-&lt;sku&gt;</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crg-dr-uksouth-d4s</w:t>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Capacity Reservation</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cr-&lt;env&gt;-&lt;sku&gt;-z&lt;zone&gt;</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cr-prod-d4s-z1</w:t>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Test VM</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vm-poc-&lt;id&gt;-&lt;n&gt;</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vm-poc-03-01</w:t>
            </w:r>
          </w:p>
        </w:tc>
      </w:tr>
    </w:tbl>
    <w:p>
      <w:pPr>
        <w:pStyle w:val="Normal"/>
        <w:spacing w:before="40" w:after="120"/>
        <w:rPr/>
      </w:pPr>
      <w:r>
        <w:rPr/>
      </w:r>
    </w:p>
    <w:p>
      <w:pPr>
        <w:pStyle w:val="Heading1"/>
        <w:rPr/>
      </w:pPr>
      <w:bookmarkStart w:id="6" w:name="__RefHeading___Toc21404_693750392"/>
      <w:bookmarkEnd w:id="6"/>
      <w:r>
        <w:rPr/>
        <w:t>3. Pre-Flight Checklist</w:t>
      </w:r>
    </w:p>
    <w:p>
      <w:pPr>
        <w:pStyle w:val="Normal"/>
        <w:rPr/>
      </w:pPr>
      <w:r>
        <w:rPr>
          <w:rFonts w:eastAsia="Calibri"/>
          <w:b w:val="false"/>
          <w:i w:val="false"/>
          <w:color w:val="1A1A1A"/>
          <w:sz w:val="21"/>
        </w:rPr>
        <w:t>Every item must be Verified = Y before Group 1 begins. Paste command output into Notes where useful.</w:t>
      </w:r>
    </w:p>
    <w:tbl>
      <w:tblPr>
        <w:tblStyle w:val="TableGrid"/>
        <w:tblW w:w="964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28"/>
        <w:gridCol w:w="1928"/>
        <w:gridCol w:w="1928"/>
        <w:gridCol w:w="1928"/>
        <w:gridCol w:w="1928"/>
      </w:tblGrid>
      <w:tr>
        <w:trPr>
          <w:cantSplit/>
        </w:trPr>
        <w:tc>
          <w:tcPr>
            <w:tcW w:w="1928"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Item</w:t>
            </w:r>
          </w:p>
        </w:tc>
        <w:tc>
          <w:tcPr>
            <w:tcW w:w="1928"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Requirement</w:t>
            </w:r>
          </w:p>
        </w:tc>
        <w:tc>
          <w:tcPr>
            <w:tcW w:w="1928"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Command</w:t>
            </w:r>
          </w:p>
        </w:tc>
        <w:tc>
          <w:tcPr>
            <w:tcW w:w="1928"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Verified Y/N</w:t>
            </w:r>
          </w:p>
        </w:tc>
        <w:tc>
          <w:tcPr>
            <w:tcW w:w="1928"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Notes</w:t>
            </w:r>
          </w:p>
        </w:tc>
      </w:tr>
      <w:tr>
        <w:trPr>
          <w:cantSplit/>
        </w:trPr>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PF-01</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Azure CLI version &gt;= 2.50.0</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az --version</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PF-02</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Logged in with correct identity</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az account show</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PF-03</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Correct subscription is active</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az account set --subscription &lt;PROVIDER_SUB&gt; &amp;&amp; az account show --query id -o tsv</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PF-04</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Required resource providers registered: Microsoft.Compute, Microsoft.Quota</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az provider list --query "[?registrationState=='Registered'].namespace" -o tsv | grep -E 'Microsoft\.(Compute|Quota)'</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PF-05</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Provider subscription has sufficient quota for the SKU under test</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az vm list-usage --location &lt;PRIMARY_REGION&gt; --query "[?contains(name.value, 'standardDSv3Family') || contains(name.value, '&lt;SKU_FAMILY&gt;')]" -o table</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PF-06</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Consumer subscription has sufficient quota for the SKU under test</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az account set --subscription &lt;CONSUMER_SUB&gt; &amp;&amp; az vm list-usage --location &lt;PRIMARY_REGION&gt; --query "[?contains(name.value, '&lt;SKU_FAMILY&gt;')]" -o table</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PF-07</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RBAC role verified on provider CRG scope (after CRG exists) or planned role assignments documented</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az role assignment list --scope &lt;CRG_RESOURCE_ID&gt; -o table</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PF-08</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 existing CRGs that could conflict with test names</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az capacity reservation group list --resource-group &lt;PROVIDER_RG&gt; -o table</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PF-09</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DR region confirmed different from Primary region (hard architectural constraint)</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echo Primary=&lt;PRIMARY_REGION&gt; DR=&lt;DR_REGION&gt;; test "&lt;PRIMARY_REGION&gt;" != "&lt;DR_REGION&gt;" &amp;&amp; echo PASS || echo FAIL</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PF-10</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Non-Prod region confirmed different from Primary and DR regions (hard architectural constraint)</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echo Primary=&lt;PRIMARY_REGION&gt; DR=&lt;DR_REGION&gt; NonProd=&lt;NONPROD_REGION&gt;; test "&lt;NONPROD_REGION&gt;" != "&lt;PRIMARY_REGION&gt;" &amp;&amp; test "&lt;NONPROD_REGION&gt;" != "&lt;DR_REGION&gt;" &amp;&amp; echo PASS || echo FAIL</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2"/>
        <w:rPr/>
      </w:pPr>
      <w:bookmarkStart w:id="7" w:name="__RefHeading___Toc21406_693750392"/>
      <w:bookmarkEnd w:id="7"/>
      <w:r>
        <w:rPr/>
        <w:t>3.1 Hard region separation check</w:t>
      </w:r>
    </w:p>
    <w:p>
      <w:pPr>
        <w:pStyle w:val="Normal"/>
        <w:rPr/>
      </w:pPr>
      <w:r>
        <w:rPr>
          <w:rFonts w:eastAsia="Calibri"/>
          <w:b w:val="false"/>
          <w:i w:val="false"/>
          <w:color w:val="1A1A1A"/>
          <w:sz w:val="21"/>
        </w:rPr>
        <w:t>Production, Non-Production, and DR environments MUST NOT all reside in the same region. PF-09 and PF-10 are blocking. Record the three regions below and obtain DR Architect countersignature.</w:t>
      </w:r>
    </w:p>
    <w:tbl>
      <w:tblPr>
        <w:tblStyle w:val="TableGrid"/>
        <w:tblW w:w="96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409"/>
        <w:gridCol w:w="2409"/>
        <w:gridCol w:w="2409"/>
        <w:gridCol w:w="2409"/>
      </w:tblGrid>
      <w:tr>
        <w:trPr>
          <w:cantSplit/>
        </w:trPr>
        <w:tc>
          <w:tcPr>
            <w:tcW w:w="240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Role</w:t>
            </w:r>
          </w:p>
        </w:tc>
        <w:tc>
          <w:tcPr>
            <w:tcW w:w="240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Region name</w:t>
            </w:r>
          </w:p>
        </w:tc>
        <w:tc>
          <w:tcPr>
            <w:tcW w:w="240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Confirmed distinct?</w:t>
            </w:r>
          </w:p>
        </w:tc>
        <w:tc>
          <w:tcPr>
            <w:tcW w:w="240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Sign-off</w:t>
            </w:r>
          </w:p>
        </w:tc>
      </w:tr>
      <w:tr>
        <w:trPr>
          <w:cantSplit/>
        </w:trPr>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Primary (Prod)</w:t>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Y / N</w:t>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DR</w:t>
            </w:r>
          </w:p>
        </w:tc>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Y / N</w:t>
            </w:r>
          </w:p>
        </w:tc>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Non-Production</w:t>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Y / N</w:t>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1"/>
        <w:rPr/>
      </w:pPr>
      <w:bookmarkStart w:id="8" w:name="__RefHeading___Toc21408_693750392"/>
      <w:bookmarkEnd w:id="8"/>
      <w:r>
        <w:rPr/>
        <w:t>4. POC Test Groups</w:t>
      </w:r>
    </w:p>
    <w:p>
      <w:pPr>
        <w:pStyle w:val="Normal"/>
        <w:rPr/>
      </w:pPr>
      <w:r>
        <w:rPr>
          <w:rFonts w:eastAsia="Calibri"/>
          <w:b w:val="false"/>
          <w:i w:val="false"/>
          <w:color w:val="1A1A1A"/>
          <w:sz w:val="21"/>
        </w:rPr>
        <w:t>Execute groups in order unless a later group explicitly lists only Pre-Flight prerequisites. Phase gates are indicated on each POC. Production-phase tests (for example POC-10) must not run against pilot customer resources.</w:t>
      </w:r>
    </w:p>
    <w:p>
      <w:pPr>
        <w:pStyle w:val="Heading2"/>
        <w:rPr/>
      </w:pPr>
      <w:bookmarkStart w:id="9" w:name="__RefHeading___Toc21410_693750392"/>
      <w:bookmarkEnd w:id="9"/>
      <w:r>
        <w:rPr/>
        <w:t>4.0 Test inventory summary</w:t>
      </w:r>
    </w:p>
    <w:tbl>
      <w:tblPr>
        <w:tblStyle w:val="TableGrid"/>
        <w:tblW w:w="963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213"/>
        <w:gridCol w:w="3213"/>
        <w:gridCol w:w="3213"/>
      </w:tblGrid>
      <w:tr>
        <w:trPr>
          <w:cantSplit/>
        </w:trPr>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Group</w:t>
            </w:r>
          </w:p>
        </w:tc>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Name</w:t>
            </w:r>
          </w:p>
        </w:tc>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POC count</w:t>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G1</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CRG Creation and Basic Reservation</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5</w:t>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G2</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Cross-Subscription Sharing (Preview Feature)</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6</w:t>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G3</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DR Capacity and Failover</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4</w:t>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G4</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Quota Group Validation (Preview — Gated)</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3</w:t>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G5</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Engine Safety Controls</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6</w:t>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G6</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AKS and VMSS Behaviour</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6</w:t>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G7</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API Rate and Throttle Behaviour (FC-16)</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3</w:t>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G8</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Reserved Instance Discount Scope (FC-09)</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2</w:t>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TOTAL</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All groups</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35</w:t>
            </w:r>
          </w:p>
        </w:tc>
      </w:tr>
    </w:tbl>
    <w:p>
      <w:pPr>
        <w:pStyle w:val="Normal"/>
        <w:spacing w:before="40" w:after="120"/>
        <w:rPr/>
      </w:pPr>
      <w:r>
        <w:rPr/>
      </w:r>
    </w:p>
    <w:p>
      <w:pPr>
        <w:pStyle w:val="Heading2"/>
        <w:rPr/>
      </w:pPr>
      <w:bookmarkStart w:id="10" w:name="__RefHeading___Toc21412_693750392"/>
      <w:bookmarkEnd w:id="10"/>
      <w:r>
        <w:rPr/>
        <w:t>4.0.1 Recommended execution order</w:t>
      </w:r>
    </w:p>
    <w:p>
      <w:pPr>
        <w:pStyle w:val="Normal"/>
        <w:rPr/>
      </w:pPr>
      <w:r>
        <w:rPr>
          <w:rFonts w:eastAsia="Calibri"/>
          <w:b w:val="false"/>
          <w:i w:val="false"/>
          <w:color w:val="1A1A1A"/>
          <w:sz w:val="21"/>
        </w:rPr>
        <w:t>Follow this order unless a blocker forces a documented deviation. Deviations must be recorded in §7.</w:t>
      </w:r>
    </w:p>
    <w:tbl>
      <w:tblPr>
        <w:tblStyle w:val="TableGrid"/>
        <w:tblW w:w="963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213"/>
        <w:gridCol w:w="3213"/>
        <w:gridCol w:w="3213"/>
      </w:tblGrid>
      <w:tr>
        <w:trPr>
          <w:cantSplit/>
        </w:trPr>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Seq</w:t>
            </w:r>
          </w:p>
        </w:tc>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Work package</w:t>
            </w:r>
          </w:p>
        </w:tc>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Exit criteria</w:t>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1</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Pre-Flight PF-01…PF-10</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Environment ready; region separation proven</w:t>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2</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 1 POC-01…POC-05</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Provider CRG and basic reservation lifecycle</w:t>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3</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 2 POC-06, POC-06a, POC-07…POC-09</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Sharing + zone gate before consumer load</w:t>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4</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 4 POC-30</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Hard gate for quota-group engineering</w:t>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5</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 5 POC-15, POC-16, POC-17, POC-20</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Safety hypotheses and Tier 3 rejection</w:t>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6</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 7 POC-THROTTLE-01…03</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Throttle baselines before automation concurrency</w:t>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7</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 8 POC-RI-01…02</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FinOps before customer cost models</w:t>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8</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 3 POC-11, POC-13 (then 12/14 in Phase 2)</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DR capacity and floor accounting</w:t>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9</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 6 POC-AKS-02 early; AKS/VMSS create paths in Phase 2</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Disruption and preview limits</w:t>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10</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 5 POC-18/19 and Group 4 POC-31/32</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Only after engine + quota gates</w:t>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11</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POC-10 and Production gates</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Isolated environment; leadership acceptance</w:t>
            </w:r>
          </w:p>
        </w:tc>
      </w:tr>
    </w:tbl>
    <w:p>
      <w:pPr>
        <w:pStyle w:val="Normal"/>
        <w:spacing w:before="40" w:after="120"/>
        <w:rPr/>
      </w:pPr>
      <w:r>
        <w:rPr/>
      </w:r>
    </w:p>
    <w:p>
      <w:pPr>
        <w:pStyle w:val="Heading2"/>
        <w:rPr/>
      </w:pPr>
      <w:bookmarkStart w:id="11" w:name="__RefHeading___Toc21414_693750392"/>
      <w:bookmarkEnd w:id="11"/>
      <w:r>
        <w:rPr/>
        <w:t>Group 1: CRG Creation and Basic Reservation</w:t>
      </w:r>
    </w:p>
    <w:p>
      <w:pPr>
        <w:pStyle w:val="Normal"/>
        <w:rPr/>
      </w:pPr>
      <w:r>
        <w:rPr>
          <w:rFonts w:eastAsia="Calibri"/>
          <w:b w:val="false"/>
          <w:i w:val="false"/>
          <w:color w:val="1A1A1A"/>
          <w:sz w:val="21"/>
        </w:rPr>
        <w:t>Validates foundational Capacity Reservation Group and Capacity Reservation lifecycle in the provider subscription. All subsequent groups depend on a healthy provider CRG and at least one reservation.</w:t>
      </w:r>
    </w:p>
    <w:p>
      <w:pPr>
        <w:pStyle w:val="Normal"/>
        <w:rPr/>
      </w:pPr>
      <w:r>
        <w:rPr>
          <w:rFonts w:eastAsia="Calibri"/>
          <w:b w:val="false"/>
          <w:i/>
          <w:color w:val="555555"/>
          <w:sz w:val="20"/>
        </w:rPr>
        <w:t>Group contains 5 POC entries. Complete result capture for every entry before signing the group roll-up below.</w:t>
      </w:r>
    </w:p>
    <w:p>
      <w:pPr>
        <w:pStyle w:val="Heading3"/>
        <w:rPr/>
      </w:pPr>
      <w:bookmarkStart w:id="12" w:name="__RefHeading___Toc21416_693750392"/>
      <w:bookmarkEnd w:id="12"/>
      <w:r>
        <w:rPr/>
        <w:t>POC-01: Create CRG in Provider Subscription</w:t>
      </w:r>
    </w:p>
    <w:tbl>
      <w:tblPr>
        <w:tblStyle w:val="TableGrid"/>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cantSplit/>
        </w:trPr>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Attribute</w:t>
            </w:r>
          </w:p>
        </w:tc>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Value</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 ID</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POC-01</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 1: CRG Creation and Basic Reservation</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Objective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Create a zonal Capacity Reservation Group in the provider subscription and confirm provisioning succeeds with the requested zones.</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Gate</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1 Pilot</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Prerequisites</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Pre-Flight Checklist complete (PF-01 through PF-10)</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Executed by</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Execution date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API version(s) used</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Region / SKU / Zone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4"/>
        <w:rPr/>
      </w:pPr>
      <w:r>
        <w:rPr/>
        <w:t>Test steps</w:t>
      </w:r>
    </w:p>
    <w:p>
      <w:pPr>
        <w:pStyle w:val="Normal"/>
        <w:spacing w:before="80" w:after="40"/>
        <w:rPr/>
      </w:pPr>
      <w:r>
        <w:rPr>
          <w:rFonts w:eastAsia="Calibri"/>
          <w:b/>
          <w:i w:val="false"/>
          <w:color w:val="0B3D5C"/>
          <w:sz w:val="21"/>
        </w:rPr>
        <w:t xml:space="preserve">1. </w:t>
      </w:r>
      <w:r>
        <w:rPr>
          <w:rFonts w:eastAsia="Calibri"/>
          <w:b w:val="false"/>
          <w:i w:val="false"/>
          <w:color w:val="1A1A1A"/>
          <w:sz w:val="21"/>
        </w:rPr>
        <w:t>Set provider context:</w:t>
      </w:r>
    </w:p>
    <w:p>
      <w:pPr>
        <w:pStyle w:val="CodeBlock"/>
        <w:shd w:val="clear" w:fill="F4F6F8"/>
        <w:rPr/>
      </w:pPr>
      <w:r>
        <w:rPr>
          <w:rFonts w:cs="Consolas"/>
          <w:b w:val="false"/>
          <w:i w:val="false"/>
          <w:color w:val="1A1A1A"/>
          <w:sz w:val="17"/>
        </w:rPr>
        <w:t>az account set --subscription &lt;PROVIDER_SUB&gt;</w:t>
      </w:r>
    </w:p>
    <w:p>
      <w:pPr>
        <w:pStyle w:val="Normal"/>
        <w:spacing w:before="80" w:after="40"/>
        <w:rPr/>
      </w:pPr>
      <w:r>
        <w:rPr>
          <w:rFonts w:eastAsia="Calibri"/>
          <w:b/>
          <w:i w:val="false"/>
          <w:color w:val="0B3D5C"/>
          <w:sz w:val="21"/>
        </w:rPr>
        <w:t xml:space="preserve">2. </w:t>
      </w:r>
      <w:r>
        <w:rPr>
          <w:rFonts w:eastAsia="Calibri"/>
          <w:b w:val="false"/>
          <w:i w:val="false"/>
          <w:color w:val="1A1A1A"/>
          <w:sz w:val="21"/>
        </w:rPr>
        <w:t>Create CRG:</w:t>
      </w:r>
    </w:p>
    <w:p>
      <w:pPr>
        <w:pStyle w:val="CodeBlock"/>
        <w:shd w:val="clear" w:fill="F4F6F8"/>
        <w:rPr/>
      </w:pPr>
      <w:r>
        <w:rPr>
          <w:rFonts w:cs="Consolas"/>
          <w:b w:val="false"/>
          <w:i w:val="false"/>
          <w:color w:val="1A1A1A"/>
          <w:sz w:val="17"/>
        </w:rPr>
        <w:t>az capacity reservation group create --resource-group &lt;PROVIDER_RG&gt; --name &lt;CRG_NAME&gt; --location &lt;PRIMARY_REGION&gt; --zones 1 2 3</w:t>
      </w:r>
    </w:p>
    <w:p>
      <w:pPr>
        <w:pStyle w:val="Normal"/>
        <w:spacing w:before="80" w:after="40"/>
        <w:rPr/>
      </w:pPr>
      <w:r>
        <w:rPr>
          <w:rFonts w:eastAsia="Calibri"/>
          <w:b/>
          <w:i w:val="false"/>
          <w:color w:val="0B3D5C"/>
          <w:sz w:val="21"/>
        </w:rPr>
        <w:t xml:space="preserve">3. </w:t>
      </w:r>
      <w:r>
        <w:rPr>
          <w:rFonts w:eastAsia="Calibri"/>
          <w:b w:val="false"/>
          <w:i w:val="false"/>
          <w:color w:val="1A1A1A"/>
          <w:sz w:val="21"/>
        </w:rPr>
        <w:t>Verify:</w:t>
      </w:r>
    </w:p>
    <w:p>
      <w:pPr>
        <w:pStyle w:val="CodeBlock"/>
        <w:shd w:val="clear" w:fill="F4F6F8"/>
        <w:rPr/>
      </w:pPr>
      <w:r>
        <w:rPr>
          <w:rFonts w:cs="Consolas"/>
          <w:b w:val="false"/>
          <w:i w:val="false"/>
          <w:color w:val="1A1A1A"/>
          <w:sz w:val="17"/>
        </w:rPr>
        <w:t>az capacity reservation group show --resource-group &lt;PROVIDER_RG&gt; --name &lt;CRG_NAME&gt; -o json</w:t>
      </w:r>
    </w:p>
    <w:p>
      <w:pPr>
        <w:pStyle w:val="Heading4"/>
        <w:rPr/>
      </w:pPr>
      <w:r>
        <w:rPr/>
        <w:t>Expected result</w:t>
      </w:r>
    </w:p>
    <w:p>
      <w:pPr>
        <w:pStyle w:val="Normal"/>
        <w:rPr/>
      </w:pPr>
      <w:r>
        <w:rPr>
          <w:rFonts w:eastAsia="Calibri"/>
          <w:b w:val="false"/>
          <w:i w:val="false"/>
          <w:color w:val="1A1A1A"/>
          <w:sz w:val="21"/>
        </w:rPr>
        <w:t>provisioningState = Succeeded; zones array populated with requested zone IDs; location matches PRIMARY_REGION. Record full resource ID for later steps.</w:t>
      </w:r>
    </w:p>
    <w:p>
      <w:pPr>
        <w:pStyle w:val="Heading4"/>
        <w:rPr/>
      </w:pPr>
      <w:r>
        <w:rPr/>
        <w:t>Result capture</w:t>
      </w:r>
    </w:p>
    <w:tbl>
      <w:tblPr>
        <w:tblStyle w:val="TableGrid"/>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cantSplit/>
        </w:trPr>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Field</w:t>
            </w:r>
          </w:p>
        </w:tc>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Entry</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Actual Result</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Status</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 / [Pass] / [Fail] / [Blocked]</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Notes / Blocker</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Evidence refs (request IDs, timestamps)</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4"/>
        <w:rPr/>
      </w:pPr>
      <w:r>
        <w:rPr/>
        <w:t>Step-level observations (optional)</w:t>
      </w:r>
    </w:p>
    <w:tbl>
      <w:tblPr>
        <w:tblStyle w:val="TableGrid"/>
        <w:tblW w:w="963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213"/>
        <w:gridCol w:w="3213"/>
        <w:gridCol w:w="3213"/>
      </w:tblGrid>
      <w:tr>
        <w:trPr>
          <w:cantSplit/>
        </w:trPr>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Step #</w:t>
            </w:r>
          </w:p>
        </w:tc>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Observed output / request ID</w:t>
            </w:r>
          </w:p>
        </w:tc>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Pass?</w:t>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1</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2</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3</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3"/>
        <w:rPr/>
      </w:pPr>
      <w:bookmarkStart w:id="13" w:name="__RefHeading___Toc21418_693750392"/>
      <w:bookmarkEnd w:id="13"/>
      <w:r>
        <w:rPr/>
        <w:t>POC-02: Create Capacity Reservation within the CRG</w:t>
      </w:r>
    </w:p>
    <w:tbl>
      <w:tblPr>
        <w:tblStyle w:val="TableGrid"/>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cantSplit/>
        </w:trPr>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Attribute</w:t>
            </w:r>
          </w:p>
        </w:tc>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Value</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 ID</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POC-02</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 1: CRG Creation and Basic Reservation</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Objective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Create a Capacity Reservation for the target VM SKU and quantity inside the provider CRG.</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Gate</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1 Pilot</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Prerequisites</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POC-01 Pass</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Executed by</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Execution date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API version(s) used</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Region / SKU / Zone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4"/>
        <w:rPr/>
      </w:pPr>
      <w:r>
        <w:rPr/>
        <w:t>Test steps</w:t>
      </w:r>
    </w:p>
    <w:p>
      <w:pPr>
        <w:pStyle w:val="Normal"/>
        <w:spacing w:before="80" w:after="40"/>
        <w:rPr/>
      </w:pPr>
      <w:r>
        <w:rPr>
          <w:rFonts w:eastAsia="Calibri"/>
          <w:b/>
          <w:i w:val="false"/>
          <w:color w:val="0B3D5C"/>
          <w:sz w:val="21"/>
        </w:rPr>
        <w:t xml:space="preserve">1. </w:t>
      </w:r>
      <w:r>
        <w:rPr>
          <w:rFonts w:eastAsia="Calibri"/>
          <w:b w:val="false"/>
          <w:i w:val="false"/>
          <w:color w:val="1A1A1A"/>
          <w:sz w:val="21"/>
        </w:rPr>
        <w:t>Create reservation:</w:t>
      </w:r>
    </w:p>
    <w:p>
      <w:pPr>
        <w:pStyle w:val="CodeBlock"/>
        <w:shd w:val="clear" w:fill="F4F6F8"/>
        <w:rPr/>
      </w:pPr>
      <w:r>
        <w:rPr>
          <w:rFonts w:cs="Consolas"/>
          <w:b w:val="false"/>
          <w:i w:val="false"/>
          <w:color w:val="1A1A1A"/>
          <w:sz w:val="17"/>
        </w:rPr>
        <w:t>az capacity reservation create --resource-group &lt;PROVIDER_RG&gt; --capacity-reservation-group &lt;CRG_NAME&gt; --name &lt;CR_NAME&gt; --sku &lt;VM_SKU&gt; --capacity &lt;QUANTITY&gt; --location &lt;PRIMARY_REGION&gt;</w:t>
      </w:r>
    </w:p>
    <w:p>
      <w:pPr>
        <w:pStyle w:val="Normal"/>
        <w:spacing w:before="80" w:after="40"/>
        <w:rPr/>
      </w:pPr>
      <w:r>
        <w:rPr>
          <w:rFonts w:eastAsia="Calibri"/>
          <w:b/>
          <w:i w:val="false"/>
          <w:color w:val="0B3D5C"/>
          <w:sz w:val="21"/>
        </w:rPr>
        <w:t xml:space="preserve">2. </w:t>
      </w:r>
      <w:r>
        <w:rPr>
          <w:rFonts w:eastAsia="Calibri"/>
          <w:b w:val="false"/>
          <w:i w:val="false"/>
          <w:color w:val="1A1A1A"/>
          <w:sz w:val="21"/>
        </w:rPr>
        <w:t>Optional zone pin: add --zone &lt;ZONE&gt; if testing zonal reservation</w:t>
      </w:r>
    </w:p>
    <w:p>
      <w:pPr>
        <w:pStyle w:val="Normal"/>
        <w:spacing w:before="80" w:after="40"/>
        <w:rPr/>
      </w:pPr>
      <w:r>
        <w:rPr>
          <w:rFonts w:eastAsia="Calibri"/>
          <w:b/>
          <w:i w:val="false"/>
          <w:color w:val="0B3D5C"/>
          <w:sz w:val="21"/>
        </w:rPr>
        <w:t xml:space="preserve">3. </w:t>
      </w:r>
      <w:r>
        <w:rPr>
          <w:rFonts w:eastAsia="Calibri"/>
          <w:b w:val="false"/>
          <w:i w:val="false"/>
          <w:color w:val="1A1A1A"/>
          <w:sz w:val="21"/>
        </w:rPr>
        <w:t>Verify:</w:t>
      </w:r>
    </w:p>
    <w:p>
      <w:pPr>
        <w:pStyle w:val="CodeBlock"/>
        <w:shd w:val="clear" w:fill="F4F6F8"/>
        <w:rPr/>
      </w:pPr>
      <w:r>
        <w:rPr>
          <w:rFonts w:cs="Consolas"/>
          <w:b w:val="false"/>
          <w:i w:val="false"/>
          <w:color w:val="1A1A1A"/>
          <w:sz w:val="17"/>
        </w:rPr>
        <w:t>az capacity reservation show --resource-group &lt;PROVIDER_RG&gt; --capacity-reservation-group &lt;CRG_NAME&gt; --name &lt;CR_NAME&gt; -o json</w:t>
      </w:r>
    </w:p>
    <w:p>
      <w:pPr>
        <w:pStyle w:val="Heading4"/>
        <w:rPr/>
      </w:pPr>
      <w:r>
        <w:rPr/>
        <w:t>Expected result</w:t>
      </w:r>
    </w:p>
    <w:p>
      <w:pPr>
        <w:pStyle w:val="Normal"/>
        <w:rPr/>
      </w:pPr>
      <w:r>
        <w:rPr>
          <w:rFonts w:eastAsia="Calibri"/>
          <w:b w:val="false"/>
          <w:i w:val="false"/>
          <w:color w:val="1A1A1A"/>
          <w:sz w:val="21"/>
        </w:rPr>
        <w:t>provisioningState = Succeeded; sku.name = VM_SKU; capacity (reserved quantity) = QUANTITY. Record reservedCapacity and instanceView if present.</w:t>
      </w:r>
    </w:p>
    <w:p>
      <w:pPr>
        <w:pStyle w:val="Heading4"/>
        <w:rPr/>
      </w:pPr>
      <w:r>
        <w:rPr/>
        <w:t>Result capture</w:t>
      </w:r>
    </w:p>
    <w:tbl>
      <w:tblPr>
        <w:tblStyle w:val="TableGrid"/>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cantSplit/>
        </w:trPr>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Field</w:t>
            </w:r>
          </w:p>
        </w:tc>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Entry</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Actual Result</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Status</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 / [Pass] / [Fail] / [Blocked]</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Notes / Blocker</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Evidence refs (request IDs, timestamps)</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4"/>
        <w:rPr/>
      </w:pPr>
      <w:r>
        <w:rPr/>
        <w:t>Step-level observations (optional)</w:t>
      </w:r>
    </w:p>
    <w:tbl>
      <w:tblPr>
        <w:tblStyle w:val="TableGrid"/>
        <w:tblW w:w="963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213"/>
        <w:gridCol w:w="3213"/>
        <w:gridCol w:w="3213"/>
      </w:tblGrid>
      <w:tr>
        <w:trPr>
          <w:cantSplit/>
        </w:trPr>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Step #</w:t>
            </w:r>
          </w:p>
        </w:tc>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Observed output / request ID</w:t>
            </w:r>
          </w:p>
        </w:tc>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Pass?</w:t>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1</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2</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3</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3"/>
        <w:rPr/>
      </w:pPr>
      <w:bookmarkStart w:id="14" w:name="__RefHeading___Toc21420_693750392"/>
      <w:bookmarkEnd w:id="14"/>
      <w:r>
        <w:rPr/>
        <w:t>POC-03: Associate VM with Reservation (Provider Subscription)</w:t>
      </w:r>
    </w:p>
    <w:tbl>
      <w:tblPr>
        <w:tblStyle w:val="TableGrid"/>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cantSplit/>
        </w:trPr>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Attribute</w:t>
            </w:r>
          </w:p>
        </w:tc>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Value</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 ID</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POC-03</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 1: CRG Creation and Basic Reservation</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Objective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Deploy a VM in the provider subscription associated to the CRG and confirm the association is recorded on the VM resource.</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Gate</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1 Pilot</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Prerequisites</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POC-02 Pass</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Executed by</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Execution date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API version(s) used</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Region / SKU / Zone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4"/>
        <w:rPr/>
      </w:pPr>
      <w:r>
        <w:rPr/>
        <w:t>Test steps</w:t>
      </w:r>
    </w:p>
    <w:p>
      <w:pPr>
        <w:pStyle w:val="Normal"/>
        <w:spacing w:before="80" w:after="40"/>
        <w:rPr/>
      </w:pPr>
      <w:r>
        <w:rPr>
          <w:rFonts w:eastAsia="Calibri"/>
          <w:b/>
          <w:i w:val="false"/>
          <w:color w:val="0B3D5C"/>
          <w:sz w:val="21"/>
        </w:rPr>
        <w:t xml:space="preserve">1. </w:t>
      </w:r>
      <w:r>
        <w:rPr>
          <w:rFonts w:eastAsia="Calibri"/>
          <w:b w:val="false"/>
          <w:i w:val="false"/>
          <w:color w:val="1A1A1A"/>
          <w:sz w:val="21"/>
        </w:rPr>
        <w:t>Create VM:</w:t>
      </w:r>
    </w:p>
    <w:p>
      <w:pPr>
        <w:pStyle w:val="CodeBlock"/>
        <w:shd w:val="clear" w:fill="F4F6F8"/>
        <w:rPr/>
      </w:pPr>
      <w:r>
        <w:rPr>
          <w:rFonts w:cs="Consolas"/>
          <w:b w:val="false"/>
          <w:i w:val="false"/>
          <w:color w:val="1A1A1A"/>
          <w:sz w:val="17"/>
        </w:rPr>
        <w:t>az vm create --resource-group &lt;PROVIDER_RG&gt; --name &lt;VM_NAME&gt; --image Ubuntu2204 --size &lt;VM_SKU&gt; --capacity-reservation-group /subscriptions/&lt;PROVIDER_SUB&gt;/resourceGroups/&lt;PROVIDER_RG&gt;/providers/Microsoft.Compute/capacityReservationGroups/&lt;CRG_NAME&gt; --generate-ssh-keys --location &lt;PRIMARY_REGION&gt;</w:t>
      </w:r>
    </w:p>
    <w:p>
      <w:pPr>
        <w:pStyle w:val="Normal"/>
        <w:spacing w:before="80" w:after="40"/>
        <w:rPr/>
      </w:pPr>
      <w:r>
        <w:rPr>
          <w:rFonts w:eastAsia="Calibri"/>
          <w:b/>
          <w:i w:val="false"/>
          <w:color w:val="0B3D5C"/>
          <w:sz w:val="21"/>
        </w:rPr>
        <w:t xml:space="preserve">2. </w:t>
      </w:r>
      <w:r>
        <w:rPr>
          <w:rFonts w:eastAsia="Calibri"/>
          <w:b w:val="false"/>
          <w:i w:val="false"/>
          <w:color w:val="1A1A1A"/>
          <w:sz w:val="21"/>
        </w:rPr>
        <w:t>If zonal CR: add --zone &lt;ZONE&gt; matching the reservation zone</w:t>
      </w:r>
    </w:p>
    <w:p>
      <w:pPr>
        <w:pStyle w:val="Normal"/>
        <w:spacing w:before="80" w:after="40"/>
        <w:rPr/>
      </w:pPr>
      <w:r>
        <w:rPr>
          <w:rFonts w:eastAsia="Calibri"/>
          <w:b/>
          <w:i w:val="false"/>
          <w:color w:val="0B3D5C"/>
          <w:sz w:val="21"/>
        </w:rPr>
        <w:t xml:space="preserve">3. </w:t>
      </w:r>
      <w:r>
        <w:rPr>
          <w:rFonts w:eastAsia="Calibri"/>
          <w:b w:val="false"/>
          <w:i w:val="false"/>
          <w:color w:val="1A1A1A"/>
          <w:sz w:val="21"/>
        </w:rPr>
        <w:t>Verify association:</w:t>
      </w:r>
    </w:p>
    <w:p>
      <w:pPr>
        <w:pStyle w:val="CodeBlock"/>
        <w:shd w:val="clear" w:fill="F4F6F8"/>
        <w:rPr/>
      </w:pPr>
      <w:r>
        <w:rPr>
          <w:rFonts w:cs="Consolas"/>
          <w:b w:val="false"/>
          <w:i w:val="false"/>
          <w:color w:val="1A1A1A"/>
          <w:sz w:val="17"/>
        </w:rPr>
        <w:t>az vm show --resource-group &lt;PROVIDER_RG&gt; --name &lt;VM_NAME&gt; --query capacityReservation -o json</w:t>
      </w:r>
    </w:p>
    <w:p>
      <w:pPr>
        <w:pStyle w:val="Heading4"/>
        <w:rPr/>
      </w:pPr>
      <w:r>
        <w:rPr/>
        <w:t>Expected result</w:t>
      </w:r>
    </w:p>
    <w:p>
      <w:pPr>
        <w:pStyle w:val="Normal"/>
        <w:rPr/>
      </w:pPr>
      <w:r>
        <w:rPr>
          <w:rFonts w:eastAsia="Calibri"/>
          <w:b w:val="false"/>
          <w:i w:val="false"/>
          <w:color w:val="1A1A1A"/>
          <w:sz w:val="21"/>
        </w:rPr>
        <w:t>VM provisioningState = Succeeded; capacityReservation.capacityReservationGroup.id matches the provider CRG resource ID.</w:t>
      </w:r>
    </w:p>
    <w:p>
      <w:pPr>
        <w:pStyle w:val="Heading4"/>
        <w:rPr/>
      </w:pPr>
      <w:r>
        <w:rPr/>
        <w:t>Result capture</w:t>
      </w:r>
    </w:p>
    <w:tbl>
      <w:tblPr>
        <w:tblStyle w:val="TableGrid"/>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cantSplit/>
        </w:trPr>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Field</w:t>
            </w:r>
          </w:p>
        </w:tc>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Entry</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Actual Result</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Status</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 / [Pass] / [Fail] / [Blocked]</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Notes / Blocker</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Evidence refs (request IDs, timestamps)</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4"/>
        <w:rPr/>
      </w:pPr>
      <w:r>
        <w:rPr/>
        <w:t>Step-level observations (optional)</w:t>
      </w:r>
    </w:p>
    <w:tbl>
      <w:tblPr>
        <w:tblStyle w:val="TableGrid"/>
        <w:tblW w:w="963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213"/>
        <w:gridCol w:w="3213"/>
        <w:gridCol w:w="3213"/>
      </w:tblGrid>
      <w:tr>
        <w:trPr>
          <w:cantSplit/>
        </w:trPr>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Step #</w:t>
            </w:r>
          </w:p>
        </w:tc>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Observed output / request ID</w:t>
            </w:r>
          </w:p>
        </w:tc>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Pass?</w:t>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1</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2</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3</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3"/>
        <w:rPr/>
      </w:pPr>
      <w:bookmarkStart w:id="15" w:name="__RefHeading___Toc21422_693750392"/>
      <w:bookmarkEnd w:id="15"/>
      <w:r>
        <w:rPr/>
        <w:t>POC-04: Verify Capacity Consumption Count Increments</w:t>
      </w:r>
    </w:p>
    <w:tbl>
      <w:tblPr>
        <w:tblStyle w:val="TableGrid"/>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cantSplit/>
        </w:trPr>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Attribute</w:t>
            </w:r>
          </w:p>
        </w:tc>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Value</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 ID</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POC-04</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 1: CRG Creation and Basic Reservation</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Objective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Confirm that associating a VM increments virtualMachinesAssociated on the Capacity Reservation without changing reserved quantity.</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Gate</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1 Pilot</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Prerequisites</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POC-03 Pass</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Executed by</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Execution date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API version(s) used</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Region / SKU / Zone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4"/>
        <w:rPr/>
      </w:pPr>
      <w:r>
        <w:rPr/>
        <w:t>Test steps</w:t>
      </w:r>
    </w:p>
    <w:p>
      <w:pPr>
        <w:pStyle w:val="Normal"/>
        <w:spacing w:before="80" w:after="40"/>
        <w:rPr/>
      </w:pPr>
      <w:r>
        <w:rPr>
          <w:rFonts w:eastAsia="Calibri"/>
          <w:b/>
          <w:i w:val="false"/>
          <w:color w:val="0B3D5C"/>
          <w:sz w:val="21"/>
        </w:rPr>
        <w:t xml:space="preserve">1. </w:t>
      </w:r>
      <w:r>
        <w:rPr>
          <w:rFonts w:eastAsia="Calibri"/>
          <w:b w:val="false"/>
          <w:i w:val="false"/>
          <w:color w:val="1A1A1A"/>
          <w:sz w:val="21"/>
        </w:rPr>
        <w:t>Query associations:</w:t>
      </w:r>
    </w:p>
    <w:p>
      <w:pPr>
        <w:pStyle w:val="CodeBlock"/>
        <w:shd w:val="clear" w:fill="F4F6F8"/>
        <w:rPr/>
      </w:pPr>
      <w:r>
        <w:rPr>
          <w:rFonts w:cs="Consolas"/>
          <w:b w:val="false"/>
          <w:i w:val="false"/>
          <w:color w:val="1A1A1A"/>
          <w:sz w:val="17"/>
        </w:rPr>
        <w:t>az capacity reservation show --resource-group &lt;PROVIDER_RG&gt; --capacity-reservation-group &lt;CRG_NAME&gt; --name &lt;CR_NAME&gt; --query virtualMachinesAssociated -o json</w:t>
      </w:r>
    </w:p>
    <w:p>
      <w:pPr>
        <w:pStyle w:val="Normal"/>
        <w:spacing w:before="80" w:after="40"/>
        <w:rPr/>
      </w:pPr>
      <w:r>
        <w:rPr>
          <w:rFonts w:eastAsia="Calibri"/>
          <w:b/>
          <w:i w:val="false"/>
          <w:color w:val="0B3D5C"/>
          <w:sz w:val="21"/>
        </w:rPr>
        <w:t xml:space="preserve">2. </w:t>
      </w:r>
      <w:r>
        <w:rPr>
          <w:rFonts w:eastAsia="Calibri"/>
          <w:b w:val="false"/>
          <w:i w:val="false"/>
          <w:color w:val="1A1A1A"/>
          <w:sz w:val="21"/>
        </w:rPr>
        <w:t>Query reserved quantity:</w:t>
      </w:r>
    </w:p>
    <w:p>
      <w:pPr>
        <w:pStyle w:val="CodeBlock"/>
        <w:shd w:val="clear" w:fill="F4F6F8"/>
        <w:rPr/>
      </w:pPr>
      <w:r>
        <w:rPr>
          <w:rFonts w:cs="Consolas"/>
          <w:b w:val="false"/>
          <w:i w:val="false"/>
          <w:color w:val="1A1A1A"/>
          <w:sz w:val="17"/>
        </w:rPr>
        <w:t>az capacity reservation show --resource-group &lt;PROVIDER_RG&gt; --capacity-reservation-group &lt;CRG_NAME&gt; --name &lt;CR_NAME&gt; --query '{sku:sku, capacity:sku.capacity, provisioningState:provisioningState}' -o json</w:t>
      </w:r>
    </w:p>
    <w:p>
      <w:pPr>
        <w:pStyle w:val="Heading4"/>
        <w:rPr/>
      </w:pPr>
      <w:r>
        <w:rPr/>
        <w:t>Expected result</w:t>
      </w:r>
    </w:p>
    <w:p>
      <w:pPr>
        <w:pStyle w:val="Normal"/>
        <w:rPr/>
      </w:pPr>
      <w:r>
        <w:rPr>
          <w:rFonts w:eastAsia="Calibri"/>
          <w:b w:val="false"/>
          <w:i w:val="false"/>
          <w:color w:val="1A1A1A"/>
          <w:sz w:val="21"/>
        </w:rPr>
        <w:t>virtualMachinesAssociated count = 1 (or previous + 1); reserved capacity unchanged from POC-02.</w:t>
      </w:r>
    </w:p>
    <w:p>
      <w:pPr>
        <w:pStyle w:val="Heading4"/>
        <w:rPr/>
      </w:pPr>
      <w:r>
        <w:rPr/>
        <w:t>Result capture</w:t>
      </w:r>
    </w:p>
    <w:tbl>
      <w:tblPr>
        <w:tblStyle w:val="TableGrid"/>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cantSplit/>
        </w:trPr>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Field</w:t>
            </w:r>
          </w:p>
        </w:tc>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Entry</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Actual Result</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Status</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 / [Pass] / [Fail] / [Blocked]</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Notes / Blocker</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Evidence refs (request IDs, timestamps)</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4"/>
        <w:rPr/>
      </w:pPr>
      <w:r>
        <w:rPr/>
        <w:t>Step-level observations (optional)</w:t>
      </w:r>
    </w:p>
    <w:tbl>
      <w:tblPr>
        <w:tblStyle w:val="TableGrid"/>
        <w:tblW w:w="963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213"/>
        <w:gridCol w:w="3213"/>
        <w:gridCol w:w="3213"/>
      </w:tblGrid>
      <w:tr>
        <w:trPr>
          <w:cantSplit/>
        </w:trPr>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Step #</w:t>
            </w:r>
          </w:p>
        </w:tc>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Observed output / request ID</w:t>
            </w:r>
          </w:p>
        </w:tc>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Pass?</w:t>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1</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2</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3"/>
        <w:rPr/>
      </w:pPr>
      <w:bookmarkStart w:id="16" w:name="__RefHeading___Toc21424_693750392"/>
      <w:bookmarkEnd w:id="16"/>
      <w:r>
        <w:rPr/>
        <w:t>POC-05: Disassociate VM — Verify Capacity Released</w:t>
      </w:r>
    </w:p>
    <w:tbl>
      <w:tblPr>
        <w:tblStyle w:val="TableGrid"/>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cantSplit/>
        </w:trPr>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Attribute</w:t>
            </w:r>
          </w:p>
        </w:tc>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Value</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 ID</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POC-05</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 1: CRG Creation and Basic Reservation</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Objective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Disassociate a running/deallocated VM from the CRG and confirm association count decrements while reservation quantity remains.</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Gate</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1 Pilot</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Prerequisites</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POC-04 Pass</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Executed by</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Execution date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API version(s) used</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Region / SKU / Zone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4"/>
        <w:rPr/>
      </w:pPr>
      <w:r>
        <w:rPr/>
        <w:t>Test steps</w:t>
      </w:r>
    </w:p>
    <w:p>
      <w:pPr>
        <w:pStyle w:val="Normal"/>
        <w:spacing w:before="80" w:after="40"/>
        <w:rPr/>
      </w:pPr>
      <w:r>
        <w:rPr>
          <w:rFonts w:eastAsia="Calibri"/>
          <w:b/>
          <w:i w:val="false"/>
          <w:color w:val="0B3D5C"/>
          <w:sz w:val="21"/>
        </w:rPr>
        <w:t xml:space="preserve">1. </w:t>
      </w:r>
      <w:r>
        <w:rPr>
          <w:rFonts w:eastAsia="Calibri"/>
          <w:b w:val="false"/>
          <w:i w:val="false"/>
          <w:color w:val="1A1A1A"/>
          <w:sz w:val="21"/>
        </w:rPr>
        <w:t>Deallocate VM:</w:t>
      </w:r>
    </w:p>
    <w:p>
      <w:pPr>
        <w:pStyle w:val="CodeBlock"/>
        <w:shd w:val="clear" w:fill="F4F6F8"/>
        <w:rPr/>
      </w:pPr>
      <w:r>
        <w:rPr>
          <w:rFonts w:cs="Consolas"/>
          <w:b w:val="false"/>
          <w:i w:val="false"/>
          <w:color w:val="1A1A1A"/>
          <w:sz w:val="17"/>
        </w:rPr>
        <w:t>az vm deallocate --resource-group &lt;PROVIDER_RG&gt; --name &lt;VM_NAME&gt;</w:t>
      </w:r>
    </w:p>
    <w:p>
      <w:pPr>
        <w:pStyle w:val="Normal"/>
        <w:spacing w:before="80" w:after="40"/>
        <w:rPr/>
      </w:pPr>
      <w:r>
        <w:rPr>
          <w:rFonts w:eastAsia="Calibri"/>
          <w:b/>
          <w:i w:val="false"/>
          <w:color w:val="0B3D5C"/>
          <w:sz w:val="21"/>
        </w:rPr>
        <w:t xml:space="preserve">2. </w:t>
      </w:r>
      <w:r>
        <w:rPr>
          <w:rFonts w:eastAsia="Calibri"/>
          <w:b w:val="false"/>
          <w:i w:val="false"/>
          <w:color w:val="1A1A1A"/>
          <w:sz w:val="21"/>
        </w:rPr>
        <w:t>Remove CRG association:</w:t>
      </w:r>
    </w:p>
    <w:p>
      <w:pPr>
        <w:pStyle w:val="CodeBlock"/>
        <w:shd w:val="clear" w:fill="F4F6F8"/>
        <w:rPr/>
      </w:pPr>
      <w:r>
        <w:rPr>
          <w:rFonts w:cs="Consolas"/>
          <w:b w:val="false"/>
          <w:i w:val="false"/>
          <w:color w:val="1A1A1A"/>
          <w:sz w:val="17"/>
        </w:rPr>
        <w:t>az vm update --resource-group &lt;PROVIDER_RG&gt; --name &lt;VM_NAME&gt; --set capacityReservation.capacityReservationGroup=null</w:t>
      </w:r>
    </w:p>
    <w:p>
      <w:pPr>
        <w:pStyle w:val="Normal"/>
        <w:spacing w:before="80" w:after="40"/>
        <w:rPr/>
      </w:pPr>
      <w:r>
        <w:rPr>
          <w:rFonts w:eastAsia="Calibri"/>
          <w:b/>
          <w:i w:val="false"/>
          <w:color w:val="0B3D5C"/>
          <w:sz w:val="21"/>
        </w:rPr>
        <w:t xml:space="preserve">3. </w:t>
      </w:r>
      <w:r>
        <w:rPr>
          <w:rFonts w:eastAsia="Calibri"/>
          <w:b w:val="false"/>
          <w:i w:val="false"/>
          <w:color w:val="1A1A1A"/>
          <w:sz w:val="21"/>
        </w:rPr>
        <w:t>Alternative CLI form (if supported in your CLI build):</w:t>
      </w:r>
    </w:p>
    <w:p>
      <w:pPr>
        <w:pStyle w:val="CodeBlock"/>
        <w:shd w:val="clear" w:fill="F4F6F8"/>
        <w:rPr/>
      </w:pPr>
      <w:r>
        <w:rPr>
          <w:rFonts w:cs="Consolas"/>
          <w:b w:val="false"/>
          <w:i w:val="false"/>
          <w:color w:val="1A1A1A"/>
          <w:sz w:val="17"/>
        </w:rPr>
        <w:t>az vm update --resource-group &lt;PROVIDER_RG&gt; --name &lt;VM_NAME&gt; --capacity-reservation-group None</w:t>
      </w:r>
    </w:p>
    <w:p>
      <w:pPr>
        <w:pStyle w:val="Normal"/>
        <w:spacing w:before="80" w:after="40"/>
        <w:rPr/>
      </w:pPr>
      <w:r>
        <w:rPr>
          <w:rFonts w:eastAsia="Calibri"/>
          <w:b/>
          <w:i w:val="false"/>
          <w:color w:val="0B3D5C"/>
          <w:sz w:val="21"/>
        </w:rPr>
        <w:t xml:space="preserve">4. </w:t>
      </w:r>
      <w:r>
        <w:rPr>
          <w:rFonts w:eastAsia="Calibri"/>
          <w:b w:val="false"/>
          <w:i w:val="false"/>
          <w:color w:val="1A1A1A"/>
          <w:sz w:val="21"/>
        </w:rPr>
        <w:t>Verify count:</w:t>
      </w:r>
    </w:p>
    <w:p>
      <w:pPr>
        <w:pStyle w:val="CodeBlock"/>
        <w:shd w:val="clear" w:fill="F4F6F8"/>
        <w:rPr/>
      </w:pPr>
      <w:r>
        <w:rPr>
          <w:rFonts w:cs="Consolas"/>
          <w:b w:val="false"/>
          <w:i w:val="false"/>
          <w:color w:val="1A1A1A"/>
          <w:sz w:val="17"/>
        </w:rPr>
        <w:t>az capacity reservation show --resource-group &lt;PROVIDER_RG&gt; --capacity-reservation-group &lt;CRG_NAME&gt; --name &lt;CR_NAME&gt; --query virtualMachinesAssociated -o json</w:t>
      </w:r>
    </w:p>
    <w:p>
      <w:pPr>
        <w:pStyle w:val="Normal"/>
        <w:spacing w:before="80" w:after="40"/>
        <w:rPr/>
      </w:pPr>
      <w:r>
        <w:rPr>
          <w:rFonts w:eastAsia="Calibri"/>
          <w:b/>
          <w:i w:val="false"/>
          <w:color w:val="0B3D5C"/>
          <w:sz w:val="21"/>
        </w:rPr>
        <w:t xml:space="preserve">5. </w:t>
      </w:r>
      <w:r>
        <w:rPr>
          <w:rFonts w:eastAsia="Calibri"/>
          <w:b w:val="false"/>
          <w:i w:val="false"/>
          <w:color w:val="1A1A1A"/>
          <w:sz w:val="21"/>
        </w:rPr>
        <w:t>Verify VM association cleared:</w:t>
      </w:r>
    </w:p>
    <w:p>
      <w:pPr>
        <w:pStyle w:val="CodeBlock"/>
        <w:shd w:val="clear" w:fill="F4F6F8"/>
        <w:rPr/>
      </w:pPr>
      <w:r>
        <w:rPr>
          <w:rFonts w:cs="Consolas"/>
          <w:b w:val="false"/>
          <w:i w:val="false"/>
          <w:color w:val="1A1A1A"/>
          <w:sz w:val="17"/>
        </w:rPr>
        <w:t>az vm show --resource-group &lt;PROVIDER_RG&gt; --name &lt;VM_NAME&gt; --query capacityReservation -o json</w:t>
      </w:r>
    </w:p>
    <w:p>
      <w:pPr>
        <w:pStyle w:val="Heading4"/>
        <w:rPr/>
      </w:pPr>
      <w:r>
        <w:rPr/>
        <w:t>Expected result</w:t>
      </w:r>
    </w:p>
    <w:p>
      <w:pPr>
        <w:pStyle w:val="Normal"/>
        <w:rPr/>
      </w:pPr>
      <w:r>
        <w:rPr>
          <w:rFonts w:eastAsia="Calibri"/>
          <w:b w:val="false"/>
          <w:i w:val="false"/>
          <w:color w:val="1A1A1A"/>
          <w:sz w:val="21"/>
        </w:rPr>
        <w:t>Association count decrements; reservation quantity unchanged; VM no longer references the CRG. Record exact CLI form that succeeded.</w:t>
      </w:r>
    </w:p>
    <w:p>
      <w:pPr>
        <w:pStyle w:val="Heading4"/>
        <w:rPr/>
      </w:pPr>
      <w:r>
        <w:rPr/>
        <w:t>Result capture</w:t>
      </w:r>
    </w:p>
    <w:tbl>
      <w:tblPr>
        <w:tblStyle w:val="TableGrid"/>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cantSplit/>
        </w:trPr>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Field</w:t>
            </w:r>
          </w:p>
        </w:tc>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Entry</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Actual Result</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Status</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 / [Pass] / [Fail] / [Blocked]</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Notes / Blocker</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Evidence refs (request IDs, timestamps)</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4"/>
        <w:rPr/>
      </w:pPr>
      <w:r>
        <w:rPr/>
        <w:t>Step-level observations (optional)</w:t>
      </w:r>
    </w:p>
    <w:tbl>
      <w:tblPr>
        <w:tblStyle w:val="TableGrid"/>
        <w:tblW w:w="963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213"/>
        <w:gridCol w:w="3213"/>
        <w:gridCol w:w="3213"/>
      </w:tblGrid>
      <w:tr>
        <w:trPr>
          <w:cantSplit/>
        </w:trPr>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Step #</w:t>
            </w:r>
          </w:p>
        </w:tc>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Observed output / request ID</w:t>
            </w:r>
          </w:p>
        </w:tc>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Pass?</w:t>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1</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2</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3</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4</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5</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3"/>
        <w:rPr/>
      </w:pPr>
      <w:bookmarkStart w:id="17" w:name="__RefHeading___Toc21426_693750392"/>
      <w:bookmarkEnd w:id="17"/>
      <w:r>
        <w:rPr/>
        <w:t>G1 group roll-up sign-off</w:t>
      </w:r>
    </w:p>
    <w:tbl>
      <w:tblPr>
        <w:tblStyle w:val="TableGrid"/>
        <w:tblW w:w="96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409"/>
        <w:gridCol w:w="2409"/>
        <w:gridCol w:w="2409"/>
        <w:gridCol w:w="2409"/>
      </w:tblGrid>
      <w:tr>
        <w:trPr>
          <w:cantSplit/>
        </w:trPr>
        <w:tc>
          <w:tcPr>
            <w:tcW w:w="240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Check</w:t>
            </w:r>
          </w:p>
        </w:tc>
        <w:tc>
          <w:tcPr>
            <w:tcW w:w="240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Result</w:t>
            </w:r>
          </w:p>
        </w:tc>
        <w:tc>
          <w:tcPr>
            <w:tcW w:w="240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Initials</w:t>
            </w:r>
          </w:p>
        </w:tc>
        <w:tc>
          <w:tcPr>
            <w:tcW w:w="240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Date</w:t>
            </w:r>
          </w:p>
        </w:tc>
      </w:tr>
      <w:tr>
        <w:trPr>
          <w:cantSplit/>
        </w:trPr>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All POCs in group executed or formally waived</w:t>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Evidence retained (API version, region, SKU, IDs)</w:t>
            </w:r>
          </w:p>
        </w:tc>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Blockers logged in §7</w:t>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Cleanup completed or retention justified</w:t>
            </w:r>
          </w:p>
        </w:tc>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 approved to unlock dependents</w:t>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2"/>
        <w:rPr/>
      </w:pPr>
      <w:bookmarkStart w:id="18" w:name="__RefHeading___Toc21428_693750392"/>
      <w:bookmarkEnd w:id="18"/>
      <w:r>
        <w:rPr/>
        <w:t>Group 2: Cross-Subscription Sharing (Preview Feature)</w:t>
      </w:r>
    </w:p>
    <w:p>
      <w:pPr>
        <w:pStyle w:val="Normal"/>
        <w:rPr/>
      </w:pPr>
      <w:r>
        <w:rPr>
          <w:rFonts w:eastAsia="Calibri"/>
          <w:b w:val="false"/>
          <w:i w:val="false"/>
          <w:color w:val="1A1A1A"/>
          <w:sz w:val="21"/>
        </w:rPr>
        <w:t>Validates CRG sharingProfile across subscriptions. Sharing is a Preview dependency (A-01, R-01). Always pin api-version=2024-03-01 or the preview version that succeeds, and record the exact version. Zone alignment (POC-06a / FC-06) is an onboarding gate before any customer is onboarded.</w:t>
      </w:r>
    </w:p>
    <w:p>
      <w:pPr>
        <w:pStyle w:val="Normal"/>
        <w:rPr/>
      </w:pPr>
      <w:r>
        <w:rPr>
          <w:rFonts w:eastAsia="Calibri"/>
          <w:b w:val="false"/>
          <w:i/>
          <w:color w:val="555555"/>
          <w:sz w:val="20"/>
        </w:rPr>
        <w:t>Group contains 6 POC entries. Complete result capture for every entry before signing the group roll-up below.</w:t>
      </w:r>
    </w:p>
    <w:p>
      <w:pPr>
        <w:pStyle w:val="Heading3"/>
        <w:rPr/>
      </w:pPr>
      <w:bookmarkStart w:id="19" w:name="__RefHeading___Toc21430_693750392"/>
      <w:bookmarkEnd w:id="19"/>
      <w:r>
        <w:rPr/>
        <w:t>POC-06: Enable Cross-Subscription Sharing on CRG</w:t>
      </w:r>
    </w:p>
    <w:tbl>
      <w:tblPr>
        <w:tblStyle w:val="TableGrid"/>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cantSplit/>
        </w:trPr>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Attribute</w:t>
            </w:r>
          </w:p>
        </w:tc>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Value</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 ID</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POC-06</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 2: Cross-Subscription Sharing (Preview Feature)</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Objective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Add the consumer subscription to the provider CRG sharingProfile via REST and confirm read-back.</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Gate</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1 Pilot</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Prerequisites</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POC-02 Pass. NOTE: Preview feature — record exact API version used.</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Executed by</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Execution date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API version(s) used</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Region / SKU / Zone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4"/>
        <w:rPr/>
      </w:pPr>
      <w:r>
        <w:rPr/>
        <w:t>Test steps</w:t>
      </w:r>
    </w:p>
    <w:p>
      <w:pPr>
        <w:pStyle w:val="Normal"/>
        <w:spacing w:before="80" w:after="40"/>
        <w:rPr/>
      </w:pPr>
      <w:r>
        <w:rPr>
          <w:rFonts w:eastAsia="Calibri"/>
          <w:b/>
          <w:i w:val="false"/>
          <w:color w:val="0B3D5C"/>
          <w:sz w:val="21"/>
        </w:rPr>
        <w:t xml:space="preserve">1. </w:t>
      </w:r>
      <w:r>
        <w:rPr>
          <w:rFonts w:eastAsia="Calibri"/>
          <w:b w:val="false"/>
          <w:i w:val="false"/>
          <w:color w:val="1A1A1A"/>
          <w:sz w:val="21"/>
        </w:rPr>
        <w:t>Run:</w:t>
      </w:r>
    </w:p>
    <w:p>
      <w:pPr>
        <w:pStyle w:val="CodeBlock"/>
        <w:shd w:val="clear" w:fill="F4F6F8"/>
        <w:rPr/>
      </w:pPr>
      <w:r>
        <w:rPr>
          <w:rFonts w:cs="Consolas"/>
          <w:b w:val="false"/>
          <w:i w:val="false"/>
          <w:color w:val="1A1A1A"/>
          <w:sz w:val="17"/>
        </w:rPr>
        <w:t>az account set --subscription &lt;PROVIDER_SUB&gt;</w:t>
      </w:r>
    </w:p>
    <w:p>
      <w:pPr>
        <w:pStyle w:val="Normal"/>
        <w:spacing w:before="80" w:after="40"/>
        <w:rPr/>
      </w:pPr>
      <w:r>
        <w:rPr>
          <w:rFonts w:eastAsia="Calibri"/>
          <w:b/>
          <w:i w:val="false"/>
          <w:color w:val="0B3D5C"/>
          <w:sz w:val="21"/>
        </w:rPr>
        <w:t xml:space="preserve">2. </w:t>
      </w:r>
      <w:r>
        <w:rPr>
          <w:rFonts w:eastAsia="Calibri"/>
          <w:b w:val="false"/>
          <w:i w:val="false"/>
          <w:color w:val="1A1A1A"/>
          <w:sz w:val="21"/>
        </w:rPr>
        <w:t>Share CRG:</w:t>
      </w:r>
    </w:p>
    <w:p>
      <w:pPr>
        <w:pStyle w:val="CodeBlock"/>
        <w:shd w:val="clear" w:fill="F4F6F8"/>
        <w:rPr/>
      </w:pPr>
      <w:r>
        <w:rPr>
          <w:rFonts w:cs="Consolas"/>
          <w:b w:val="false"/>
          <w:i w:val="false"/>
          <w:color w:val="1A1A1A"/>
          <w:sz w:val="17"/>
        </w:rPr>
        <w:t>az rest --method PATCH --url 'https://management.azure.com/subscriptions/&lt;PROVIDER_SUB&gt;/resourceGroups/&lt;PROVIDER_RG&gt;/providers/Microsoft.Compute/capacityReservationGroups/&lt;CRG_NAME&gt;?api-version=2024-03-01' --body '{"properties":{"sharingProfile":{"subscriptionIds":[{"id":"/subscriptions/&lt;CONSUMER_SUB&gt;"}]}}}'</w:t>
      </w:r>
    </w:p>
    <w:p>
      <w:pPr>
        <w:pStyle w:val="Normal"/>
        <w:spacing w:before="80" w:after="40"/>
        <w:rPr/>
      </w:pPr>
      <w:r>
        <w:rPr>
          <w:rFonts w:eastAsia="Calibri"/>
          <w:b/>
          <w:i w:val="false"/>
          <w:color w:val="0B3D5C"/>
          <w:sz w:val="21"/>
        </w:rPr>
        <w:t xml:space="preserve">3. </w:t>
      </w:r>
      <w:r>
        <w:rPr>
          <w:rFonts w:eastAsia="Calibri"/>
          <w:b w:val="false"/>
          <w:i w:val="false"/>
          <w:color w:val="1A1A1A"/>
          <w:sz w:val="21"/>
        </w:rPr>
        <w:t>If 2024-03-01 fails, retry with api-version=2024-03-01-preview and record which version succeeded</w:t>
      </w:r>
    </w:p>
    <w:p>
      <w:pPr>
        <w:pStyle w:val="Normal"/>
        <w:spacing w:before="80" w:after="40"/>
        <w:rPr/>
      </w:pPr>
      <w:r>
        <w:rPr>
          <w:rFonts w:eastAsia="Calibri"/>
          <w:b/>
          <w:i w:val="false"/>
          <w:color w:val="0B3D5C"/>
          <w:sz w:val="21"/>
        </w:rPr>
        <w:t xml:space="preserve">4. </w:t>
      </w:r>
      <w:r>
        <w:rPr>
          <w:rFonts w:eastAsia="Calibri"/>
          <w:b w:val="false"/>
          <w:i w:val="false"/>
          <w:color w:val="1A1A1A"/>
          <w:sz w:val="21"/>
        </w:rPr>
        <w:t>Verify:</w:t>
      </w:r>
    </w:p>
    <w:p>
      <w:pPr>
        <w:pStyle w:val="CodeBlock"/>
        <w:shd w:val="clear" w:fill="F4F6F8"/>
        <w:rPr/>
      </w:pPr>
      <w:r>
        <w:rPr>
          <w:rFonts w:cs="Consolas"/>
          <w:b w:val="false"/>
          <w:i w:val="false"/>
          <w:color w:val="1A1A1A"/>
          <w:sz w:val="17"/>
        </w:rPr>
        <w:t>az rest --method GET --url 'https://management.azure.com/subscriptions/&lt;PROVIDER_SUB&gt;/resourceGroups/&lt;PROVIDER_RG&gt;/providers/Microsoft.Compute/capacityReservationGroups/&lt;CRG_NAME&gt;?api-version=2024-03-01' --query properties.sharingProfile -o json</w:t>
      </w:r>
    </w:p>
    <w:p>
      <w:pPr>
        <w:pStyle w:val="Heading4"/>
        <w:rPr/>
      </w:pPr>
      <w:r>
        <w:rPr/>
        <w:t>Expected result</w:t>
      </w:r>
    </w:p>
    <w:p>
      <w:pPr>
        <w:pStyle w:val="Normal"/>
        <w:rPr/>
      </w:pPr>
      <w:r>
        <w:rPr>
          <w:rFonts w:eastAsia="Calibri"/>
          <w:b w:val="false"/>
          <w:i w:val="false"/>
          <w:color w:val="1A1A1A"/>
          <w:sz w:val="21"/>
        </w:rPr>
        <w:t>sharingProfile.subscriptionIds contains /subscriptions/&lt;CONSUMER_SUB&gt;; provisioningState = Succeeded. Record: exact API version that succeeded; region tested.</w:t>
      </w:r>
    </w:p>
    <w:p>
      <w:pPr>
        <w:pStyle w:val="Heading4"/>
        <w:rPr/>
      </w:pPr>
      <w:r>
        <w:rPr/>
        <w:t>Result capture</w:t>
      </w:r>
    </w:p>
    <w:tbl>
      <w:tblPr>
        <w:tblStyle w:val="TableGrid"/>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cantSplit/>
        </w:trPr>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Field</w:t>
            </w:r>
          </w:p>
        </w:tc>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Entry</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Actual Result</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Status</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 / [Pass] / [Fail] / [Blocked]</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Notes / Blocker</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Evidence refs (request IDs, timestamps)</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4"/>
        <w:rPr/>
      </w:pPr>
      <w:r>
        <w:rPr/>
        <w:t>Step-level observations (optional)</w:t>
      </w:r>
    </w:p>
    <w:tbl>
      <w:tblPr>
        <w:tblStyle w:val="TableGrid"/>
        <w:tblW w:w="963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213"/>
        <w:gridCol w:w="3213"/>
        <w:gridCol w:w="3213"/>
      </w:tblGrid>
      <w:tr>
        <w:trPr>
          <w:cantSplit/>
        </w:trPr>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Step #</w:t>
            </w:r>
          </w:p>
        </w:tc>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Observed output / request ID</w:t>
            </w:r>
          </w:p>
        </w:tc>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Pass?</w:t>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1</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2</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3</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4</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3"/>
        <w:rPr/>
      </w:pPr>
      <w:bookmarkStart w:id="20" w:name="__RefHeading___Toc21432_693750392"/>
      <w:bookmarkEnd w:id="20"/>
      <w:r>
        <w:rPr/>
        <w:t>POC-06a: Cross-Subscription Zone Alignment Validation (FC-06 — Critical)</w:t>
      </w:r>
    </w:p>
    <w:tbl>
      <w:tblPr>
        <w:tblStyle w:val="TableGrid"/>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cantSplit/>
        </w:trPr>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Attribute</w:t>
            </w:r>
          </w:p>
        </w:tc>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Value</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 ID</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POC-06a</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 2: Cross-Subscription Sharing (Preview Feature)</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Objective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Confirm logical-to-physical availability zone mappings for provider and consumer subscriptions. Zone mismatch means the reservation is in the wrong physical zone for the consumer. This test must pass before any customer is onboarded.</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Gate</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1 Pilot — ONBOARDING GATE</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Prerequisites</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POC-06 Pass</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Executed by</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Execution date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API version(s) used</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Region / SKU / Zone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4"/>
        <w:rPr/>
      </w:pPr>
      <w:r>
        <w:rPr/>
        <w:t>Test steps</w:t>
      </w:r>
    </w:p>
    <w:p>
      <w:pPr>
        <w:pStyle w:val="Normal"/>
        <w:spacing w:before="80" w:after="40"/>
        <w:rPr/>
      </w:pPr>
      <w:r>
        <w:rPr>
          <w:rFonts w:eastAsia="Calibri"/>
          <w:b/>
          <w:i w:val="false"/>
          <w:color w:val="0B3D5C"/>
          <w:sz w:val="21"/>
        </w:rPr>
        <w:t xml:space="preserve">1. </w:t>
      </w:r>
      <w:r>
        <w:rPr>
          <w:rFonts w:eastAsia="Calibri"/>
          <w:b w:val="false"/>
          <w:i w:val="false"/>
          <w:color w:val="1A1A1A"/>
          <w:sz w:val="21"/>
        </w:rPr>
        <w:t>Get provider zone mappings:</w:t>
      </w:r>
    </w:p>
    <w:p>
      <w:pPr>
        <w:pStyle w:val="CodeBlock"/>
        <w:shd w:val="clear" w:fill="F4F6F8"/>
        <w:rPr/>
      </w:pPr>
      <w:r>
        <w:rPr>
          <w:rFonts w:cs="Consolas"/>
          <w:b w:val="false"/>
          <w:i w:val="false"/>
          <w:color w:val="1A1A1A"/>
          <w:sz w:val="17"/>
        </w:rPr>
        <w:t>az rest --method GET --url 'https://management.azure.com/subscriptions/&lt;PROVIDER_SUB&gt;/locations?api-version=2022-12-01' --query "[?name=='&lt;PRIMARY_REGION&gt;'].availabilityZoneMappings" -o json</w:t>
      </w:r>
    </w:p>
    <w:p>
      <w:pPr>
        <w:pStyle w:val="Normal"/>
        <w:spacing w:before="80" w:after="40"/>
        <w:rPr/>
      </w:pPr>
      <w:r>
        <w:rPr>
          <w:rFonts w:eastAsia="Calibri"/>
          <w:b/>
          <w:i w:val="false"/>
          <w:color w:val="0B3D5C"/>
          <w:sz w:val="21"/>
        </w:rPr>
        <w:t xml:space="preserve">2. </w:t>
      </w:r>
      <w:r>
        <w:rPr>
          <w:rFonts w:eastAsia="Calibri"/>
          <w:b w:val="false"/>
          <w:i w:val="false"/>
          <w:color w:val="1A1A1A"/>
          <w:sz w:val="21"/>
        </w:rPr>
        <w:t>Get consumer zone mappings:</w:t>
      </w:r>
    </w:p>
    <w:p>
      <w:pPr>
        <w:pStyle w:val="CodeBlock"/>
        <w:shd w:val="clear" w:fill="F4F6F8"/>
        <w:rPr/>
      </w:pPr>
      <w:r>
        <w:rPr>
          <w:rFonts w:cs="Consolas"/>
          <w:b w:val="false"/>
          <w:i w:val="false"/>
          <w:color w:val="1A1A1A"/>
          <w:sz w:val="17"/>
        </w:rPr>
        <w:t>az rest --method GET --url 'https://management.azure.com/subscriptions/&lt;CONSUMER_SUB&gt;/locations?api-version=2022-12-01' --query "[?name=='&lt;PRIMARY_REGION&gt;'].availabilityZoneMappings" -o json</w:t>
      </w:r>
    </w:p>
    <w:p>
      <w:pPr>
        <w:pStyle w:val="Normal"/>
        <w:spacing w:before="80" w:after="40"/>
        <w:rPr/>
      </w:pPr>
      <w:r>
        <w:rPr>
          <w:rFonts w:eastAsia="Calibri"/>
          <w:b/>
          <w:i w:val="false"/>
          <w:color w:val="0B3D5C"/>
          <w:sz w:val="21"/>
        </w:rPr>
        <w:t xml:space="preserve">3. </w:t>
      </w:r>
      <w:r>
        <w:rPr>
          <w:rFonts w:eastAsia="Calibri"/>
          <w:b w:val="false"/>
          <w:i w:val="false"/>
          <w:color w:val="1A1A1A"/>
          <w:sz w:val="21"/>
        </w:rPr>
        <w:t>Build comparison table: for each logical zone label (1, 2, 3), record provider physical zone name and consumer physical zone name</w:t>
      </w:r>
    </w:p>
    <w:p>
      <w:pPr>
        <w:pStyle w:val="Normal"/>
        <w:spacing w:before="80" w:after="40"/>
        <w:rPr/>
      </w:pPr>
      <w:r>
        <w:rPr>
          <w:rFonts w:eastAsia="Calibri"/>
          <w:b/>
          <w:i w:val="false"/>
          <w:color w:val="0B3D5C"/>
          <w:sz w:val="21"/>
        </w:rPr>
        <w:t xml:space="preserve">4. </w:t>
      </w:r>
      <w:r>
        <w:rPr>
          <w:rFonts w:eastAsia="Calibri"/>
          <w:b w:val="false"/>
          <w:i w:val="false"/>
          <w:color w:val="1A1A1A"/>
          <w:sz w:val="21"/>
        </w:rPr>
        <w:t>Determine whether logical zone used by the CRG maps to the same physical zone on the consumer subscription</w:t>
      </w:r>
    </w:p>
    <w:p>
      <w:pPr>
        <w:pStyle w:val="Normal"/>
        <w:spacing w:before="80" w:after="40"/>
        <w:rPr/>
      </w:pPr>
      <w:r>
        <w:rPr>
          <w:rFonts w:eastAsia="Calibri"/>
          <w:b/>
          <w:i w:val="false"/>
          <w:color w:val="0B3D5C"/>
          <w:sz w:val="21"/>
        </w:rPr>
        <w:t xml:space="preserve">5. </w:t>
      </w:r>
      <w:r>
        <w:rPr>
          <w:rFonts w:eastAsia="Calibri"/>
          <w:b w:val="false"/>
          <w:i w:val="false"/>
          <w:color w:val="1A1A1A"/>
          <w:sz w:val="21"/>
        </w:rPr>
        <w:t>If misaligned: identify the consumer logical zone that maps to the provider CRG physical zone (zone translation algorithm)</w:t>
      </w:r>
    </w:p>
    <w:p>
      <w:pPr>
        <w:pStyle w:val="Heading4"/>
        <w:rPr/>
      </w:pPr>
      <w:r>
        <w:rPr/>
        <w:t>Expected result</w:t>
      </w:r>
    </w:p>
    <w:p>
      <w:pPr>
        <w:pStyle w:val="Normal"/>
        <w:rPr/>
      </w:pPr>
      <w:r>
        <w:rPr>
          <w:rFonts w:eastAsia="Calibri"/>
          <w:b w:val="false"/>
          <w:i w:val="false"/>
          <w:color w:val="1A1A1A"/>
          <w:sz w:val="21"/>
        </w:rPr>
        <w:t>Full zone mapping table recorded for both subscriptions. Zones must align for the CRG zone and the consumer intended deployment zone, OR the translation mapping must be documented. If no mapping exists for the physical zone: BLOCKED — escalate to engineering immediately (ZoneMappingUnavailable).</w:t>
      </w:r>
    </w:p>
    <w:p>
      <w:pPr>
        <w:pStyle w:val="Heading4"/>
        <w:rPr/>
      </w:pPr>
      <w:r>
        <w:rPr/>
        <w:t>Result capture</w:t>
      </w:r>
    </w:p>
    <w:tbl>
      <w:tblPr>
        <w:tblStyle w:val="TableGrid"/>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cantSplit/>
        </w:trPr>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Field</w:t>
            </w:r>
          </w:p>
        </w:tc>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Entry</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Actual Result</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Status</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 / [Pass] / [Fail] / [Blocked]</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Notes / Blocker</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Evidence refs (request IDs, timestamps)</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4"/>
        <w:rPr/>
      </w:pPr>
      <w:r>
        <w:rPr/>
        <w:t>Step-level observations (optional)</w:t>
      </w:r>
    </w:p>
    <w:tbl>
      <w:tblPr>
        <w:tblStyle w:val="TableGrid"/>
        <w:tblW w:w="963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213"/>
        <w:gridCol w:w="3213"/>
        <w:gridCol w:w="3213"/>
      </w:tblGrid>
      <w:tr>
        <w:trPr>
          <w:cantSplit/>
        </w:trPr>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Step #</w:t>
            </w:r>
          </w:p>
        </w:tc>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Observed output / request ID</w:t>
            </w:r>
          </w:p>
        </w:tc>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Pass?</w:t>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1</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2</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3</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4</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5</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3"/>
        <w:rPr/>
      </w:pPr>
      <w:bookmarkStart w:id="21" w:name="__RefHeading___Toc21434_693750392"/>
      <w:bookmarkEnd w:id="21"/>
      <w:r>
        <w:rPr/>
        <w:t>POC-07: Consumer Discovers Shared CRG via ARG</w:t>
      </w:r>
    </w:p>
    <w:tbl>
      <w:tblPr>
        <w:tblStyle w:val="TableGrid"/>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cantSplit/>
        </w:trPr>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Attribute</w:t>
            </w:r>
          </w:p>
        </w:tc>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Value</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 ID</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POC-07</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 2: Cross-Subscription Sharing (Preview Feature)</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Objective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Document that consumer-side standard list may omit shared CRGs (known Microsoft issue R-03) and that Azure Resource Graph returns the shared CRG for diagnostics.</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Gate</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1 Pilot</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Prerequisites</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POC-06 Pass</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Executed by</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Execution date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API version(s) used</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Region / SKU / Zone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4"/>
        <w:rPr/>
      </w:pPr>
      <w:r>
        <w:rPr/>
        <w:t>Test steps</w:t>
      </w:r>
    </w:p>
    <w:p>
      <w:pPr>
        <w:pStyle w:val="Normal"/>
        <w:spacing w:before="80" w:after="40"/>
        <w:rPr/>
      </w:pPr>
      <w:r>
        <w:rPr>
          <w:rFonts w:eastAsia="Calibri"/>
          <w:b/>
          <w:i w:val="false"/>
          <w:color w:val="0B3D5C"/>
          <w:sz w:val="21"/>
        </w:rPr>
        <w:t xml:space="preserve">1. </w:t>
      </w:r>
      <w:r>
        <w:rPr>
          <w:rFonts w:eastAsia="Calibri"/>
          <w:b w:val="false"/>
          <w:i w:val="false"/>
          <w:color w:val="1A1A1A"/>
          <w:sz w:val="21"/>
        </w:rPr>
        <w:t>Run:</w:t>
      </w:r>
    </w:p>
    <w:p>
      <w:pPr>
        <w:pStyle w:val="CodeBlock"/>
        <w:shd w:val="clear" w:fill="F4F6F8"/>
        <w:rPr/>
      </w:pPr>
      <w:r>
        <w:rPr>
          <w:rFonts w:cs="Consolas"/>
          <w:b w:val="false"/>
          <w:i w:val="false"/>
          <w:color w:val="1A1A1A"/>
          <w:sz w:val="17"/>
        </w:rPr>
        <w:t>az account set --subscription &lt;CONSUMER_SUB&gt;</w:t>
      </w:r>
    </w:p>
    <w:p>
      <w:pPr>
        <w:pStyle w:val="Normal"/>
        <w:spacing w:before="80" w:after="40"/>
        <w:rPr/>
      </w:pPr>
      <w:r>
        <w:rPr>
          <w:rFonts w:eastAsia="Calibri"/>
          <w:b/>
          <w:i w:val="false"/>
          <w:color w:val="0B3D5C"/>
          <w:sz w:val="21"/>
        </w:rPr>
        <w:t xml:space="preserve">2. </w:t>
      </w:r>
      <w:r>
        <w:rPr>
          <w:rFonts w:eastAsia="Calibri"/>
          <w:b w:val="false"/>
          <w:i w:val="false"/>
          <w:color w:val="1A1A1A"/>
          <w:sz w:val="21"/>
        </w:rPr>
        <w:t>ARG query:</w:t>
      </w:r>
    </w:p>
    <w:p>
      <w:pPr>
        <w:pStyle w:val="CodeBlock"/>
        <w:shd w:val="clear" w:fill="F4F6F8"/>
        <w:rPr/>
      </w:pPr>
      <w:r>
        <w:rPr>
          <w:rFonts w:cs="Consolas"/>
          <w:b w:val="false"/>
          <w:i w:val="false"/>
          <w:color w:val="1A1A1A"/>
          <w:sz w:val="17"/>
        </w:rPr>
        <w:t>az graph query -q "Resources | where type =~ 'microsoft.compute/capacityreservationgroups' | where id startswith '/subscriptions/&lt;PROVIDER_SUB&gt;' | project id, name, location, properties" -o json</w:t>
      </w:r>
    </w:p>
    <w:p>
      <w:pPr>
        <w:pStyle w:val="Normal"/>
        <w:spacing w:before="80" w:after="40"/>
        <w:rPr/>
      </w:pPr>
      <w:r>
        <w:rPr>
          <w:rFonts w:eastAsia="Calibri"/>
          <w:b/>
          <w:i w:val="false"/>
          <w:color w:val="0B3D5C"/>
          <w:sz w:val="21"/>
        </w:rPr>
        <w:t xml:space="preserve">3. </w:t>
      </w:r>
      <w:r>
        <w:rPr>
          <w:rFonts w:eastAsia="Calibri"/>
          <w:b w:val="false"/>
          <w:i w:val="false"/>
          <w:color w:val="1A1A1A"/>
          <w:sz w:val="21"/>
        </w:rPr>
        <w:t>Direct list (expected incomplete):</w:t>
      </w:r>
    </w:p>
    <w:p>
      <w:pPr>
        <w:pStyle w:val="CodeBlock"/>
        <w:shd w:val="clear" w:fill="F4F6F8"/>
        <w:rPr/>
      </w:pPr>
      <w:r>
        <w:rPr>
          <w:rFonts w:cs="Consolas"/>
          <w:b w:val="false"/>
          <w:i w:val="false"/>
          <w:color w:val="1A1A1A"/>
          <w:sz w:val="17"/>
        </w:rPr>
        <w:t>az capacity reservation group list --subscription &lt;CONSUMER_SUB&gt; -o table</w:t>
      </w:r>
    </w:p>
    <w:p>
      <w:pPr>
        <w:pStyle w:val="Normal"/>
        <w:spacing w:before="80" w:after="40"/>
        <w:rPr/>
      </w:pPr>
      <w:r>
        <w:rPr>
          <w:rFonts w:eastAsia="Calibri"/>
          <w:b/>
          <w:i w:val="false"/>
          <w:color w:val="0B3D5C"/>
          <w:sz w:val="21"/>
        </w:rPr>
        <w:t xml:space="preserve">4. </w:t>
      </w:r>
      <w:r>
        <w:rPr>
          <w:rFonts w:eastAsia="Calibri"/>
          <w:b w:val="false"/>
          <w:i w:val="false"/>
          <w:color w:val="1A1A1A"/>
          <w:sz w:val="21"/>
        </w:rPr>
        <w:t>Optional REST list:</w:t>
      </w:r>
    </w:p>
    <w:p>
      <w:pPr>
        <w:pStyle w:val="CodeBlock"/>
        <w:shd w:val="clear" w:fill="F4F6F8"/>
        <w:rPr/>
      </w:pPr>
      <w:r>
        <w:rPr>
          <w:rFonts w:cs="Consolas"/>
          <w:b w:val="false"/>
          <w:i w:val="false"/>
          <w:color w:val="1A1A1A"/>
          <w:sz w:val="17"/>
        </w:rPr>
        <w:t>az rest --method GET --url 'https://management.azure.com/subscriptions/&lt;CONSUMER_SUB&gt;/providers/Microsoft.Compute/capacityReservationGroups?api-version=2024-03-01' -o json</w:t>
      </w:r>
    </w:p>
    <w:p>
      <w:pPr>
        <w:pStyle w:val="Heading4"/>
        <w:rPr/>
      </w:pPr>
      <w:r>
        <w:rPr/>
        <w:t>Expected result</w:t>
      </w:r>
    </w:p>
    <w:p>
      <w:pPr>
        <w:pStyle w:val="Normal"/>
        <w:rPr/>
      </w:pPr>
      <w:r>
        <w:rPr>
          <w:rFonts w:eastAsia="Calibri"/>
          <w:b w:val="false"/>
          <w:i w:val="false"/>
          <w:color w:val="1A1A1A"/>
          <w:sz w:val="21"/>
        </w:rPr>
        <w:t>ARG returns the shared provider CRG. Direct list omits it or returns empty when the consumer has no local CRG. This documents the known Microsoft bug — it is not a test failure. Record both outputs.</w:t>
      </w:r>
    </w:p>
    <w:p>
      <w:pPr>
        <w:pStyle w:val="Heading4"/>
        <w:rPr/>
      </w:pPr>
      <w:r>
        <w:rPr/>
        <w:t>Result capture</w:t>
      </w:r>
    </w:p>
    <w:tbl>
      <w:tblPr>
        <w:tblStyle w:val="TableGrid"/>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cantSplit/>
        </w:trPr>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Field</w:t>
            </w:r>
          </w:p>
        </w:tc>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Entry</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Actual Result</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Status</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 / [Pass] / [Fail] / [Blocked]</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Notes / Blocker</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Evidence refs (request IDs, timestamps)</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4"/>
        <w:rPr/>
      </w:pPr>
      <w:r>
        <w:rPr/>
        <w:t>Step-level observations (optional)</w:t>
      </w:r>
    </w:p>
    <w:tbl>
      <w:tblPr>
        <w:tblStyle w:val="TableGrid"/>
        <w:tblW w:w="963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213"/>
        <w:gridCol w:w="3213"/>
        <w:gridCol w:w="3213"/>
      </w:tblGrid>
      <w:tr>
        <w:trPr>
          <w:cantSplit/>
        </w:trPr>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Step #</w:t>
            </w:r>
          </w:p>
        </w:tc>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Observed output / request ID</w:t>
            </w:r>
          </w:p>
        </w:tc>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Pass?</w:t>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1</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2</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3</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4</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3"/>
        <w:rPr/>
      </w:pPr>
      <w:bookmarkStart w:id="22" w:name="__RefHeading___Toc21436_693750392"/>
      <w:bookmarkEnd w:id="22"/>
      <w:r>
        <w:rPr/>
        <w:t>POC-08: Associate Consumer VM with Shared CRG</w:t>
      </w:r>
    </w:p>
    <w:tbl>
      <w:tblPr>
        <w:tblStyle w:val="TableGrid"/>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cantSplit/>
        </w:trPr>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Attribute</w:t>
            </w:r>
          </w:p>
        </w:tc>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Value</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 ID</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POC-08</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 2: Cross-Subscription Sharing (Preview Feature)</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Objective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Deploy a VM in the consumer subscription against the shared provider CRG using the correct consumer logical zone from POC-06a.</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Gate</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1 Pilot</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Prerequisites</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POC-07 Pass; POC-06a Pass (zone alignment or translation documented)</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Executed by</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Execution date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API version(s) used</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Region / SKU / Zone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4"/>
        <w:rPr/>
      </w:pPr>
      <w:r>
        <w:rPr/>
        <w:t>Test steps</w:t>
      </w:r>
    </w:p>
    <w:p>
      <w:pPr>
        <w:pStyle w:val="Normal"/>
        <w:spacing w:before="80" w:after="40"/>
        <w:rPr/>
      </w:pPr>
      <w:r>
        <w:rPr>
          <w:rFonts w:eastAsia="Calibri"/>
          <w:b/>
          <w:i w:val="false"/>
          <w:color w:val="0B3D5C"/>
          <w:sz w:val="21"/>
        </w:rPr>
        <w:t xml:space="preserve">1. </w:t>
      </w:r>
      <w:r>
        <w:rPr>
          <w:rFonts w:eastAsia="Calibri"/>
          <w:b w:val="false"/>
          <w:i w:val="false"/>
          <w:color w:val="1A1A1A"/>
          <w:sz w:val="21"/>
        </w:rPr>
        <w:t>Run:</w:t>
      </w:r>
    </w:p>
    <w:p>
      <w:pPr>
        <w:pStyle w:val="CodeBlock"/>
        <w:shd w:val="clear" w:fill="F4F6F8"/>
        <w:rPr/>
      </w:pPr>
      <w:r>
        <w:rPr>
          <w:rFonts w:cs="Consolas"/>
          <w:b w:val="false"/>
          <w:i w:val="false"/>
          <w:color w:val="1A1A1A"/>
          <w:sz w:val="17"/>
        </w:rPr>
        <w:t>az account set --subscription &lt;CONSUMER_SUB&gt;</w:t>
      </w:r>
    </w:p>
    <w:p>
      <w:pPr>
        <w:pStyle w:val="Normal"/>
        <w:spacing w:before="80" w:after="40"/>
        <w:rPr/>
      </w:pPr>
      <w:r>
        <w:rPr>
          <w:rFonts w:eastAsia="Calibri"/>
          <w:b/>
          <w:i w:val="false"/>
          <w:color w:val="0B3D5C"/>
          <w:sz w:val="21"/>
        </w:rPr>
        <w:t xml:space="preserve">2. </w:t>
      </w:r>
      <w:r>
        <w:rPr>
          <w:rFonts w:eastAsia="Calibri"/>
          <w:b w:val="false"/>
          <w:i w:val="false"/>
          <w:color w:val="1A1A1A"/>
          <w:sz w:val="21"/>
        </w:rPr>
        <w:t>Create consumer VM using translated zone if required:</w:t>
      </w:r>
    </w:p>
    <w:p>
      <w:pPr>
        <w:pStyle w:val="CodeBlock"/>
        <w:shd w:val="clear" w:fill="F4F6F8"/>
        <w:rPr/>
      </w:pPr>
      <w:r>
        <w:rPr>
          <w:rFonts w:cs="Consolas"/>
          <w:b w:val="false"/>
          <w:i w:val="false"/>
          <w:color w:val="1A1A1A"/>
          <w:sz w:val="17"/>
        </w:rPr>
        <w:t>az vm create --resource-group &lt;CONSUMER_RG&gt; --name &lt;CONSUMER_VM_NAME&gt; --image Ubuntu2204 --size &lt;VM_SKU&gt; --capacity-reservation-group /subscriptions/&lt;PROVIDER_SUB&gt;/resourceGroups/&lt;PROVIDER_RG&gt;/providers/Microsoft.Compute/capacityReservationGroups/&lt;CRG_NAME&gt; --generate-ssh-keys --location &lt;PRIMARY_REGION&gt; --zone &lt;CONSUMER_LOGICAL_ZONE&gt;</w:t>
      </w:r>
    </w:p>
    <w:p>
      <w:pPr>
        <w:pStyle w:val="Normal"/>
        <w:spacing w:before="80" w:after="40"/>
        <w:rPr/>
      </w:pPr>
      <w:r>
        <w:rPr>
          <w:rFonts w:eastAsia="Calibri"/>
          <w:b/>
          <w:i w:val="false"/>
          <w:color w:val="0B3D5C"/>
          <w:sz w:val="21"/>
        </w:rPr>
        <w:t xml:space="preserve">3. </w:t>
      </w:r>
      <w:r>
        <w:rPr>
          <w:rFonts w:eastAsia="Calibri"/>
          <w:b w:val="false"/>
          <w:i w:val="false"/>
          <w:color w:val="1A1A1A"/>
          <w:sz w:val="21"/>
        </w:rPr>
        <w:t>Verify association:</w:t>
      </w:r>
    </w:p>
    <w:p>
      <w:pPr>
        <w:pStyle w:val="CodeBlock"/>
        <w:shd w:val="clear" w:fill="F4F6F8"/>
        <w:rPr/>
      </w:pPr>
      <w:r>
        <w:rPr>
          <w:rFonts w:cs="Consolas"/>
          <w:b w:val="false"/>
          <w:i w:val="false"/>
          <w:color w:val="1A1A1A"/>
          <w:sz w:val="17"/>
        </w:rPr>
        <w:t>az vm show --resource-group &lt;CONSUMER_RG&gt; --name &lt;CONSUMER_VM_NAME&gt; --query capacityReservation -o json</w:t>
      </w:r>
    </w:p>
    <w:p>
      <w:pPr>
        <w:pStyle w:val="Heading4"/>
        <w:rPr/>
      </w:pPr>
      <w:r>
        <w:rPr/>
        <w:t>Expected result</w:t>
      </w:r>
    </w:p>
    <w:p>
      <w:pPr>
        <w:pStyle w:val="Normal"/>
        <w:rPr/>
      </w:pPr>
      <w:r>
        <w:rPr>
          <w:rFonts w:eastAsia="Calibri"/>
          <w:b w:val="false"/>
          <w:i w:val="false"/>
          <w:color w:val="1A1A1A"/>
          <w:sz w:val="21"/>
        </w:rPr>
        <w:t>VM created successfully; capacityReservation.capacityReservationGroup.id equals the provider CRG resource ID. If placement fails, capture error and re-check zone translation (FC-06 / R-41).</w:t>
      </w:r>
    </w:p>
    <w:p>
      <w:pPr>
        <w:pStyle w:val="Heading4"/>
        <w:rPr/>
      </w:pPr>
      <w:r>
        <w:rPr/>
        <w:t>Result capture</w:t>
      </w:r>
    </w:p>
    <w:tbl>
      <w:tblPr>
        <w:tblStyle w:val="TableGrid"/>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cantSplit/>
        </w:trPr>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Field</w:t>
            </w:r>
          </w:p>
        </w:tc>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Entry</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Actual Result</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Status</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 / [Pass] / [Fail] / [Blocked]</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Notes / Blocker</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Evidence refs (request IDs, timestamps)</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4"/>
        <w:rPr/>
      </w:pPr>
      <w:r>
        <w:rPr/>
        <w:t>Step-level observations (optional)</w:t>
      </w:r>
    </w:p>
    <w:tbl>
      <w:tblPr>
        <w:tblStyle w:val="TableGrid"/>
        <w:tblW w:w="963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213"/>
        <w:gridCol w:w="3213"/>
        <w:gridCol w:w="3213"/>
      </w:tblGrid>
      <w:tr>
        <w:trPr>
          <w:cantSplit/>
        </w:trPr>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Step #</w:t>
            </w:r>
          </w:p>
        </w:tc>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Observed output / request ID</w:t>
            </w:r>
          </w:p>
        </w:tc>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Pass?</w:t>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1</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2</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3</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3"/>
        <w:rPr/>
      </w:pPr>
      <w:bookmarkStart w:id="23" w:name="__RefHeading___Toc21438_693750392"/>
      <w:bookmarkEnd w:id="23"/>
      <w:r>
        <w:rPr/>
        <w:t>POC-09: Verify Combined Consumption Count</w:t>
      </w:r>
    </w:p>
    <w:tbl>
      <w:tblPr>
        <w:tblStyle w:val="TableGrid"/>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cantSplit/>
        </w:trPr>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Attribute</w:t>
            </w:r>
          </w:p>
        </w:tc>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Value</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 ID</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POC-09</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 2: Cross-Subscription Sharing (Preview Feature)</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Objective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Confirm provider-side reservation association count reflects both provider and consumer VMs.</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Gate</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1 Pilot</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Prerequisites</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POC-08 Pass</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Executed by</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Execution date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API version(s) used</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Region / SKU / Zone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4"/>
        <w:rPr/>
      </w:pPr>
      <w:r>
        <w:rPr/>
        <w:t>Test steps</w:t>
      </w:r>
    </w:p>
    <w:p>
      <w:pPr>
        <w:pStyle w:val="Normal"/>
        <w:spacing w:before="80" w:after="40"/>
        <w:rPr/>
      </w:pPr>
      <w:r>
        <w:rPr>
          <w:rFonts w:eastAsia="Calibri"/>
          <w:b/>
          <w:i w:val="false"/>
          <w:color w:val="0B3D5C"/>
          <w:sz w:val="21"/>
        </w:rPr>
        <w:t xml:space="preserve">1. </w:t>
      </w:r>
      <w:r>
        <w:rPr>
          <w:rFonts w:eastAsia="Calibri"/>
          <w:b w:val="false"/>
          <w:i w:val="false"/>
          <w:color w:val="1A1A1A"/>
          <w:sz w:val="21"/>
        </w:rPr>
        <w:t>Run:</w:t>
      </w:r>
    </w:p>
    <w:p>
      <w:pPr>
        <w:pStyle w:val="CodeBlock"/>
        <w:shd w:val="clear" w:fill="F4F6F8"/>
        <w:rPr/>
      </w:pPr>
      <w:r>
        <w:rPr>
          <w:rFonts w:cs="Consolas"/>
          <w:b w:val="false"/>
          <w:i w:val="false"/>
          <w:color w:val="1A1A1A"/>
          <w:sz w:val="17"/>
        </w:rPr>
        <w:t>az account set --subscription &lt;PROVIDER_SUB&gt;</w:t>
      </w:r>
    </w:p>
    <w:p>
      <w:pPr>
        <w:pStyle w:val="Normal"/>
        <w:spacing w:before="80" w:after="40"/>
        <w:rPr/>
      </w:pPr>
      <w:r>
        <w:rPr>
          <w:rFonts w:eastAsia="Calibri"/>
          <w:b/>
          <w:i w:val="false"/>
          <w:color w:val="0B3D5C"/>
          <w:sz w:val="21"/>
        </w:rPr>
        <w:t xml:space="preserve">2. </w:t>
      </w:r>
      <w:r>
        <w:rPr>
          <w:rFonts w:eastAsia="Calibri"/>
          <w:b w:val="false"/>
          <w:i w:val="false"/>
          <w:color w:val="1A1A1A"/>
          <w:sz w:val="21"/>
        </w:rPr>
        <w:t>Run:</w:t>
      </w:r>
    </w:p>
    <w:p>
      <w:pPr>
        <w:pStyle w:val="CodeBlock"/>
        <w:shd w:val="clear" w:fill="F4F6F8"/>
        <w:rPr/>
      </w:pPr>
      <w:r>
        <w:rPr>
          <w:rFonts w:cs="Consolas"/>
          <w:b w:val="false"/>
          <w:i w:val="false"/>
          <w:color w:val="1A1A1A"/>
          <w:sz w:val="17"/>
        </w:rPr>
        <w:t>az capacity reservation show --resource-group &lt;PROVIDER_RG&gt; --capacity-reservation-group &lt;CRG_NAME&gt; --name &lt;CR_NAME&gt; --query virtualMachinesAssociated -o json</w:t>
      </w:r>
    </w:p>
    <w:p>
      <w:pPr>
        <w:pStyle w:val="Normal"/>
        <w:spacing w:before="80" w:after="40"/>
        <w:rPr/>
      </w:pPr>
      <w:r>
        <w:rPr>
          <w:rFonts w:eastAsia="Calibri"/>
          <w:b/>
          <w:i w:val="false"/>
          <w:color w:val="0B3D5C"/>
          <w:sz w:val="21"/>
        </w:rPr>
        <w:t xml:space="preserve">3. </w:t>
      </w:r>
      <w:r>
        <w:rPr>
          <w:rFonts w:eastAsia="Calibri"/>
          <w:b w:val="false"/>
          <w:i w:val="false"/>
          <w:color w:val="1A1A1A"/>
          <w:sz w:val="21"/>
        </w:rPr>
        <w:t>Optionally re-associate a provider VM (POC-03 pattern) and re-check combined count</w:t>
      </w:r>
    </w:p>
    <w:p>
      <w:pPr>
        <w:pStyle w:val="Heading4"/>
        <w:rPr/>
      </w:pPr>
      <w:r>
        <w:rPr/>
        <w:t>Expected result</w:t>
      </w:r>
    </w:p>
    <w:p>
      <w:pPr>
        <w:pStyle w:val="Normal"/>
        <w:rPr/>
      </w:pPr>
      <w:r>
        <w:rPr>
          <w:rFonts w:eastAsia="Calibri"/>
          <w:b w:val="false"/>
          <w:i w:val="false"/>
          <w:color w:val="1A1A1A"/>
          <w:sz w:val="21"/>
        </w:rPr>
        <w:t>Count reflects all associated VMs across provider and consumer subscriptions. Record association resource IDs.</w:t>
      </w:r>
    </w:p>
    <w:p>
      <w:pPr>
        <w:pStyle w:val="Heading4"/>
        <w:rPr/>
      </w:pPr>
      <w:r>
        <w:rPr/>
        <w:t>Result capture</w:t>
      </w:r>
    </w:p>
    <w:tbl>
      <w:tblPr>
        <w:tblStyle w:val="TableGrid"/>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cantSplit/>
        </w:trPr>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Field</w:t>
            </w:r>
          </w:p>
        </w:tc>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Entry</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Actual Result</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Status</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 / [Pass] / [Fail] / [Blocked]</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Notes / Blocker</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Evidence refs (request IDs, timestamps)</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4"/>
        <w:rPr/>
      </w:pPr>
      <w:r>
        <w:rPr/>
        <w:t>Step-level observations (optional)</w:t>
      </w:r>
    </w:p>
    <w:tbl>
      <w:tblPr>
        <w:tblStyle w:val="TableGrid"/>
        <w:tblW w:w="963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213"/>
        <w:gridCol w:w="3213"/>
        <w:gridCol w:w="3213"/>
      </w:tblGrid>
      <w:tr>
        <w:trPr>
          <w:cantSplit/>
        </w:trPr>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Step #</w:t>
            </w:r>
          </w:p>
        </w:tc>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Observed output / request ID</w:t>
            </w:r>
          </w:p>
        </w:tc>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Pass?</w:t>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1</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2</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3</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3"/>
        <w:rPr/>
      </w:pPr>
      <w:bookmarkStart w:id="24" w:name="__RefHeading___Toc21440_693750392"/>
      <w:bookmarkEnd w:id="24"/>
      <w:r>
        <w:rPr/>
        <w:t>POC-10: 100-Consumer Limit Boundary Behaviour</w:t>
      </w:r>
    </w:p>
    <w:tbl>
      <w:tblPr>
        <w:tblStyle w:val="TableGrid"/>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cantSplit/>
        </w:trPr>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Attribute</w:t>
            </w:r>
          </w:p>
        </w:tc>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Value</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 ID</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POC-10</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 2: Cross-Subscription Sharing (Preview Feature)</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Objective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Observe API behaviour near the documented 100-consumer subscription limit per CRG (A-02, R-02). Isolated test environment only.</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Gate</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Production</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Prerequisites</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POC-09 Pass. WARNING: Run in isolated test environment only. Do not run against pilot customer CRGs.</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Executed by</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Execution date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API version(s) used</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Region / SKU / Zone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4"/>
        <w:rPr/>
      </w:pPr>
      <w:r>
        <w:rPr/>
        <w:t>Test steps</w:t>
      </w:r>
    </w:p>
    <w:p>
      <w:pPr>
        <w:pStyle w:val="Normal"/>
        <w:spacing w:before="80" w:after="40"/>
        <w:rPr/>
      </w:pPr>
      <w:r>
        <w:rPr>
          <w:rFonts w:eastAsia="Calibri"/>
          <w:b/>
          <w:i w:val="false"/>
          <w:color w:val="0B3D5C"/>
          <w:sz w:val="21"/>
        </w:rPr>
        <w:t xml:space="preserve">1. </w:t>
      </w:r>
      <w:r>
        <w:rPr>
          <w:rFonts w:eastAsia="Calibri"/>
          <w:b w:val="false"/>
          <w:i w:val="false"/>
          <w:color w:val="1A1A1A"/>
          <w:sz w:val="21"/>
        </w:rPr>
        <w:t>From a controlled script or sequential PATCH calls, add consumer subscription IDs to sharingProfile until the API returns an error</w:t>
      </w:r>
    </w:p>
    <w:p>
      <w:pPr>
        <w:pStyle w:val="Normal"/>
        <w:spacing w:before="80" w:after="40"/>
        <w:rPr/>
      </w:pPr>
      <w:r>
        <w:rPr>
          <w:rFonts w:eastAsia="Calibri"/>
          <w:b/>
          <w:i w:val="false"/>
          <w:color w:val="0B3D5C"/>
          <w:sz w:val="21"/>
        </w:rPr>
        <w:t xml:space="preserve">2. </w:t>
      </w:r>
      <w:r>
        <w:rPr>
          <w:rFonts w:eastAsia="Calibri"/>
          <w:b w:val="false"/>
          <w:i w:val="false"/>
          <w:color w:val="1A1A1A"/>
          <w:sz w:val="21"/>
        </w:rPr>
        <w:t>Record the exact error message, status code, and the count at which the error was triggered</w:t>
      </w:r>
    </w:p>
    <w:p>
      <w:pPr>
        <w:pStyle w:val="Normal"/>
        <w:spacing w:before="80" w:after="40"/>
        <w:rPr/>
      </w:pPr>
      <w:r>
        <w:rPr>
          <w:rFonts w:eastAsia="Calibri"/>
          <w:b/>
          <w:i w:val="false"/>
          <w:color w:val="0B3D5C"/>
          <w:sz w:val="21"/>
        </w:rPr>
        <w:t xml:space="preserve">3. </w:t>
      </w:r>
      <w:r>
        <w:rPr>
          <w:rFonts w:eastAsia="Calibri"/>
          <w:b w:val="false"/>
          <w:i w:val="false"/>
          <w:color w:val="1A1A1A"/>
          <w:sz w:val="21"/>
        </w:rPr>
        <w:t>Verify read-back of sharingProfile after the failure</w:t>
      </w:r>
    </w:p>
    <w:p>
      <w:pPr>
        <w:pStyle w:val="Normal"/>
        <w:spacing w:before="80" w:after="40"/>
        <w:rPr/>
      </w:pPr>
      <w:r>
        <w:rPr>
          <w:rFonts w:eastAsia="Calibri"/>
          <w:b/>
          <w:i w:val="false"/>
          <w:color w:val="0B3D5C"/>
          <w:sz w:val="21"/>
        </w:rPr>
        <w:t xml:space="preserve">4. </w:t>
      </w:r>
      <w:r>
        <w:rPr>
          <w:rFonts w:eastAsia="Calibri"/>
          <w:b w:val="false"/>
          <w:i w:val="false"/>
          <w:color w:val="1A1A1A"/>
          <w:sz w:val="21"/>
        </w:rPr>
        <w:t>Clean up: remove test consumer entries from sharingProfile immediately after the test</w:t>
      </w:r>
    </w:p>
    <w:p>
      <w:pPr>
        <w:pStyle w:val="Heading4"/>
        <w:rPr/>
      </w:pPr>
      <w:r>
        <w:rPr/>
        <w:t>Expected result</w:t>
      </w:r>
    </w:p>
    <w:p>
      <w:pPr>
        <w:pStyle w:val="Normal"/>
        <w:rPr/>
      </w:pPr>
      <w:r>
        <w:rPr>
          <w:rFonts w:eastAsia="Calibri"/>
          <w:b w:val="false"/>
          <w:i w:val="false"/>
          <w:color w:val="1A1A1A"/>
          <w:sz w:val="21"/>
        </w:rPr>
        <w:t>API returns an error near the 100-consumer limit. Document exact limit observed, error code, and error message. Enforce conservatively in engine design.</w:t>
      </w:r>
    </w:p>
    <w:p>
      <w:pPr>
        <w:pStyle w:val="Heading4"/>
        <w:rPr/>
      </w:pPr>
      <w:r>
        <w:rPr/>
        <w:t>Result capture</w:t>
      </w:r>
    </w:p>
    <w:tbl>
      <w:tblPr>
        <w:tblStyle w:val="TableGrid"/>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cantSplit/>
        </w:trPr>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Field</w:t>
            </w:r>
          </w:p>
        </w:tc>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Entry</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Actual Result</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Status</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 / [Pass] / [Fail] / [Blocked]</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Notes / Blocker</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Evidence refs (request IDs, timestamps)</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4"/>
        <w:rPr/>
      </w:pPr>
      <w:r>
        <w:rPr/>
        <w:t>Step-level observations (optional)</w:t>
      </w:r>
    </w:p>
    <w:tbl>
      <w:tblPr>
        <w:tblStyle w:val="TableGrid"/>
        <w:tblW w:w="963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213"/>
        <w:gridCol w:w="3213"/>
        <w:gridCol w:w="3213"/>
      </w:tblGrid>
      <w:tr>
        <w:trPr>
          <w:cantSplit/>
        </w:trPr>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Step #</w:t>
            </w:r>
          </w:p>
        </w:tc>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Observed output / request ID</w:t>
            </w:r>
          </w:p>
        </w:tc>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Pass?</w:t>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1</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2</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3</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4</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3"/>
        <w:rPr/>
      </w:pPr>
      <w:bookmarkStart w:id="25" w:name="__RefHeading___Toc21442_693750392"/>
      <w:bookmarkEnd w:id="25"/>
      <w:r>
        <w:rPr/>
        <w:t>G2 group roll-up sign-off</w:t>
      </w:r>
    </w:p>
    <w:tbl>
      <w:tblPr>
        <w:tblStyle w:val="TableGrid"/>
        <w:tblW w:w="96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409"/>
        <w:gridCol w:w="2409"/>
        <w:gridCol w:w="2409"/>
        <w:gridCol w:w="2409"/>
      </w:tblGrid>
      <w:tr>
        <w:trPr>
          <w:cantSplit/>
        </w:trPr>
        <w:tc>
          <w:tcPr>
            <w:tcW w:w="240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Check</w:t>
            </w:r>
          </w:p>
        </w:tc>
        <w:tc>
          <w:tcPr>
            <w:tcW w:w="240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Result</w:t>
            </w:r>
          </w:p>
        </w:tc>
        <w:tc>
          <w:tcPr>
            <w:tcW w:w="240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Initials</w:t>
            </w:r>
          </w:p>
        </w:tc>
        <w:tc>
          <w:tcPr>
            <w:tcW w:w="240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Date</w:t>
            </w:r>
          </w:p>
        </w:tc>
      </w:tr>
      <w:tr>
        <w:trPr>
          <w:cantSplit/>
        </w:trPr>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All POCs in group executed or formally waived</w:t>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Evidence retained (API version, region, SKU, IDs)</w:t>
            </w:r>
          </w:p>
        </w:tc>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Blockers logged in §7</w:t>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Cleanup completed or retention justified</w:t>
            </w:r>
          </w:p>
        </w:tc>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 approved to unlock dependents</w:t>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2"/>
        <w:rPr/>
      </w:pPr>
      <w:bookmarkStart w:id="26" w:name="__RefHeading___Toc21444_693750392"/>
      <w:bookmarkEnd w:id="26"/>
      <w:r>
        <w:rPr/>
        <w:t>Group 3: DR Capacity and Failover</w:t>
      </w:r>
    </w:p>
    <w:p>
      <w:pPr>
        <w:pStyle w:val="Normal"/>
        <w:rPr/>
      </w:pPr>
      <w:r>
        <w:rPr>
          <w:rFonts w:eastAsia="Calibri"/>
          <w:b w:val="false"/>
          <w:i w:val="false"/>
          <w:color w:val="1A1A1A"/>
          <w:sz w:val="21"/>
        </w:rPr>
        <w:t>Validates DR-region CRG pre-positioning, simulated failover, engine-enforced DR floor accounting, and failback. Prod, NonProd, and DR must not all share one region. DR floor is an engine control, not a native Azure sub-reservation (A-06 rejected).</w:t>
      </w:r>
    </w:p>
    <w:p>
      <w:pPr>
        <w:pStyle w:val="Normal"/>
        <w:rPr/>
      </w:pPr>
      <w:r>
        <w:rPr>
          <w:rFonts w:eastAsia="Calibri"/>
          <w:b w:val="false"/>
          <w:i/>
          <w:color w:val="555555"/>
          <w:sz w:val="20"/>
        </w:rPr>
        <w:t>Group contains 4 POC entries. Complete result capture for every entry before signing the group roll-up below.</w:t>
      </w:r>
    </w:p>
    <w:p>
      <w:pPr>
        <w:pStyle w:val="Heading3"/>
        <w:rPr/>
      </w:pPr>
      <w:bookmarkStart w:id="27" w:name="__RefHeading___Toc21446_693750392"/>
      <w:bookmarkEnd w:id="27"/>
      <w:r>
        <w:rPr/>
        <w:t>POC-11: Create DR Region CRG and Reservation</w:t>
      </w:r>
    </w:p>
    <w:tbl>
      <w:tblPr>
        <w:tblStyle w:val="TableGrid"/>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cantSplit/>
        </w:trPr>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Attribute</w:t>
            </w:r>
          </w:p>
        </w:tc>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Value</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 ID</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POC-11</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 3: DR Capacity and Failover</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Objective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Create CRG and Capacity Reservation in the DR region, confirming location isolation from Primary and NonProd.</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Gate</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1 Pilot</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Prerequisites</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Pre-flight PF-09 and PF-10 Pass; POC-02 pattern understood</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Executed by</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Execution date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API version(s) used</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Region / SKU / Zone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4"/>
        <w:rPr/>
      </w:pPr>
      <w:r>
        <w:rPr/>
        <w:t>Test steps</w:t>
      </w:r>
    </w:p>
    <w:p>
      <w:pPr>
        <w:pStyle w:val="Normal"/>
        <w:spacing w:before="80" w:after="40"/>
        <w:rPr/>
      </w:pPr>
      <w:r>
        <w:rPr>
          <w:rFonts w:eastAsia="Calibri"/>
          <w:b/>
          <w:i w:val="false"/>
          <w:color w:val="0B3D5C"/>
          <w:sz w:val="21"/>
        </w:rPr>
        <w:t xml:space="preserve">1. </w:t>
      </w:r>
      <w:r>
        <w:rPr>
          <w:rFonts w:eastAsia="Calibri"/>
          <w:b w:val="false"/>
          <w:i w:val="false"/>
          <w:color w:val="1A1A1A"/>
          <w:sz w:val="21"/>
        </w:rPr>
        <w:t>Run:</w:t>
      </w:r>
    </w:p>
    <w:p>
      <w:pPr>
        <w:pStyle w:val="CodeBlock"/>
        <w:shd w:val="clear" w:fill="F4F6F8"/>
        <w:rPr/>
      </w:pPr>
      <w:r>
        <w:rPr>
          <w:rFonts w:cs="Consolas"/>
          <w:b w:val="false"/>
          <w:i w:val="false"/>
          <w:color w:val="1A1A1A"/>
          <w:sz w:val="17"/>
        </w:rPr>
        <w:t>az account set --subscription &lt;PROVIDER_SUB&gt;</w:t>
      </w:r>
    </w:p>
    <w:p>
      <w:pPr>
        <w:pStyle w:val="Normal"/>
        <w:spacing w:before="80" w:after="40"/>
        <w:rPr/>
      </w:pPr>
      <w:r>
        <w:rPr>
          <w:rFonts w:eastAsia="Calibri"/>
          <w:b/>
          <w:i w:val="false"/>
          <w:color w:val="0B3D5C"/>
          <w:sz w:val="21"/>
        </w:rPr>
        <w:t xml:space="preserve">2. </w:t>
      </w:r>
      <w:r>
        <w:rPr>
          <w:rFonts w:eastAsia="Calibri"/>
          <w:b w:val="false"/>
          <w:i w:val="false"/>
          <w:color w:val="1A1A1A"/>
          <w:sz w:val="21"/>
        </w:rPr>
        <w:t>Create DR CRG:</w:t>
      </w:r>
    </w:p>
    <w:p>
      <w:pPr>
        <w:pStyle w:val="CodeBlock"/>
        <w:shd w:val="clear" w:fill="F4F6F8"/>
        <w:rPr/>
      </w:pPr>
      <w:r>
        <w:rPr>
          <w:rFonts w:cs="Consolas"/>
          <w:b w:val="false"/>
          <w:i w:val="false"/>
          <w:color w:val="1A1A1A"/>
          <w:sz w:val="17"/>
        </w:rPr>
        <w:t>az capacity reservation group create --resource-group &lt;PROVIDER_RG&gt; --name &lt;DR_CRG_NAME&gt; --location &lt;DR_REGION&gt; --zones 1 2 3</w:t>
      </w:r>
    </w:p>
    <w:p>
      <w:pPr>
        <w:pStyle w:val="Normal"/>
        <w:spacing w:before="80" w:after="40"/>
        <w:rPr/>
      </w:pPr>
      <w:r>
        <w:rPr>
          <w:rFonts w:eastAsia="Calibri"/>
          <w:b/>
          <w:i w:val="false"/>
          <w:color w:val="0B3D5C"/>
          <w:sz w:val="21"/>
        </w:rPr>
        <w:t xml:space="preserve">3. </w:t>
      </w:r>
      <w:r>
        <w:rPr>
          <w:rFonts w:eastAsia="Calibri"/>
          <w:b w:val="false"/>
          <w:i w:val="false"/>
          <w:color w:val="1A1A1A"/>
          <w:sz w:val="21"/>
        </w:rPr>
        <w:t>Create DR reservation:</w:t>
      </w:r>
    </w:p>
    <w:p>
      <w:pPr>
        <w:pStyle w:val="CodeBlock"/>
        <w:shd w:val="clear" w:fill="F4F6F8"/>
        <w:rPr/>
      </w:pPr>
      <w:r>
        <w:rPr>
          <w:rFonts w:cs="Consolas"/>
          <w:b w:val="false"/>
          <w:i w:val="false"/>
          <w:color w:val="1A1A1A"/>
          <w:sz w:val="17"/>
        </w:rPr>
        <w:t>az capacity reservation create --resource-group &lt;PROVIDER_RG&gt; --capacity-reservation-group &lt;DR_CRG_NAME&gt; --name &lt;DR_CR_NAME&gt; --sku &lt;VM_SKU&gt; --capacity &lt;DR_QUANTITY&gt; --location &lt;DR_REGION&gt;</w:t>
      </w:r>
    </w:p>
    <w:p>
      <w:pPr>
        <w:pStyle w:val="Normal"/>
        <w:spacing w:before="80" w:after="40"/>
        <w:rPr/>
      </w:pPr>
      <w:r>
        <w:rPr>
          <w:rFonts w:eastAsia="Calibri"/>
          <w:b/>
          <w:i w:val="false"/>
          <w:color w:val="0B3D5C"/>
          <w:sz w:val="21"/>
        </w:rPr>
        <w:t xml:space="preserve">4. </w:t>
      </w:r>
      <w:r>
        <w:rPr>
          <w:rFonts w:eastAsia="Calibri"/>
          <w:b w:val="false"/>
          <w:i w:val="false"/>
          <w:color w:val="1A1A1A"/>
          <w:sz w:val="21"/>
        </w:rPr>
        <w:t>Verify locations:</w:t>
      </w:r>
    </w:p>
    <w:p>
      <w:pPr>
        <w:pStyle w:val="CodeBlock"/>
        <w:shd w:val="clear" w:fill="F4F6F8"/>
        <w:rPr/>
      </w:pPr>
      <w:r>
        <w:rPr>
          <w:rFonts w:cs="Consolas"/>
          <w:b w:val="false"/>
          <w:i w:val="false"/>
          <w:color w:val="1A1A1A"/>
          <w:sz w:val="17"/>
        </w:rPr>
        <w:t>az capacity reservation group show --resource-group &lt;PROVIDER_RG&gt; --name &lt;DR_CRG_NAME&gt; --query location -o tsv</w:t>
      </w:r>
    </w:p>
    <w:p>
      <w:pPr>
        <w:pStyle w:val="Heading4"/>
        <w:rPr/>
      </w:pPr>
      <w:r>
        <w:rPr/>
        <w:t>Expected result</w:t>
      </w:r>
    </w:p>
    <w:p>
      <w:pPr>
        <w:pStyle w:val="Normal"/>
        <w:rPr/>
      </w:pPr>
      <w:r>
        <w:rPr>
          <w:rFonts w:eastAsia="Calibri"/>
          <w:b w:val="false"/>
          <w:i w:val="false"/>
          <w:color w:val="1A1A1A"/>
          <w:sz w:val="21"/>
        </w:rPr>
        <w:t>CRG and reservation created in DR_REGION; location in response confirms DR region, not Primary or NonProd.</w:t>
      </w:r>
    </w:p>
    <w:p>
      <w:pPr>
        <w:pStyle w:val="Heading4"/>
        <w:rPr/>
      </w:pPr>
      <w:r>
        <w:rPr/>
        <w:t>Result capture</w:t>
      </w:r>
    </w:p>
    <w:tbl>
      <w:tblPr>
        <w:tblStyle w:val="TableGrid"/>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cantSplit/>
        </w:trPr>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Field</w:t>
            </w:r>
          </w:p>
        </w:tc>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Entry</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Actual Result</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Status</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 / [Pass] / [Fail] / [Blocked]</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Notes / Blocker</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Evidence refs (request IDs, timestamps)</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4"/>
        <w:rPr/>
      </w:pPr>
      <w:r>
        <w:rPr/>
        <w:t>Step-level observations (optional)</w:t>
      </w:r>
    </w:p>
    <w:tbl>
      <w:tblPr>
        <w:tblStyle w:val="TableGrid"/>
        <w:tblW w:w="963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213"/>
        <w:gridCol w:w="3213"/>
        <w:gridCol w:w="3213"/>
      </w:tblGrid>
      <w:tr>
        <w:trPr>
          <w:cantSplit/>
        </w:trPr>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Step #</w:t>
            </w:r>
          </w:p>
        </w:tc>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Observed output / request ID</w:t>
            </w:r>
          </w:p>
        </w:tc>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Pass?</w:t>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1</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2</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3</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4</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3"/>
        <w:rPr/>
      </w:pPr>
      <w:bookmarkStart w:id="28" w:name="__RefHeading___Toc21448_693750392"/>
      <w:bookmarkEnd w:id="28"/>
      <w:r>
        <w:rPr/>
        <w:t>POC-12: Simulate DR Failover</w:t>
      </w:r>
    </w:p>
    <w:tbl>
      <w:tblPr>
        <w:tblStyle w:val="TableGrid"/>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cantSplit/>
        </w:trPr>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Attribute</w:t>
            </w:r>
          </w:p>
        </w:tc>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Value</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 ID</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POC-12</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 3: DR Capacity and Failover</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Objective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Simulate failover by deallocating primary workload capacity path and deploying a DR VM against the DR CRG. Record elapsed times.</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Gate</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2 Controlled Automation</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Prerequisites</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POC-11 Pass; sharing to DR consumer configured if cross-sub</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Executed by</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Execution date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API version(s) used</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Region / SKU / Zone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4"/>
        <w:rPr/>
      </w:pPr>
      <w:r>
        <w:rPr/>
        <w:t>Test steps</w:t>
      </w:r>
    </w:p>
    <w:p>
      <w:pPr>
        <w:pStyle w:val="Normal"/>
        <w:spacing w:before="80" w:after="40"/>
        <w:rPr/>
      </w:pPr>
      <w:r>
        <w:rPr>
          <w:rFonts w:eastAsia="Calibri"/>
          <w:b/>
          <w:i w:val="false"/>
          <w:color w:val="0B3D5C"/>
          <w:sz w:val="21"/>
        </w:rPr>
        <w:t xml:space="preserve">1. </w:t>
      </w:r>
      <w:r>
        <w:rPr>
          <w:rFonts w:eastAsia="Calibri"/>
          <w:b w:val="false"/>
          <w:i w:val="false"/>
          <w:color w:val="1A1A1A"/>
          <w:sz w:val="21"/>
        </w:rPr>
        <w:t>Record T0 wall-clock time</w:t>
      </w:r>
    </w:p>
    <w:p>
      <w:pPr>
        <w:pStyle w:val="Normal"/>
        <w:spacing w:before="80" w:after="40"/>
        <w:rPr/>
      </w:pPr>
      <w:r>
        <w:rPr>
          <w:rFonts w:eastAsia="Calibri"/>
          <w:b/>
          <w:i w:val="false"/>
          <w:color w:val="0B3D5C"/>
          <w:sz w:val="21"/>
        </w:rPr>
        <w:t xml:space="preserve">2. </w:t>
      </w:r>
      <w:r>
        <w:rPr>
          <w:rFonts w:eastAsia="Calibri"/>
          <w:b w:val="false"/>
          <w:i w:val="false"/>
          <w:color w:val="1A1A1A"/>
          <w:sz w:val="21"/>
        </w:rPr>
        <w:t>Deallocate primary VM (if testing release path):</w:t>
      </w:r>
    </w:p>
    <w:p>
      <w:pPr>
        <w:pStyle w:val="CodeBlock"/>
        <w:shd w:val="clear" w:fill="F4F6F8"/>
        <w:rPr/>
      </w:pPr>
      <w:r>
        <w:rPr>
          <w:rFonts w:cs="Consolas"/>
          <w:b w:val="false"/>
          <w:i w:val="false"/>
          <w:color w:val="1A1A1A"/>
          <w:sz w:val="17"/>
        </w:rPr>
        <w:t>az vm deallocate --resource-group &lt;PROVIDER_RG&gt; --name &lt;VM_NAME&gt;</w:t>
      </w:r>
    </w:p>
    <w:p>
      <w:pPr>
        <w:pStyle w:val="Normal"/>
        <w:spacing w:before="80" w:after="40"/>
        <w:rPr/>
      </w:pPr>
      <w:r>
        <w:rPr>
          <w:rFonts w:eastAsia="Calibri"/>
          <w:b/>
          <w:i w:val="false"/>
          <w:color w:val="0B3D5C"/>
          <w:sz w:val="21"/>
        </w:rPr>
        <w:t xml:space="preserve">3. </w:t>
      </w:r>
      <w:r>
        <w:rPr>
          <w:rFonts w:eastAsia="Calibri"/>
          <w:b w:val="false"/>
          <w:i w:val="false"/>
          <w:color w:val="1A1A1A"/>
          <w:sz w:val="21"/>
        </w:rPr>
        <w:t>Record deallocate completion time T1</w:t>
      </w:r>
    </w:p>
    <w:p>
      <w:pPr>
        <w:pStyle w:val="Normal"/>
        <w:spacing w:before="80" w:after="40"/>
        <w:rPr/>
      </w:pPr>
      <w:r>
        <w:rPr>
          <w:rFonts w:eastAsia="Calibri"/>
          <w:b/>
          <w:i w:val="false"/>
          <w:color w:val="0B3D5C"/>
          <w:sz w:val="21"/>
        </w:rPr>
        <w:t xml:space="preserve">4. </w:t>
      </w:r>
      <w:r>
        <w:rPr>
          <w:rFonts w:eastAsia="Calibri"/>
          <w:b w:val="false"/>
          <w:i w:val="false"/>
          <w:color w:val="1A1A1A"/>
          <w:sz w:val="21"/>
        </w:rPr>
        <w:t>Create DR VM against DR CRG:</w:t>
      </w:r>
    </w:p>
    <w:p>
      <w:pPr>
        <w:pStyle w:val="CodeBlock"/>
        <w:shd w:val="clear" w:fill="F4F6F8"/>
        <w:rPr/>
      </w:pPr>
      <w:r>
        <w:rPr>
          <w:rFonts w:cs="Consolas"/>
          <w:b w:val="false"/>
          <w:i w:val="false"/>
          <w:color w:val="1A1A1A"/>
          <w:sz w:val="17"/>
        </w:rPr>
        <w:t>az vm create --resource-group &lt;DR_RG_OR_PROVIDER_RG&gt; --name &lt;DR_VM_NAME&gt; --image Ubuntu2204 --size &lt;VM_SKU&gt; --capacity-reservation-group /subscriptions/&lt;PROVIDER_SUB&gt;/resourceGroups/&lt;PROVIDER_RG&gt;/providers/Microsoft.Compute/capacityReservationGroups/&lt;DR_CRG_NAME&gt; --generate-ssh-keys --location &lt;DR_REGION&gt;</w:t>
      </w:r>
    </w:p>
    <w:p>
      <w:pPr>
        <w:pStyle w:val="Normal"/>
        <w:spacing w:before="80" w:after="40"/>
        <w:rPr/>
      </w:pPr>
      <w:r>
        <w:rPr>
          <w:rFonts w:eastAsia="Calibri"/>
          <w:b/>
          <w:i w:val="false"/>
          <w:color w:val="0B3D5C"/>
          <w:sz w:val="21"/>
        </w:rPr>
        <w:t xml:space="preserve">5. </w:t>
      </w:r>
      <w:r>
        <w:rPr>
          <w:rFonts w:eastAsia="Calibri"/>
          <w:b w:val="false"/>
          <w:i w:val="false"/>
          <w:color w:val="1A1A1A"/>
          <w:sz w:val="21"/>
        </w:rPr>
        <w:t>Record time to Running state T2</w:t>
      </w:r>
    </w:p>
    <w:p>
      <w:pPr>
        <w:pStyle w:val="Normal"/>
        <w:spacing w:before="80" w:after="40"/>
        <w:rPr/>
      </w:pPr>
      <w:r>
        <w:rPr>
          <w:rFonts w:eastAsia="Calibri"/>
          <w:b/>
          <w:i w:val="false"/>
          <w:color w:val="0B3D5C"/>
          <w:sz w:val="21"/>
        </w:rPr>
        <w:t xml:space="preserve">6. </w:t>
      </w:r>
      <w:r>
        <w:rPr>
          <w:rFonts w:eastAsia="Calibri"/>
          <w:b w:val="false"/>
          <w:i w:val="false"/>
          <w:color w:val="1A1A1A"/>
          <w:sz w:val="21"/>
        </w:rPr>
        <w:t>Verify DR association and reservation consumption</w:t>
      </w:r>
    </w:p>
    <w:p>
      <w:pPr>
        <w:pStyle w:val="Heading4"/>
        <w:rPr/>
      </w:pPr>
      <w:r>
        <w:rPr/>
        <w:t>Expected result</w:t>
      </w:r>
    </w:p>
    <w:p>
      <w:pPr>
        <w:pStyle w:val="Normal"/>
        <w:rPr/>
      </w:pPr>
      <w:r>
        <w:rPr>
          <w:rFonts w:eastAsia="Calibri"/>
          <w:b w:val="false"/>
          <w:i w:val="false"/>
          <w:color w:val="1A1A1A"/>
          <w:sz w:val="21"/>
        </w:rPr>
        <w:t>DR VM reaches Running; capacity consumed from DR reservation. Record total elapsed time (T2-T0) and component times. This is not an application RTO proof.</w:t>
      </w:r>
    </w:p>
    <w:p>
      <w:pPr>
        <w:pStyle w:val="Heading4"/>
        <w:rPr/>
      </w:pPr>
      <w:r>
        <w:rPr/>
        <w:t>Result capture</w:t>
      </w:r>
    </w:p>
    <w:tbl>
      <w:tblPr>
        <w:tblStyle w:val="TableGrid"/>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cantSplit/>
        </w:trPr>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Field</w:t>
            </w:r>
          </w:p>
        </w:tc>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Entry</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Actual Result</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Status</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 / [Pass] / [Fail] / [Blocked]</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Notes / Blocker</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Evidence refs (request IDs, timestamps)</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4"/>
        <w:rPr/>
      </w:pPr>
      <w:r>
        <w:rPr/>
        <w:t>Step-level observations (optional)</w:t>
      </w:r>
    </w:p>
    <w:tbl>
      <w:tblPr>
        <w:tblStyle w:val="TableGrid"/>
        <w:tblW w:w="963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213"/>
        <w:gridCol w:w="3213"/>
        <w:gridCol w:w="3213"/>
      </w:tblGrid>
      <w:tr>
        <w:trPr>
          <w:cantSplit/>
        </w:trPr>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Step #</w:t>
            </w:r>
          </w:p>
        </w:tc>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Observed output / request ID</w:t>
            </w:r>
          </w:p>
        </w:tc>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Pass?</w:t>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1</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2</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3</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4</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5</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6</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3"/>
        <w:rPr/>
      </w:pPr>
      <w:bookmarkStart w:id="29" w:name="__RefHeading___Toc21450_693750392"/>
      <w:bookmarkEnd w:id="29"/>
      <w:r>
        <w:rPr/>
        <w:t>POC-13: DR Floor Protection Verification</w:t>
      </w:r>
    </w:p>
    <w:tbl>
      <w:tblPr>
        <w:tblStyle w:val="TableGrid"/>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cantSplit/>
        </w:trPr>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Attribute</w:t>
            </w:r>
          </w:p>
        </w:tc>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Value</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 ID</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POC-13</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 3: DR Capacity and Failover</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Objective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Calculate and verify the engine DR floor accounting: NonProd must not consume below the protected DR floor within the shared NonProd+DR quota group model.</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Gate</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1 Pilot</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Prerequisites</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POC-11 Pass; potential_dr_demand and DR_RATIO_MAX known for the scenario</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Executed by</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Execution date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API version(s) used</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Region / SKU / Zone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4"/>
        <w:rPr/>
      </w:pPr>
      <w:r>
        <w:rPr/>
        <w:t>Test steps</w:t>
      </w:r>
    </w:p>
    <w:p>
      <w:pPr>
        <w:pStyle w:val="Normal"/>
        <w:spacing w:before="80" w:after="40"/>
        <w:rPr/>
      </w:pPr>
      <w:r>
        <w:rPr>
          <w:rFonts w:eastAsia="Calibri"/>
          <w:b/>
          <w:i w:val="false"/>
          <w:color w:val="0B3D5C"/>
          <w:sz w:val="21"/>
        </w:rPr>
        <w:t xml:space="preserve">1. </w:t>
      </w:r>
      <w:r>
        <w:rPr>
          <w:rFonts w:eastAsia="Calibri"/>
          <w:b w:val="false"/>
          <w:i w:val="false"/>
          <w:color w:val="1A1A1A"/>
          <w:sz w:val="21"/>
        </w:rPr>
        <w:t>Record DR reserved quantity:</w:t>
      </w:r>
    </w:p>
    <w:p>
      <w:pPr>
        <w:pStyle w:val="CodeBlock"/>
        <w:shd w:val="clear" w:fill="F4F6F8"/>
        <w:rPr/>
      </w:pPr>
      <w:r>
        <w:rPr>
          <w:rFonts w:cs="Consolas"/>
          <w:b w:val="false"/>
          <w:i w:val="false"/>
          <w:color w:val="1A1A1A"/>
          <w:sz w:val="17"/>
        </w:rPr>
        <w:t>az capacity reservation show --resource-group &lt;PROVIDER_RG&gt; --capacity-reservation-group &lt;DR_CRG_NAME&gt; --name &lt;DR_CR_NAME&gt; --query sku.capacity -o tsv</w:t>
      </w:r>
    </w:p>
    <w:p>
      <w:pPr>
        <w:pStyle w:val="Normal"/>
        <w:spacing w:before="80" w:after="40"/>
        <w:rPr/>
      </w:pPr>
      <w:r>
        <w:rPr>
          <w:rFonts w:eastAsia="Calibri"/>
          <w:b/>
          <w:i w:val="false"/>
          <w:color w:val="0B3D5C"/>
          <w:sz w:val="21"/>
        </w:rPr>
        <w:t xml:space="preserve">2. </w:t>
      </w:r>
      <w:r>
        <w:rPr>
          <w:rFonts w:eastAsia="Calibri"/>
          <w:b w:val="false"/>
          <w:i w:val="false"/>
          <w:color w:val="1A1A1A"/>
          <w:sz w:val="21"/>
        </w:rPr>
        <w:t>Calculate DR_Floor_vCPU = Potential_DR_Demand × vCPU_Per_Instance × DR_Ratio_Max (default DR_Ratio_Max = 0.40)</w:t>
      </w:r>
    </w:p>
    <w:p>
      <w:pPr>
        <w:pStyle w:val="Normal"/>
        <w:spacing w:before="80" w:after="40"/>
        <w:rPr/>
      </w:pPr>
      <w:r>
        <w:rPr>
          <w:rFonts w:eastAsia="Calibri"/>
          <w:b/>
          <w:i w:val="false"/>
          <w:color w:val="0B3D5C"/>
          <w:sz w:val="21"/>
        </w:rPr>
        <w:t xml:space="preserve">3. </w:t>
      </w:r>
      <w:r>
        <w:rPr>
          <w:rFonts w:eastAsia="Calibri"/>
          <w:b w:val="false"/>
          <w:i w:val="false"/>
          <w:color w:val="1A1A1A"/>
          <w:sz w:val="21"/>
        </w:rPr>
        <w:t>Calculate Effective_NonProd_Ceiling = NonProd_DR_Group_Limit - DR_Floor_vCPU</w:t>
      </w:r>
    </w:p>
    <w:p>
      <w:pPr>
        <w:pStyle w:val="Normal"/>
        <w:spacing w:before="80" w:after="40"/>
        <w:rPr/>
      </w:pPr>
      <w:r>
        <w:rPr>
          <w:rFonts w:eastAsia="Calibri"/>
          <w:b/>
          <w:i w:val="false"/>
          <w:color w:val="0B3D5C"/>
          <w:sz w:val="21"/>
        </w:rPr>
        <w:t xml:space="preserve">4. </w:t>
      </w:r>
      <w:r>
        <w:rPr>
          <w:rFonts w:eastAsia="Calibri"/>
          <w:b w:val="false"/>
          <w:i w:val="false"/>
          <w:color w:val="1A1A1A"/>
          <w:sz w:val="21"/>
        </w:rPr>
        <w:t>Record current NonProd used vCPU and confirm NonProd_Used + DR_Floor &lt;= Group_Limit</w:t>
      </w:r>
    </w:p>
    <w:p>
      <w:pPr>
        <w:pStyle w:val="Normal"/>
        <w:spacing w:before="80" w:after="40"/>
        <w:rPr/>
      </w:pPr>
      <w:r>
        <w:rPr>
          <w:rFonts w:eastAsia="Calibri"/>
          <w:b/>
          <w:i w:val="false"/>
          <w:color w:val="0B3D5C"/>
          <w:sz w:val="21"/>
        </w:rPr>
        <w:t xml:space="preserve">5. </w:t>
      </w:r>
      <w:r>
        <w:rPr>
          <w:rFonts w:eastAsia="Calibri"/>
          <w:b w:val="false"/>
          <w:i w:val="false"/>
          <w:color w:val="1A1A1A"/>
          <w:sz w:val="21"/>
        </w:rPr>
        <w:t>Document that Azure does not natively enforce this floor — engine detector must protect it (A-06)</w:t>
      </w:r>
    </w:p>
    <w:p>
      <w:pPr>
        <w:pStyle w:val="Heading4"/>
        <w:rPr/>
      </w:pPr>
      <w:r>
        <w:rPr/>
        <w:t>Expected result</w:t>
      </w:r>
    </w:p>
    <w:p>
      <w:pPr>
        <w:pStyle w:val="Normal"/>
        <w:rPr/>
      </w:pPr>
      <w:r>
        <w:rPr>
          <w:rFonts w:eastAsia="Calibri"/>
          <w:b w:val="false"/>
          <w:i w:val="false"/>
          <w:color w:val="1A1A1A"/>
          <w:sz w:val="21"/>
        </w:rPr>
        <w:t>DR floor calculated and recorded; NonProd allocation respects floor in the test scenario; confirmation that floor is engine-enforced only.</w:t>
      </w:r>
    </w:p>
    <w:p>
      <w:pPr>
        <w:pStyle w:val="Heading4"/>
        <w:rPr/>
      </w:pPr>
      <w:r>
        <w:rPr/>
        <w:t>Result capture</w:t>
      </w:r>
    </w:p>
    <w:tbl>
      <w:tblPr>
        <w:tblStyle w:val="TableGrid"/>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cantSplit/>
        </w:trPr>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Field</w:t>
            </w:r>
          </w:p>
        </w:tc>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Entry</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Actual Result</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Status</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 / [Pass] / [Fail] / [Blocked]</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Notes / Blocker</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Evidence refs (request IDs, timestamps)</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4"/>
        <w:rPr/>
      </w:pPr>
      <w:r>
        <w:rPr/>
        <w:t>Step-level observations (optional)</w:t>
      </w:r>
    </w:p>
    <w:tbl>
      <w:tblPr>
        <w:tblStyle w:val="TableGrid"/>
        <w:tblW w:w="963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213"/>
        <w:gridCol w:w="3213"/>
        <w:gridCol w:w="3213"/>
      </w:tblGrid>
      <w:tr>
        <w:trPr>
          <w:cantSplit/>
        </w:trPr>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Step #</w:t>
            </w:r>
          </w:p>
        </w:tc>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Observed output / request ID</w:t>
            </w:r>
          </w:p>
        </w:tc>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Pass?</w:t>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1</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2</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3</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4</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5</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3"/>
        <w:rPr/>
      </w:pPr>
      <w:bookmarkStart w:id="30" w:name="__RefHeading___Toc21452_693750392"/>
      <w:bookmarkEnd w:id="30"/>
      <w:r>
        <w:rPr/>
        <w:t>POC-14: Failback — Restore Primary, Release DR</w:t>
      </w:r>
    </w:p>
    <w:tbl>
      <w:tblPr>
        <w:tblStyle w:val="TableGrid"/>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cantSplit/>
        </w:trPr>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Attribute</w:t>
            </w:r>
          </w:p>
        </w:tc>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Value</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 ID</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POC-14</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 3: DR Capacity and Failover</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Objective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Reverse failover: restore primary path, disassociate or deallocate DR VM, and confirm DR capacity returns to available pool.</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Gate</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2 Controlled Automation</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Prerequisites</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POC-12 Pass</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Executed by</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Execution date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API version(s) used</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Region / SKU / Zone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4"/>
        <w:rPr/>
      </w:pPr>
      <w:r>
        <w:rPr/>
        <w:t>Test steps</w:t>
      </w:r>
    </w:p>
    <w:p>
      <w:pPr>
        <w:pStyle w:val="Normal"/>
        <w:spacing w:before="80" w:after="40"/>
        <w:rPr/>
      </w:pPr>
      <w:r>
        <w:rPr>
          <w:rFonts w:eastAsia="Calibri"/>
          <w:b/>
          <w:i w:val="false"/>
          <w:color w:val="0B3D5C"/>
          <w:sz w:val="21"/>
        </w:rPr>
        <w:t xml:space="preserve">1. </w:t>
      </w:r>
      <w:r>
        <w:rPr>
          <w:rFonts w:eastAsia="Calibri"/>
          <w:b w:val="false"/>
          <w:i w:val="false"/>
          <w:color w:val="1A1A1A"/>
          <w:sz w:val="21"/>
        </w:rPr>
        <w:t>Start or recreate primary VM path and confirm healthy</w:t>
      </w:r>
    </w:p>
    <w:p>
      <w:pPr>
        <w:pStyle w:val="Normal"/>
        <w:spacing w:before="80" w:after="40"/>
        <w:rPr/>
      </w:pPr>
      <w:r>
        <w:rPr>
          <w:rFonts w:eastAsia="Calibri"/>
          <w:b/>
          <w:i w:val="false"/>
          <w:color w:val="0B3D5C"/>
          <w:sz w:val="21"/>
        </w:rPr>
        <w:t xml:space="preserve">2. </w:t>
      </w:r>
      <w:r>
        <w:rPr>
          <w:rFonts w:eastAsia="Calibri"/>
          <w:b w:val="false"/>
          <w:i w:val="false"/>
          <w:color w:val="1A1A1A"/>
          <w:sz w:val="21"/>
        </w:rPr>
        <w:t>Deallocate DR VM:</w:t>
      </w:r>
    </w:p>
    <w:p>
      <w:pPr>
        <w:pStyle w:val="CodeBlock"/>
        <w:shd w:val="clear" w:fill="F4F6F8"/>
        <w:rPr/>
      </w:pPr>
      <w:r>
        <w:rPr>
          <w:rFonts w:cs="Consolas"/>
          <w:b w:val="false"/>
          <w:i w:val="false"/>
          <w:color w:val="1A1A1A"/>
          <w:sz w:val="17"/>
        </w:rPr>
        <w:t>az vm deallocate --resource-group &lt;DR_RG_OR_PROVIDER_RG&gt; --name &lt;DR_VM_NAME&gt;</w:t>
      </w:r>
    </w:p>
    <w:p>
      <w:pPr>
        <w:pStyle w:val="Normal"/>
        <w:spacing w:before="80" w:after="40"/>
        <w:rPr/>
      </w:pPr>
      <w:r>
        <w:rPr>
          <w:rFonts w:eastAsia="Calibri"/>
          <w:b/>
          <w:i w:val="false"/>
          <w:color w:val="0B3D5C"/>
          <w:sz w:val="21"/>
        </w:rPr>
        <w:t xml:space="preserve">3. </w:t>
      </w:r>
      <w:r>
        <w:rPr>
          <w:rFonts w:eastAsia="Calibri"/>
          <w:b w:val="false"/>
          <w:i w:val="false"/>
          <w:color w:val="1A1A1A"/>
          <w:sz w:val="21"/>
        </w:rPr>
        <w:t>Disassociate DR VM from DR CRG if required</w:t>
      </w:r>
    </w:p>
    <w:p>
      <w:pPr>
        <w:pStyle w:val="Normal"/>
        <w:spacing w:before="80" w:after="40"/>
        <w:rPr/>
      </w:pPr>
      <w:r>
        <w:rPr>
          <w:rFonts w:eastAsia="Calibri"/>
          <w:b/>
          <w:i w:val="false"/>
          <w:color w:val="0B3D5C"/>
          <w:sz w:val="21"/>
        </w:rPr>
        <w:t xml:space="preserve">4. </w:t>
      </w:r>
      <w:r>
        <w:rPr>
          <w:rFonts w:eastAsia="Calibri"/>
          <w:b w:val="false"/>
          <w:i w:val="false"/>
          <w:color w:val="1A1A1A"/>
          <w:sz w:val="21"/>
        </w:rPr>
        <w:t>Verify DR reservation associations and available capacity</w:t>
      </w:r>
    </w:p>
    <w:p>
      <w:pPr>
        <w:pStyle w:val="Normal"/>
        <w:spacing w:before="80" w:after="40"/>
        <w:rPr/>
      </w:pPr>
      <w:r>
        <w:rPr>
          <w:rFonts w:eastAsia="Calibri"/>
          <w:b/>
          <w:i w:val="false"/>
          <w:color w:val="0B3D5C"/>
          <w:sz w:val="21"/>
        </w:rPr>
        <w:t xml:space="preserve">5. </w:t>
      </w:r>
      <w:r>
        <w:rPr>
          <w:rFonts w:eastAsia="Calibri"/>
          <w:b w:val="false"/>
          <w:i w:val="false"/>
          <w:color w:val="1A1A1A"/>
          <w:sz w:val="21"/>
        </w:rPr>
        <w:t>Record time for DR capacity to return to available pool and final state of primary and DR reservations</w:t>
      </w:r>
    </w:p>
    <w:p>
      <w:pPr>
        <w:pStyle w:val="Heading4"/>
        <w:rPr/>
      </w:pPr>
      <w:r>
        <w:rPr/>
        <w:t>Expected result</w:t>
      </w:r>
    </w:p>
    <w:p>
      <w:pPr>
        <w:pStyle w:val="Normal"/>
        <w:rPr/>
      </w:pPr>
      <w:r>
        <w:rPr>
          <w:rFonts w:eastAsia="Calibri"/>
          <w:b w:val="false"/>
          <w:i w:val="false"/>
          <w:color w:val="1A1A1A"/>
          <w:sz w:val="21"/>
        </w:rPr>
        <w:t>Primary path restored; DR capacity available again; both reservation states recorded. Failback must not destroy the only healthy instance before primary validation (Runbook E).</w:t>
      </w:r>
    </w:p>
    <w:p>
      <w:pPr>
        <w:pStyle w:val="Heading4"/>
        <w:rPr/>
      </w:pPr>
      <w:r>
        <w:rPr/>
        <w:t>Result capture</w:t>
      </w:r>
    </w:p>
    <w:tbl>
      <w:tblPr>
        <w:tblStyle w:val="TableGrid"/>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cantSplit/>
        </w:trPr>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Field</w:t>
            </w:r>
          </w:p>
        </w:tc>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Entry</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Actual Result</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Status</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 / [Pass] / [Fail] / [Blocked]</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Notes / Blocker</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Evidence refs (request IDs, timestamps)</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4"/>
        <w:rPr/>
      </w:pPr>
      <w:r>
        <w:rPr/>
        <w:t>Step-level observations (optional)</w:t>
      </w:r>
    </w:p>
    <w:tbl>
      <w:tblPr>
        <w:tblStyle w:val="TableGrid"/>
        <w:tblW w:w="963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213"/>
        <w:gridCol w:w="3213"/>
        <w:gridCol w:w="3213"/>
      </w:tblGrid>
      <w:tr>
        <w:trPr>
          <w:cantSplit/>
        </w:trPr>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Step #</w:t>
            </w:r>
          </w:p>
        </w:tc>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Observed output / request ID</w:t>
            </w:r>
          </w:p>
        </w:tc>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Pass?</w:t>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1</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2</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3</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4</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5</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3"/>
        <w:rPr/>
      </w:pPr>
      <w:bookmarkStart w:id="31" w:name="__RefHeading___Toc21454_693750392"/>
      <w:bookmarkEnd w:id="31"/>
      <w:r>
        <w:rPr/>
        <w:t>G3 group roll-up sign-off</w:t>
      </w:r>
    </w:p>
    <w:tbl>
      <w:tblPr>
        <w:tblStyle w:val="TableGrid"/>
        <w:tblW w:w="96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409"/>
        <w:gridCol w:w="2409"/>
        <w:gridCol w:w="2409"/>
        <w:gridCol w:w="2409"/>
      </w:tblGrid>
      <w:tr>
        <w:trPr>
          <w:cantSplit/>
        </w:trPr>
        <w:tc>
          <w:tcPr>
            <w:tcW w:w="240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Check</w:t>
            </w:r>
          </w:p>
        </w:tc>
        <w:tc>
          <w:tcPr>
            <w:tcW w:w="240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Result</w:t>
            </w:r>
          </w:p>
        </w:tc>
        <w:tc>
          <w:tcPr>
            <w:tcW w:w="240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Initials</w:t>
            </w:r>
          </w:p>
        </w:tc>
        <w:tc>
          <w:tcPr>
            <w:tcW w:w="240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Date</w:t>
            </w:r>
          </w:p>
        </w:tc>
      </w:tr>
      <w:tr>
        <w:trPr>
          <w:cantSplit/>
        </w:trPr>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All POCs in group executed or formally waived</w:t>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Evidence retained (API version, region, SKU, IDs)</w:t>
            </w:r>
          </w:p>
        </w:tc>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Blockers logged in §7</w:t>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Cleanup completed or retention justified</w:t>
            </w:r>
          </w:p>
        </w:tc>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 approved to unlock dependents</w:t>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2"/>
        <w:rPr/>
      </w:pPr>
      <w:bookmarkStart w:id="32" w:name="__RefHeading___Toc21456_693750392"/>
      <w:bookmarkEnd w:id="32"/>
      <w:r>
        <w:rPr/>
        <w:t>Group 4: Quota Group Validation (Preview — Gated)</w:t>
      </w:r>
    </w:p>
    <w:p>
      <w:pPr>
        <w:pStyle w:val="Normal"/>
        <w:rPr/>
      </w:pPr>
      <w:r>
        <w:rPr>
          <w:rFonts w:eastAsia="Calibri"/>
          <w:b w:val="false"/>
          <w:i w:val="false"/>
          <w:color w:val="1A1A1A"/>
          <w:sz w:val="21"/>
        </w:rPr>
        <w:t>Quota Groups underpin the two-group architecture (Prod | NonProd+DR). POC-30 is a hard gate before any quota-group engineering begins (B-1, A-04). groupType enforcement is preview-only (FC-11). No fixed propagation SLA is assumed (B-6).</w:t>
      </w:r>
    </w:p>
    <w:p>
      <w:pPr>
        <w:pStyle w:val="Normal"/>
        <w:rPr/>
      </w:pPr>
      <w:r>
        <w:rPr>
          <w:rFonts w:eastAsia="Calibri"/>
          <w:b w:val="false"/>
          <w:i/>
          <w:color w:val="555555"/>
          <w:sz w:val="20"/>
        </w:rPr>
        <w:t>Group contains 3 POC entries. Complete result capture for every entry before signing the group roll-up below.</w:t>
      </w:r>
    </w:p>
    <w:p>
      <w:pPr>
        <w:pStyle w:val="Heading3"/>
        <w:rPr/>
      </w:pPr>
      <w:bookmarkStart w:id="33" w:name="__RefHeading___Toc21458_693750392"/>
      <w:bookmarkEnd w:id="33"/>
      <w:r>
        <w:rPr/>
        <w:t>POC-30: Verify Quota Group API Availability</w:t>
      </w:r>
    </w:p>
    <w:tbl>
      <w:tblPr>
        <w:tblStyle w:val="TableGrid"/>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cantSplit/>
        </w:trPr>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Attribute</w:t>
            </w:r>
          </w:p>
        </w:tc>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Value</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 ID</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POC-30</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 4: Quota Group Validation (Preview — Gated)</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Objective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Establish whether the Quota Groups API is available in the target subscription and region with a pinned preview API version. Hard gate for all quota-group engineering.</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Gate</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1 GATE — must pass before any quota group engineering begins</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Prerequisites</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Pre-Flight complete; Microsoft.Quota provider registered</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Executed by</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Execution date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API version(s) used</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Region / SKU / Zone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4"/>
        <w:rPr/>
      </w:pPr>
      <w:r>
        <w:rPr/>
        <w:t>Test steps</w:t>
      </w:r>
    </w:p>
    <w:p>
      <w:pPr>
        <w:pStyle w:val="Normal"/>
        <w:spacing w:before="80" w:after="40"/>
        <w:rPr/>
      </w:pPr>
      <w:r>
        <w:rPr>
          <w:rFonts w:eastAsia="Calibri"/>
          <w:b/>
          <w:i w:val="false"/>
          <w:color w:val="0B3D5C"/>
          <w:sz w:val="21"/>
        </w:rPr>
        <w:t xml:space="preserve">1. </w:t>
      </w:r>
      <w:r>
        <w:rPr>
          <w:rFonts w:eastAsia="Calibri"/>
          <w:b w:val="false"/>
          <w:i w:val="false"/>
          <w:color w:val="1A1A1A"/>
          <w:sz w:val="21"/>
        </w:rPr>
        <w:t>Run:</w:t>
      </w:r>
    </w:p>
    <w:p>
      <w:pPr>
        <w:pStyle w:val="CodeBlock"/>
        <w:shd w:val="clear" w:fill="F4F6F8"/>
        <w:rPr/>
      </w:pPr>
      <w:r>
        <w:rPr>
          <w:rFonts w:cs="Consolas"/>
          <w:b w:val="false"/>
          <w:i w:val="false"/>
          <w:color w:val="1A1A1A"/>
          <w:sz w:val="17"/>
        </w:rPr>
        <w:t>az account set --subscription &lt;PROVIDER_SUB&gt;</w:t>
      </w:r>
    </w:p>
    <w:p>
      <w:pPr>
        <w:pStyle w:val="Normal"/>
        <w:spacing w:before="80" w:after="40"/>
        <w:rPr/>
      </w:pPr>
      <w:r>
        <w:rPr>
          <w:rFonts w:eastAsia="Calibri"/>
          <w:b/>
          <w:i w:val="false"/>
          <w:color w:val="0B3D5C"/>
          <w:sz w:val="21"/>
        </w:rPr>
        <w:t xml:space="preserve">2. </w:t>
      </w:r>
      <w:r>
        <w:rPr>
          <w:rFonts w:eastAsia="Calibri"/>
          <w:b w:val="false"/>
          <w:i w:val="false"/>
          <w:color w:val="1A1A1A"/>
          <w:sz w:val="21"/>
        </w:rPr>
        <w:t>List quota groups:</w:t>
      </w:r>
    </w:p>
    <w:p>
      <w:pPr>
        <w:pStyle w:val="CodeBlock"/>
        <w:shd w:val="clear" w:fill="F4F6F8"/>
        <w:rPr/>
      </w:pPr>
      <w:r>
        <w:rPr>
          <w:rFonts w:cs="Consolas"/>
          <w:b w:val="false"/>
          <w:i w:val="false"/>
          <w:color w:val="1A1A1A"/>
          <w:sz w:val="17"/>
        </w:rPr>
        <w:t>az rest --method GET --url 'https://management.azure.com/subscriptions/&lt;PROVIDER_SUB&gt;/providers/Microsoft.Quota/groupQuotas?api-version=2025-03-01-preview' -o json</w:t>
      </w:r>
    </w:p>
    <w:p>
      <w:pPr>
        <w:pStyle w:val="Normal"/>
        <w:spacing w:before="80" w:after="40"/>
        <w:rPr/>
      </w:pPr>
      <w:r>
        <w:rPr>
          <w:rFonts w:eastAsia="Calibri"/>
          <w:b/>
          <w:i w:val="false"/>
          <w:color w:val="0B3D5C"/>
          <w:sz w:val="21"/>
        </w:rPr>
        <w:t xml:space="preserve">3. </w:t>
      </w:r>
      <w:r>
        <w:rPr>
          <w:rFonts w:eastAsia="Calibri"/>
          <w:b w:val="false"/>
          <w:i w:val="false"/>
          <w:color w:val="1A1A1A"/>
          <w:sz w:val="21"/>
        </w:rPr>
        <w:t>If endpoint path differs in your cloud, try documented alternatives and record exact URL that responds</w:t>
      </w:r>
    </w:p>
    <w:p>
      <w:pPr>
        <w:pStyle w:val="Normal"/>
        <w:spacing w:before="80" w:after="40"/>
        <w:rPr/>
      </w:pPr>
      <w:r>
        <w:rPr>
          <w:rFonts w:eastAsia="Calibri"/>
          <w:b/>
          <w:i w:val="false"/>
          <w:color w:val="0B3D5C"/>
          <w:sz w:val="21"/>
        </w:rPr>
        <w:t xml:space="preserve">4. </w:t>
      </w:r>
      <w:r>
        <w:rPr>
          <w:rFonts w:eastAsia="Calibri"/>
          <w:b w:val="false"/>
          <w:i w:val="false"/>
          <w:color w:val="1A1A1A"/>
          <w:sz w:val="21"/>
        </w:rPr>
        <w:t>Attempt creation:</w:t>
      </w:r>
    </w:p>
    <w:p>
      <w:pPr>
        <w:pStyle w:val="CodeBlock"/>
        <w:shd w:val="clear" w:fill="F4F6F8"/>
        <w:rPr/>
      </w:pPr>
      <w:r>
        <w:rPr>
          <w:rFonts w:cs="Consolas"/>
          <w:b w:val="false"/>
          <w:i w:val="false"/>
          <w:color w:val="1A1A1A"/>
          <w:sz w:val="17"/>
        </w:rPr>
        <w:t>az rest --method PUT --url 'https://management.azure.com/subscriptions/&lt;PROVIDER_SUB&gt;/providers/Microsoft.Quota/groupQuotas/&lt;GROUP_NAME&gt;?api-version=2025-03-01-preview' --body '{"properties":{"displayName":"ACRME-Test-Group"}}'</w:t>
      </w:r>
    </w:p>
    <w:p>
      <w:pPr>
        <w:pStyle w:val="Normal"/>
        <w:spacing w:before="80" w:after="40"/>
        <w:rPr/>
      </w:pPr>
      <w:r>
        <w:rPr>
          <w:rFonts w:eastAsia="Calibri"/>
          <w:b/>
          <w:i w:val="false"/>
          <w:color w:val="0B3D5C"/>
          <w:sz w:val="21"/>
        </w:rPr>
        <w:t xml:space="preserve">5. </w:t>
      </w:r>
      <w:r>
        <w:rPr>
          <w:rFonts w:eastAsia="Calibri"/>
          <w:b w:val="false"/>
          <w:i w:val="false"/>
          <w:color w:val="1A1A1A"/>
          <w:sz w:val="21"/>
        </w:rPr>
        <w:t>Repeat list/create probes in Primary, DR, and NonProd regions as applicable to scope</w:t>
      </w:r>
    </w:p>
    <w:p>
      <w:pPr>
        <w:pStyle w:val="Normal"/>
        <w:spacing w:before="80" w:after="40"/>
        <w:rPr/>
      </w:pPr>
      <w:r>
        <w:rPr>
          <w:rFonts w:eastAsia="Calibri"/>
          <w:b/>
          <w:i w:val="false"/>
          <w:color w:val="0B3D5C"/>
          <w:sz w:val="21"/>
        </w:rPr>
        <w:t xml:space="preserve">6. </w:t>
      </w:r>
      <w:r>
        <w:rPr>
          <w:rFonts w:eastAsia="Calibri"/>
          <w:b w:val="false"/>
          <w:i w:val="false"/>
          <w:color w:val="1A1A1A"/>
          <w:sz w:val="21"/>
        </w:rPr>
        <w:t>Record whether groupType property is present and accepted (FC-11)</w:t>
      </w:r>
    </w:p>
    <w:p>
      <w:pPr>
        <w:pStyle w:val="Heading4"/>
        <w:rPr/>
      </w:pPr>
      <w:r>
        <w:rPr/>
        <w:t>Expected result</w:t>
      </w:r>
    </w:p>
    <w:p>
      <w:pPr>
        <w:pStyle w:val="Normal"/>
        <w:rPr/>
      </w:pPr>
      <w:r>
        <w:rPr>
          <w:rFonts w:eastAsia="Calibri"/>
          <w:b w:val="false"/>
          <w:i w:val="false"/>
          <w:color w:val="1A1A1A"/>
          <w:sz w:val="21"/>
        </w:rPr>
        <w:t>API returns 200/201 and feature is available. If 404 or MethodNotAllowed: BLOCKED — quota groups not available in this scope; all quota-group engineering is blocked. Record: API version that succeeded; regions tested; result per region.</w:t>
      </w:r>
    </w:p>
    <w:p>
      <w:pPr>
        <w:pStyle w:val="Heading4"/>
        <w:rPr/>
      </w:pPr>
      <w:r>
        <w:rPr/>
        <w:t>Result capture</w:t>
      </w:r>
    </w:p>
    <w:tbl>
      <w:tblPr>
        <w:tblStyle w:val="TableGrid"/>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cantSplit/>
        </w:trPr>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Field</w:t>
            </w:r>
          </w:p>
        </w:tc>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Entry</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Actual Result</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Status</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 / [Pass] / [Fail] / [Blocked]</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Notes / Blocker</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Evidence refs (request IDs, timestamps)</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4"/>
        <w:rPr/>
      </w:pPr>
      <w:r>
        <w:rPr/>
        <w:t>Step-level observations (optional)</w:t>
      </w:r>
    </w:p>
    <w:tbl>
      <w:tblPr>
        <w:tblStyle w:val="TableGrid"/>
        <w:tblW w:w="963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213"/>
        <w:gridCol w:w="3213"/>
        <w:gridCol w:w="3213"/>
      </w:tblGrid>
      <w:tr>
        <w:trPr>
          <w:cantSplit/>
        </w:trPr>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Step #</w:t>
            </w:r>
          </w:p>
        </w:tc>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Observed output / request ID</w:t>
            </w:r>
          </w:p>
        </w:tc>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Pass?</w:t>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1</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2</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3</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4</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5</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6</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3"/>
        <w:rPr/>
      </w:pPr>
      <w:bookmarkStart w:id="34" w:name="__RefHeading___Toc21460_693750392"/>
      <w:bookmarkEnd w:id="34"/>
      <w:r>
        <w:rPr/>
        <w:t>POC-31: Add Subscription to Quota Group and Verify Headroom</w:t>
      </w:r>
    </w:p>
    <w:tbl>
      <w:tblPr>
        <w:tblStyle w:val="TableGrid"/>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cantSplit/>
        </w:trPr>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Attribute</w:t>
            </w:r>
          </w:p>
        </w:tc>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Value</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 ID</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POC-31</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 4: Quota Group Validation (Preview — Gated)</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Objective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Add a subscription to a quota group and measure quota visibility and headroom before vs after membership. Dual subscription-level checks remain mandatory (A-05 rejected).</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Gate</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2 Controlled Automation</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Prerequisites</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POC-30 Pass</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Executed by</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Execution date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API version(s) used</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Region / SKU / Zone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4"/>
        <w:rPr/>
      </w:pPr>
      <w:r>
        <w:rPr/>
        <w:t>Test steps</w:t>
      </w:r>
    </w:p>
    <w:p>
      <w:pPr>
        <w:pStyle w:val="Normal"/>
        <w:spacing w:before="80" w:after="40"/>
        <w:rPr/>
      </w:pPr>
      <w:r>
        <w:rPr>
          <w:rFonts w:eastAsia="Calibri"/>
          <w:b/>
          <w:i w:val="false"/>
          <w:color w:val="0B3D5C"/>
          <w:sz w:val="21"/>
        </w:rPr>
        <w:t xml:space="preserve">1. </w:t>
      </w:r>
      <w:r>
        <w:rPr>
          <w:rFonts w:eastAsia="Calibri"/>
          <w:b w:val="false"/>
          <w:i w:val="false"/>
          <w:color w:val="1A1A1A"/>
          <w:sz w:val="21"/>
        </w:rPr>
        <w:t>Record baseline subscription quota:</w:t>
      </w:r>
    </w:p>
    <w:p>
      <w:pPr>
        <w:pStyle w:val="CodeBlock"/>
        <w:shd w:val="clear" w:fill="F4F6F8"/>
        <w:rPr/>
      </w:pPr>
      <w:r>
        <w:rPr>
          <w:rFonts w:cs="Consolas"/>
          <w:b w:val="false"/>
          <w:i w:val="false"/>
          <w:color w:val="1A1A1A"/>
          <w:sz w:val="17"/>
        </w:rPr>
        <w:t>az vm list-usage --location &lt;PRIMARY_REGION&gt; -o json</w:t>
      </w:r>
    </w:p>
    <w:p>
      <w:pPr>
        <w:pStyle w:val="Normal"/>
        <w:spacing w:before="80" w:after="40"/>
        <w:rPr/>
      </w:pPr>
      <w:r>
        <w:rPr>
          <w:rFonts w:eastAsia="Calibri"/>
          <w:b/>
          <w:i w:val="false"/>
          <w:color w:val="0B3D5C"/>
          <w:sz w:val="21"/>
        </w:rPr>
        <w:t xml:space="preserve">2. </w:t>
      </w:r>
      <w:r>
        <w:rPr>
          <w:rFonts w:eastAsia="Calibri"/>
          <w:b w:val="false"/>
          <w:i w:val="false"/>
          <w:color w:val="1A1A1A"/>
          <w:sz w:val="21"/>
        </w:rPr>
        <w:t>Add subscription to group via the PUT/PATCH membership API confirmed in POC-30 (record exact URL and body)</w:t>
      </w:r>
    </w:p>
    <w:p>
      <w:pPr>
        <w:pStyle w:val="Normal"/>
        <w:spacing w:before="80" w:after="40"/>
        <w:rPr/>
      </w:pPr>
      <w:r>
        <w:rPr>
          <w:rFonts w:eastAsia="Calibri"/>
          <w:b/>
          <w:i w:val="false"/>
          <w:color w:val="0B3D5C"/>
          <w:sz w:val="21"/>
        </w:rPr>
        <w:t xml:space="preserve">3. </w:t>
      </w:r>
      <w:r>
        <w:rPr>
          <w:rFonts w:eastAsia="Calibri"/>
          <w:b w:val="false"/>
          <w:i w:val="false"/>
          <w:color w:val="1A1A1A"/>
          <w:sz w:val="21"/>
        </w:rPr>
        <w:t>Poll membership and quota views every 30–60 seconds</w:t>
      </w:r>
    </w:p>
    <w:p>
      <w:pPr>
        <w:pStyle w:val="Normal"/>
        <w:spacing w:before="80" w:after="40"/>
        <w:rPr/>
      </w:pPr>
      <w:r>
        <w:rPr>
          <w:rFonts w:eastAsia="Calibri"/>
          <w:b/>
          <w:i w:val="false"/>
          <w:color w:val="0B3D5C"/>
          <w:sz w:val="21"/>
        </w:rPr>
        <w:t xml:space="preserve">4. </w:t>
      </w:r>
      <w:r>
        <w:rPr>
          <w:rFonts w:eastAsia="Calibri"/>
          <w:b w:val="false"/>
          <w:i w:val="false"/>
          <w:color w:val="1A1A1A"/>
          <w:sz w:val="21"/>
        </w:rPr>
        <w:t>Compare ungrouped vs grouped quota observations</w:t>
      </w:r>
    </w:p>
    <w:p>
      <w:pPr>
        <w:pStyle w:val="Normal"/>
        <w:spacing w:before="80" w:after="40"/>
        <w:rPr/>
      </w:pPr>
      <w:r>
        <w:rPr>
          <w:rFonts w:eastAsia="Calibri"/>
          <w:b/>
          <w:i w:val="false"/>
          <w:color w:val="0B3D5C"/>
          <w:sz w:val="21"/>
        </w:rPr>
        <w:t xml:space="preserve">5. </w:t>
      </w:r>
      <w:r>
        <w:rPr>
          <w:rFonts w:eastAsia="Calibri"/>
          <w:b w:val="false"/>
          <w:i w:val="false"/>
          <w:color w:val="1A1A1A"/>
          <w:sz w:val="21"/>
        </w:rPr>
        <w:t>Confirm subscription-level eligibility check is still required before any CR mutation</w:t>
      </w:r>
    </w:p>
    <w:p>
      <w:pPr>
        <w:pStyle w:val="Heading4"/>
        <w:rPr/>
      </w:pPr>
      <w:r>
        <w:rPr/>
        <w:t>Expected result</w:t>
      </w:r>
    </w:p>
    <w:p>
      <w:pPr>
        <w:pStyle w:val="Normal"/>
        <w:rPr/>
      </w:pPr>
      <w:r>
        <w:rPr>
          <w:rFonts w:eastAsia="Calibri"/>
          <w:b w:val="false"/>
          <w:i w:val="false"/>
          <w:color w:val="1A1A1A"/>
          <w:sz w:val="21"/>
        </w:rPr>
        <w:t>Membership succeeds. Record: quota before group membership; quota after; propagation delay observed. Do not treat membership as proof that deploy will succeed.</w:t>
      </w:r>
    </w:p>
    <w:p>
      <w:pPr>
        <w:pStyle w:val="Heading4"/>
        <w:rPr/>
      </w:pPr>
      <w:r>
        <w:rPr/>
        <w:t>Result capture</w:t>
      </w:r>
    </w:p>
    <w:tbl>
      <w:tblPr>
        <w:tblStyle w:val="TableGrid"/>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cantSplit/>
        </w:trPr>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Field</w:t>
            </w:r>
          </w:p>
        </w:tc>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Entry</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Actual Result</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Status</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 / [Pass] / [Fail] / [Blocked]</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Notes / Blocker</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Evidence refs (request IDs, timestamps)</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4"/>
        <w:rPr/>
      </w:pPr>
      <w:r>
        <w:rPr/>
        <w:t>Step-level observations (optional)</w:t>
      </w:r>
    </w:p>
    <w:tbl>
      <w:tblPr>
        <w:tblStyle w:val="TableGrid"/>
        <w:tblW w:w="963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213"/>
        <w:gridCol w:w="3213"/>
        <w:gridCol w:w="3213"/>
      </w:tblGrid>
      <w:tr>
        <w:trPr>
          <w:cantSplit/>
        </w:trPr>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Step #</w:t>
            </w:r>
          </w:p>
        </w:tc>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Observed output / request ID</w:t>
            </w:r>
          </w:p>
        </w:tc>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Pass?</w:t>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1</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2</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3</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4</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5</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3"/>
        <w:rPr/>
      </w:pPr>
      <w:bookmarkStart w:id="35" w:name="__RefHeading___Toc21462_693750392"/>
      <w:bookmarkEnd w:id="35"/>
      <w:r>
        <w:rPr/>
        <w:t>POC-32: Release and Reuse Behaviour</w:t>
      </w:r>
    </w:p>
    <w:tbl>
      <w:tblPr>
        <w:tblStyle w:val="TableGrid"/>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cantSplit/>
        </w:trPr>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Attribute</w:t>
            </w:r>
          </w:p>
        </w:tc>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Value</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 ID</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POC-32</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 4: Quota Group Validation (Preview — Gated)</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Objective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Remove a subscription from a quota group, observe cleanup/propagation, re-add, and confirm consistent behaviour (B-2, A-07 related).</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Gate</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2 Controlled Automation</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Prerequisites</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POC-31 Pass</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Executed by</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Execution date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API version(s) used</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Region / SKU / Zone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4"/>
        <w:rPr/>
      </w:pPr>
      <w:r>
        <w:rPr/>
        <w:t>Test steps</w:t>
      </w:r>
    </w:p>
    <w:p>
      <w:pPr>
        <w:pStyle w:val="Normal"/>
        <w:spacing w:before="80" w:after="40"/>
        <w:rPr/>
      </w:pPr>
      <w:r>
        <w:rPr>
          <w:rFonts w:eastAsia="Calibri"/>
          <w:b/>
          <w:i w:val="false"/>
          <w:color w:val="0B3D5C"/>
          <w:sz w:val="21"/>
        </w:rPr>
        <w:t xml:space="preserve">1. </w:t>
      </w:r>
      <w:r>
        <w:rPr>
          <w:rFonts w:eastAsia="Calibri"/>
          <w:b w:val="false"/>
          <w:i w:val="false"/>
          <w:color w:val="1A1A1A"/>
          <w:sz w:val="21"/>
        </w:rPr>
        <w:t>Remove subscription from group via REST DELETE or PATCH as confirmed in POC-30</w:t>
      </w:r>
    </w:p>
    <w:p>
      <w:pPr>
        <w:pStyle w:val="Normal"/>
        <w:spacing w:before="80" w:after="40"/>
        <w:rPr/>
      </w:pPr>
      <w:r>
        <w:rPr>
          <w:rFonts w:eastAsia="Calibri"/>
          <w:b/>
          <w:i w:val="false"/>
          <w:color w:val="0B3D5C"/>
          <w:sz w:val="21"/>
        </w:rPr>
        <w:t xml:space="preserve">2. </w:t>
      </w:r>
      <w:r>
        <w:rPr>
          <w:rFonts w:eastAsia="Calibri"/>
          <w:b w:val="false"/>
          <w:i w:val="false"/>
          <w:color w:val="1A1A1A"/>
          <w:sz w:val="21"/>
        </w:rPr>
        <w:t>Poll until membership cleared; record propagation time</w:t>
      </w:r>
    </w:p>
    <w:p>
      <w:pPr>
        <w:pStyle w:val="Normal"/>
        <w:spacing w:before="80" w:after="40"/>
        <w:rPr/>
      </w:pPr>
      <w:r>
        <w:rPr>
          <w:rFonts w:eastAsia="Calibri"/>
          <w:b/>
          <w:i w:val="false"/>
          <w:color w:val="0B3D5C"/>
          <w:sz w:val="21"/>
        </w:rPr>
        <w:t xml:space="preserve">3. </w:t>
      </w:r>
      <w:r>
        <w:rPr>
          <w:rFonts w:eastAsia="Calibri"/>
          <w:b w:val="false"/>
          <w:i w:val="false"/>
          <w:color w:val="1A1A1A"/>
          <w:sz w:val="21"/>
        </w:rPr>
        <w:t>Check for orphaned state in group usage views</w:t>
      </w:r>
    </w:p>
    <w:p>
      <w:pPr>
        <w:pStyle w:val="Normal"/>
        <w:spacing w:before="80" w:after="40"/>
        <w:rPr/>
      </w:pPr>
      <w:r>
        <w:rPr>
          <w:rFonts w:eastAsia="Calibri"/>
          <w:b/>
          <w:i w:val="false"/>
          <w:color w:val="0B3D5C"/>
          <w:sz w:val="21"/>
        </w:rPr>
        <w:t xml:space="preserve">4. </w:t>
      </w:r>
      <w:r>
        <w:rPr>
          <w:rFonts w:eastAsia="Calibri"/>
          <w:b w:val="false"/>
          <w:i w:val="false"/>
          <w:color w:val="1A1A1A"/>
          <w:sz w:val="21"/>
        </w:rPr>
        <w:t>Re-add subscription; verify quota state is consistent with first-add behaviour</w:t>
      </w:r>
    </w:p>
    <w:p>
      <w:pPr>
        <w:pStyle w:val="Normal"/>
        <w:spacing w:before="80" w:after="40"/>
        <w:rPr/>
      </w:pPr>
      <w:r>
        <w:rPr>
          <w:rFonts w:eastAsia="Calibri"/>
          <w:b/>
          <w:i w:val="false"/>
          <w:color w:val="0B3D5C"/>
          <w:sz w:val="21"/>
        </w:rPr>
        <w:t xml:space="preserve">5. </w:t>
      </w:r>
      <w:r>
        <w:rPr>
          <w:rFonts w:eastAsia="Calibri"/>
          <w:b w:val="false"/>
          <w:i w:val="false"/>
          <w:color w:val="1A1A1A"/>
          <w:sz w:val="21"/>
        </w:rPr>
        <w:t>If testing NonProd reduction funding DR expansion: reduce NonProd CR, poll group headroom, then attempt DR expand only after authoritative headroom is visible</w:t>
      </w:r>
    </w:p>
    <w:p>
      <w:pPr>
        <w:pStyle w:val="Heading4"/>
        <w:rPr/>
      </w:pPr>
      <w:r>
        <w:rPr/>
        <w:t>Expected result</w:t>
      </w:r>
    </w:p>
    <w:p>
      <w:pPr>
        <w:pStyle w:val="Normal"/>
        <w:rPr/>
      </w:pPr>
      <w:r>
        <w:rPr>
          <w:rFonts w:eastAsia="Calibri"/>
          <w:b w:val="false"/>
          <w:i w:val="false"/>
          <w:color w:val="1A1A1A"/>
          <w:sz w:val="21"/>
        </w:rPr>
        <w:t>Propagation time documented; no unexplained orphaned state; re-add consistent. Tier 2 remains blocked until this behaviour is measured and approved.</w:t>
      </w:r>
    </w:p>
    <w:p>
      <w:pPr>
        <w:pStyle w:val="Heading4"/>
        <w:rPr/>
      </w:pPr>
      <w:r>
        <w:rPr/>
        <w:t>Result capture</w:t>
      </w:r>
    </w:p>
    <w:tbl>
      <w:tblPr>
        <w:tblStyle w:val="TableGrid"/>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cantSplit/>
        </w:trPr>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Field</w:t>
            </w:r>
          </w:p>
        </w:tc>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Entry</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Actual Result</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Status</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 / [Pass] / [Fail] / [Blocked]</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Notes / Blocker</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Evidence refs (request IDs, timestamps)</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4"/>
        <w:rPr/>
      </w:pPr>
      <w:r>
        <w:rPr/>
        <w:t>Step-level observations (optional)</w:t>
      </w:r>
    </w:p>
    <w:tbl>
      <w:tblPr>
        <w:tblStyle w:val="TableGrid"/>
        <w:tblW w:w="963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213"/>
        <w:gridCol w:w="3213"/>
        <w:gridCol w:w="3213"/>
      </w:tblGrid>
      <w:tr>
        <w:trPr>
          <w:cantSplit/>
        </w:trPr>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Step #</w:t>
            </w:r>
          </w:p>
        </w:tc>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Observed output / request ID</w:t>
            </w:r>
          </w:p>
        </w:tc>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Pass?</w:t>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1</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2</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3</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4</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5</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3"/>
        <w:rPr/>
      </w:pPr>
      <w:bookmarkStart w:id="36" w:name="__RefHeading___Toc21464_693750392"/>
      <w:bookmarkEnd w:id="36"/>
      <w:r>
        <w:rPr/>
        <w:t>G4 group roll-up sign-off</w:t>
      </w:r>
    </w:p>
    <w:tbl>
      <w:tblPr>
        <w:tblStyle w:val="TableGrid"/>
        <w:tblW w:w="96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409"/>
        <w:gridCol w:w="2409"/>
        <w:gridCol w:w="2409"/>
        <w:gridCol w:w="2409"/>
      </w:tblGrid>
      <w:tr>
        <w:trPr>
          <w:cantSplit/>
        </w:trPr>
        <w:tc>
          <w:tcPr>
            <w:tcW w:w="240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Check</w:t>
            </w:r>
          </w:p>
        </w:tc>
        <w:tc>
          <w:tcPr>
            <w:tcW w:w="240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Result</w:t>
            </w:r>
          </w:p>
        </w:tc>
        <w:tc>
          <w:tcPr>
            <w:tcW w:w="240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Initials</w:t>
            </w:r>
          </w:p>
        </w:tc>
        <w:tc>
          <w:tcPr>
            <w:tcW w:w="240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Date</w:t>
            </w:r>
          </w:p>
        </w:tc>
      </w:tr>
      <w:tr>
        <w:trPr>
          <w:cantSplit/>
        </w:trPr>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All POCs in group executed or formally waived</w:t>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Evidence retained (API version, region, SKU, IDs)</w:t>
            </w:r>
          </w:p>
        </w:tc>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Blockers logged in §7</w:t>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Cleanup completed or retention justified</w:t>
            </w:r>
          </w:p>
        </w:tc>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 approved to unlock dependents</w:t>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2"/>
        <w:rPr/>
      </w:pPr>
      <w:bookmarkStart w:id="37" w:name="__RefHeading___Toc21466_693750392"/>
      <w:bookmarkEnd w:id="37"/>
      <w:r>
        <w:rPr/>
        <w:t>Group 5: Engine Safety Controls</w:t>
      </w:r>
    </w:p>
    <w:p>
      <w:pPr>
        <w:pStyle w:val="Normal"/>
        <w:rPr/>
      </w:pPr>
      <w:r>
        <w:rPr>
          <w:rFonts w:eastAsia="Calibri"/>
          <w:b w:val="false"/>
          <w:i w:val="false"/>
          <w:color w:val="1A1A1A"/>
          <w:sz w:val="21"/>
        </w:rPr>
        <w:t>Validates safety hypotheses and engine control gates: zero-quantity behaviour (A-08), ARG staleness (A-14), concurrent association, and Tier 1/2/3 controls. Tier 3 remains blocked in Phase 1 (G-14).</w:t>
      </w:r>
    </w:p>
    <w:p>
      <w:pPr>
        <w:pStyle w:val="Normal"/>
        <w:rPr/>
      </w:pPr>
      <w:r>
        <w:rPr>
          <w:rFonts w:eastAsia="Calibri"/>
          <w:b w:val="false"/>
          <w:i/>
          <w:color w:val="555555"/>
          <w:sz w:val="20"/>
        </w:rPr>
        <w:t>Group contains 6 POC entries. Complete result capture for every entry before signing the group roll-up below.</w:t>
      </w:r>
    </w:p>
    <w:p>
      <w:pPr>
        <w:pStyle w:val="Heading3"/>
        <w:rPr/>
      </w:pPr>
      <w:bookmarkStart w:id="38" w:name="__RefHeading___Toc21468_693750392"/>
      <w:bookmarkEnd w:id="38"/>
      <w:r>
        <w:rPr/>
        <w:t>POC-15: Zero-Quantity Reservation Behaviour</w:t>
      </w:r>
    </w:p>
    <w:tbl>
      <w:tblPr>
        <w:tblStyle w:val="TableGrid"/>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cantSplit/>
        </w:trPr>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Attribute</w:t>
            </w:r>
          </w:p>
        </w:tc>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Value</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 ID</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POC-15</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 5: Engine Safety Controls</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Objective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Hypothesis validation: observe platform behaviour when reserved capacity is reduced to zero while a VM is or was associated (Path B related). Any result is valid; record precisely.</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Gate</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1 Pilot</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Prerequisites</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POC-03 Pass (VM associated) or controlled re-association. WARNING: May affect running VM guarantees.</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Executed by</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Execution date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API version(s) used</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Region / SKU / Zone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4"/>
        <w:rPr/>
      </w:pPr>
      <w:r>
        <w:rPr/>
        <w:t>Test steps</w:t>
      </w:r>
    </w:p>
    <w:p>
      <w:pPr>
        <w:pStyle w:val="Normal"/>
        <w:spacing w:before="80" w:after="40"/>
        <w:rPr/>
      </w:pPr>
      <w:r>
        <w:rPr>
          <w:rFonts w:eastAsia="Calibri"/>
          <w:b/>
          <w:i w:val="false"/>
          <w:color w:val="0B3D5C"/>
          <w:sz w:val="21"/>
        </w:rPr>
        <w:t xml:space="preserve">1. </w:t>
      </w:r>
      <w:r>
        <w:rPr>
          <w:rFonts w:eastAsia="Calibri"/>
          <w:b w:val="false"/>
          <w:i w:val="false"/>
          <w:color w:val="1A1A1A"/>
          <w:sz w:val="21"/>
        </w:rPr>
        <w:t>Confirm current association and capacity:</w:t>
      </w:r>
    </w:p>
    <w:p>
      <w:pPr>
        <w:pStyle w:val="CodeBlock"/>
        <w:shd w:val="clear" w:fill="F4F6F8"/>
        <w:rPr/>
      </w:pPr>
      <w:r>
        <w:rPr>
          <w:rFonts w:cs="Consolas"/>
          <w:b w:val="false"/>
          <w:i w:val="false"/>
          <w:color w:val="1A1A1A"/>
          <w:sz w:val="17"/>
        </w:rPr>
        <w:t>az capacity reservation show --resource-group &lt;PROVIDER_RG&gt; --capacity-reservation-group &lt;CRG_NAME&gt; --name &lt;CR_NAME&gt; -o json</w:t>
      </w:r>
    </w:p>
    <w:p>
      <w:pPr>
        <w:pStyle w:val="Normal"/>
        <w:spacing w:before="80" w:after="40"/>
        <w:rPr/>
      </w:pPr>
      <w:r>
        <w:rPr>
          <w:rFonts w:eastAsia="Calibri"/>
          <w:b/>
          <w:i w:val="false"/>
          <w:color w:val="0B3D5C"/>
          <w:sz w:val="21"/>
        </w:rPr>
        <w:t xml:space="preserve">2. </w:t>
      </w:r>
      <w:r>
        <w:rPr>
          <w:rFonts w:eastAsia="Calibri"/>
          <w:b w:val="false"/>
          <w:i w:val="false"/>
          <w:color w:val="1A1A1A"/>
          <w:sz w:val="21"/>
        </w:rPr>
        <w:t>Attempt zero capacity:</w:t>
      </w:r>
    </w:p>
    <w:p>
      <w:pPr>
        <w:pStyle w:val="CodeBlock"/>
        <w:shd w:val="clear" w:fill="F4F6F8"/>
        <w:rPr/>
      </w:pPr>
      <w:r>
        <w:rPr>
          <w:rFonts w:cs="Consolas"/>
          <w:b w:val="false"/>
          <w:i w:val="false"/>
          <w:color w:val="1A1A1A"/>
          <w:sz w:val="17"/>
        </w:rPr>
        <w:t>az capacity reservation update --resource-group &lt;PROVIDER_RG&gt; --capacity-reservation-group &lt;CRG_NAME&gt; --name &lt;CR_NAME&gt; --capacity 0</w:t>
      </w:r>
    </w:p>
    <w:p>
      <w:pPr>
        <w:pStyle w:val="Normal"/>
        <w:spacing w:before="80" w:after="40"/>
        <w:rPr/>
      </w:pPr>
      <w:r>
        <w:rPr>
          <w:rFonts w:eastAsia="Calibri"/>
          <w:b/>
          <w:i w:val="false"/>
          <w:color w:val="0B3D5C"/>
          <w:sz w:val="21"/>
        </w:rPr>
        <w:t xml:space="preserve">3. </w:t>
      </w:r>
      <w:r>
        <w:rPr>
          <w:rFonts w:eastAsia="Calibri"/>
          <w:b w:val="false"/>
          <w:i w:val="false"/>
          <w:color w:val="1A1A1A"/>
          <w:sz w:val="21"/>
        </w:rPr>
        <w:t>Check VM state:</w:t>
      </w:r>
    </w:p>
    <w:p>
      <w:pPr>
        <w:pStyle w:val="CodeBlock"/>
        <w:shd w:val="clear" w:fill="F4F6F8"/>
        <w:rPr/>
      </w:pPr>
      <w:r>
        <w:rPr>
          <w:rFonts w:cs="Consolas"/>
          <w:b w:val="false"/>
          <w:i w:val="false"/>
          <w:color w:val="1A1A1A"/>
          <w:sz w:val="17"/>
        </w:rPr>
        <w:t>az vm show --resource-group &lt;PROVIDER_RG&gt; --name &lt;VM_NAME&gt; --query '{provisioningState:provisioningState, powerState:powerState, capacityReservation:capacityReservation}' -o json</w:t>
      </w:r>
    </w:p>
    <w:p>
      <w:pPr>
        <w:pStyle w:val="Normal"/>
        <w:spacing w:before="80" w:after="40"/>
        <w:rPr/>
      </w:pPr>
      <w:r>
        <w:rPr>
          <w:rFonts w:eastAsia="Calibri"/>
          <w:b/>
          <w:i w:val="false"/>
          <w:color w:val="0B3D5C"/>
          <w:sz w:val="21"/>
        </w:rPr>
        <w:t xml:space="preserve">4. </w:t>
      </w:r>
      <w:r>
        <w:rPr>
          <w:rFonts w:eastAsia="Calibri"/>
          <w:b w:val="false"/>
          <w:i w:val="false"/>
          <w:color w:val="1A1A1A"/>
          <w:sz w:val="21"/>
        </w:rPr>
        <w:t>Check reservation state after update</w:t>
      </w:r>
    </w:p>
    <w:p>
      <w:pPr>
        <w:pStyle w:val="Normal"/>
        <w:spacing w:before="80" w:after="40"/>
        <w:rPr/>
      </w:pPr>
      <w:r>
        <w:rPr>
          <w:rFonts w:eastAsia="Calibri"/>
          <w:b/>
          <w:i w:val="false"/>
          <w:color w:val="0B3D5C"/>
          <w:sz w:val="21"/>
        </w:rPr>
        <w:t xml:space="preserve">5. </w:t>
      </w:r>
      <w:r>
        <w:rPr>
          <w:rFonts w:eastAsia="Calibri"/>
          <w:b w:val="false"/>
          <w:i w:val="false"/>
          <w:color w:val="1A1A1A"/>
          <w:sz w:val="21"/>
        </w:rPr>
        <w:t>Restore capacity to a safe non-zero value after evidence capture unless intentionally leaving zero for Path B sequence</w:t>
      </w:r>
    </w:p>
    <w:p>
      <w:pPr>
        <w:pStyle w:val="Heading4"/>
        <w:rPr/>
      </w:pPr>
      <w:r>
        <w:rPr/>
        <w:t>Expected result</w:t>
      </w:r>
    </w:p>
    <w:p>
      <w:pPr>
        <w:pStyle w:val="Normal"/>
        <w:rPr/>
      </w:pPr>
      <w:r>
        <w:rPr>
          <w:rFonts w:eastAsia="Calibri"/>
          <w:b w:val="false"/>
          <w:i w:val="false"/>
          <w:color w:val="1A1A1A"/>
          <w:sz w:val="21"/>
        </w:rPr>
        <w:t>Document: Does API accept zero-quantity? Does VM remain running? Does VM lose reservation guarantee? Any error? Classify result as Observed for this API version/region/SKU only — not a general guarantee (A-08).</w:t>
      </w:r>
    </w:p>
    <w:p>
      <w:pPr>
        <w:pStyle w:val="Heading4"/>
        <w:rPr/>
      </w:pPr>
      <w:r>
        <w:rPr/>
        <w:t>Result capture</w:t>
      </w:r>
    </w:p>
    <w:tbl>
      <w:tblPr>
        <w:tblStyle w:val="TableGrid"/>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cantSplit/>
        </w:trPr>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Field</w:t>
            </w:r>
          </w:p>
        </w:tc>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Entry</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Actual Result</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Status</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 / [Pass] / [Fail] / [Blocked]</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Notes / Blocker</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Evidence refs (request IDs, timestamps)</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4"/>
        <w:rPr/>
      </w:pPr>
      <w:r>
        <w:rPr/>
        <w:t>Step-level observations (optional)</w:t>
      </w:r>
    </w:p>
    <w:tbl>
      <w:tblPr>
        <w:tblStyle w:val="TableGrid"/>
        <w:tblW w:w="963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213"/>
        <w:gridCol w:w="3213"/>
        <w:gridCol w:w="3213"/>
      </w:tblGrid>
      <w:tr>
        <w:trPr>
          <w:cantSplit/>
        </w:trPr>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Step #</w:t>
            </w:r>
          </w:p>
        </w:tc>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Observed output / request ID</w:t>
            </w:r>
          </w:p>
        </w:tc>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Pass?</w:t>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1</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2</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3</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4</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5</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3"/>
        <w:rPr/>
      </w:pPr>
      <w:bookmarkStart w:id="39" w:name="__RefHeading___Toc21470_693750392"/>
      <w:bookmarkEnd w:id="39"/>
      <w:r>
        <w:rPr/>
        <w:t>POC-16: ARG Indexing Delay Measurement</w:t>
      </w:r>
    </w:p>
    <w:tbl>
      <w:tblPr>
        <w:tblStyle w:val="TableGrid"/>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cantSplit/>
        </w:trPr>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Attribute</w:t>
            </w:r>
          </w:p>
        </w:tc>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Value</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 ID</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POC-16</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 5: Engine Safety Controls</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Objective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Measure ARG lag versus direct ARM reads after a CRG/CR association change. Results set ARG-staleness thresholds. ARG must not confirm destructive mutations (A-14).</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Gate</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1 Pilot</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Prerequisites</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POC-04 Pass</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Executed by</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Execution date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API version(s) used</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Region / SKU / Zone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4"/>
        <w:rPr/>
      </w:pPr>
      <w:r>
        <w:rPr/>
        <w:t>Test steps</w:t>
      </w:r>
    </w:p>
    <w:p>
      <w:pPr>
        <w:pStyle w:val="Normal"/>
        <w:spacing w:before="80" w:after="40"/>
        <w:rPr/>
      </w:pPr>
      <w:r>
        <w:rPr>
          <w:rFonts w:eastAsia="Calibri"/>
          <w:b/>
          <w:i w:val="false"/>
          <w:color w:val="0B3D5C"/>
          <w:sz w:val="21"/>
        </w:rPr>
        <w:t xml:space="preserve">1. </w:t>
      </w:r>
      <w:r>
        <w:rPr>
          <w:rFonts w:eastAsia="Calibri"/>
          <w:b w:val="false"/>
          <w:i w:val="false"/>
          <w:color w:val="1A1A1A"/>
          <w:sz w:val="21"/>
        </w:rPr>
        <w:t>Perform a controlled change (e.g., associate or disassociate a VM) and record ARM confirmation timestamp T_arm</w:t>
      </w:r>
    </w:p>
    <w:p>
      <w:pPr>
        <w:pStyle w:val="Normal"/>
        <w:spacing w:before="80" w:after="40"/>
        <w:rPr/>
      </w:pPr>
      <w:r>
        <w:rPr>
          <w:rFonts w:eastAsia="Calibri"/>
          <w:b/>
          <w:i w:val="false"/>
          <w:color w:val="0B3D5C"/>
          <w:sz w:val="21"/>
        </w:rPr>
        <w:t xml:space="preserve">2. </w:t>
      </w:r>
      <w:r>
        <w:rPr>
          <w:rFonts w:eastAsia="Calibri"/>
          <w:b w:val="false"/>
          <w:i w:val="false"/>
          <w:color w:val="1A1A1A"/>
          <w:sz w:val="21"/>
        </w:rPr>
        <w:t>Poll ARM:</w:t>
      </w:r>
    </w:p>
    <w:p>
      <w:pPr>
        <w:pStyle w:val="CodeBlock"/>
        <w:shd w:val="clear" w:fill="F4F6F8"/>
        <w:rPr/>
      </w:pPr>
      <w:r>
        <w:rPr>
          <w:rFonts w:cs="Consolas"/>
          <w:b w:val="false"/>
          <w:i w:val="false"/>
          <w:color w:val="1A1A1A"/>
          <w:sz w:val="17"/>
        </w:rPr>
        <w:t>az capacity reservation show --resource-group &lt;PROVIDER_RG&gt; --capacity-reservation-group &lt;CRG_NAME&gt; --name &lt;CR_NAME&gt; --query virtualMachinesAssociated -o json</w:t>
      </w:r>
    </w:p>
    <w:p>
      <w:pPr>
        <w:pStyle w:val="Normal"/>
        <w:spacing w:before="80" w:after="40"/>
        <w:rPr/>
      </w:pPr>
      <w:r>
        <w:rPr>
          <w:rFonts w:eastAsia="Calibri"/>
          <w:b/>
          <w:i w:val="false"/>
          <w:color w:val="0B3D5C"/>
          <w:sz w:val="21"/>
        </w:rPr>
        <w:t xml:space="preserve">3. </w:t>
      </w:r>
      <w:r>
        <w:rPr>
          <w:rFonts w:eastAsia="Calibri"/>
          <w:b w:val="false"/>
          <w:i w:val="false"/>
          <w:color w:val="1A1A1A"/>
          <w:sz w:val="21"/>
        </w:rPr>
        <w:t>Poll ARG every 30 seconds for up to 10 minutes:</w:t>
      </w:r>
    </w:p>
    <w:p>
      <w:pPr>
        <w:pStyle w:val="CodeBlock"/>
        <w:shd w:val="clear" w:fill="F4F6F8"/>
        <w:rPr/>
      </w:pPr>
      <w:r>
        <w:rPr>
          <w:rFonts w:cs="Consolas"/>
          <w:b w:val="false"/>
          <w:i w:val="false"/>
          <w:color w:val="1A1A1A"/>
          <w:sz w:val="17"/>
        </w:rPr>
        <w:t>az graph query -q "Resources | where type =~ 'microsoft.compute/capacityreservationgroups' | where name == '&lt;CRG_NAME&gt;' | project id, name, properties" -o json</w:t>
      </w:r>
    </w:p>
    <w:p>
      <w:pPr>
        <w:pStyle w:val="Normal"/>
        <w:spacing w:before="80" w:after="40"/>
        <w:rPr/>
      </w:pPr>
      <w:r>
        <w:rPr>
          <w:rFonts w:eastAsia="Calibri"/>
          <w:b/>
          <w:i w:val="false"/>
          <w:color w:val="0B3D5C"/>
          <w:sz w:val="21"/>
        </w:rPr>
        <w:t xml:space="preserve">4. </w:t>
      </w:r>
      <w:r>
        <w:rPr>
          <w:rFonts w:eastAsia="Calibri"/>
          <w:b w:val="false"/>
          <w:i w:val="false"/>
          <w:color w:val="1A1A1A"/>
          <w:sz w:val="21"/>
        </w:rPr>
        <w:t>Record timestamp T_arg when ARG matches ARM</w:t>
      </w:r>
    </w:p>
    <w:p>
      <w:pPr>
        <w:pStyle w:val="Normal"/>
        <w:spacing w:before="80" w:after="40"/>
        <w:rPr/>
      </w:pPr>
      <w:r>
        <w:rPr>
          <w:rFonts w:eastAsia="Calibri"/>
          <w:b/>
          <w:i w:val="false"/>
          <w:color w:val="0B3D5C"/>
          <w:sz w:val="21"/>
        </w:rPr>
        <w:t xml:space="preserve">5. </w:t>
      </w:r>
      <w:r>
        <w:rPr>
          <w:rFonts w:eastAsia="Calibri"/>
          <w:b w:val="false"/>
          <w:i w:val="false"/>
          <w:color w:val="1A1A1A"/>
          <w:sz w:val="21"/>
        </w:rPr>
        <w:t>Repeat the measurement 10 times; compute min, median, max delay (T_arg - T_arm)</w:t>
      </w:r>
    </w:p>
    <w:p>
      <w:pPr>
        <w:pStyle w:val="Heading4"/>
        <w:rPr/>
      </w:pPr>
      <w:r>
        <w:rPr/>
        <w:t>Expected result</w:t>
      </w:r>
    </w:p>
    <w:p>
      <w:pPr>
        <w:pStyle w:val="Normal"/>
        <w:rPr/>
      </w:pPr>
      <w:r>
        <w:rPr>
          <w:rFonts w:eastAsia="Calibri"/>
          <w:b w:val="false"/>
          <w:i w:val="false"/>
          <w:color w:val="1A1A1A"/>
          <w:sz w:val="21"/>
        </w:rPr>
        <w:t>Delay distribution documented (min/median/max). Use results to configure engine ARG-staleness policy. Confirm engine uses ARM for mutation confirmation.</w:t>
      </w:r>
    </w:p>
    <w:p>
      <w:pPr>
        <w:pStyle w:val="Heading4"/>
        <w:rPr/>
      </w:pPr>
      <w:r>
        <w:rPr/>
        <w:t>Result capture</w:t>
      </w:r>
    </w:p>
    <w:tbl>
      <w:tblPr>
        <w:tblStyle w:val="TableGrid"/>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cantSplit/>
        </w:trPr>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Field</w:t>
            </w:r>
          </w:p>
        </w:tc>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Entry</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Actual Result</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Status</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 / [Pass] / [Fail] / [Blocked]</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Notes / Blocker</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Evidence refs (request IDs, timestamps)</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4"/>
        <w:rPr/>
      </w:pPr>
      <w:r>
        <w:rPr/>
        <w:t>Step-level observations (optional)</w:t>
      </w:r>
    </w:p>
    <w:tbl>
      <w:tblPr>
        <w:tblStyle w:val="TableGrid"/>
        <w:tblW w:w="963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213"/>
        <w:gridCol w:w="3213"/>
        <w:gridCol w:w="3213"/>
      </w:tblGrid>
      <w:tr>
        <w:trPr>
          <w:cantSplit/>
        </w:trPr>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Step #</w:t>
            </w:r>
          </w:p>
        </w:tc>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Observed output / request ID</w:t>
            </w:r>
          </w:p>
        </w:tc>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Pass?</w:t>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1</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2</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3</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4</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5</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3"/>
        <w:rPr/>
      </w:pPr>
      <w:bookmarkStart w:id="40" w:name="__RefHeading___Toc21472_693750392"/>
      <w:bookmarkEnd w:id="40"/>
      <w:r>
        <w:rPr/>
        <w:t>POC-17: Concurrent Association Safety</w:t>
      </w:r>
    </w:p>
    <w:tbl>
      <w:tblPr>
        <w:tblStyle w:val="TableGrid"/>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cantSplit/>
        </w:trPr>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Attribute</w:t>
            </w:r>
          </w:p>
        </w:tc>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Value</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 ID</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POC-17</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 5: Engine Safety Controls</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Objective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Submit two concurrent VM creates against the same CRG and verify both succeed without association count corruption (related to placement race B-7 at platform layer).</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Gate</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1 Pilot</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Prerequisites</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POC-06 Pass; sufficient reserved capacity for two VMs</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Executed by</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Execution date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API version(s) used</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Region / SKU / Zone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4"/>
        <w:rPr/>
      </w:pPr>
      <w:r>
        <w:rPr/>
        <w:t>Test steps</w:t>
      </w:r>
    </w:p>
    <w:p>
      <w:pPr>
        <w:pStyle w:val="Normal"/>
        <w:spacing w:before="80" w:after="40"/>
        <w:rPr/>
      </w:pPr>
      <w:r>
        <w:rPr>
          <w:rFonts w:eastAsia="Calibri"/>
          <w:b/>
          <w:i w:val="false"/>
          <w:color w:val="0B3D5C"/>
          <w:sz w:val="21"/>
        </w:rPr>
        <w:t xml:space="preserve">1. </w:t>
      </w:r>
      <w:r>
        <w:rPr>
          <w:rFonts w:eastAsia="Calibri"/>
          <w:b w:val="false"/>
          <w:i w:val="false"/>
          <w:color w:val="1A1A1A"/>
          <w:sz w:val="21"/>
        </w:rPr>
        <w:t>Open two parallel shells with consumer or provider context as designed</w:t>
      </w:r>
    </w:p>
    <w:p>
      <w:pPr>
        <w:pStyle w:val="Normal"/>
        <w:spacing w:before="80" w:after="40"/>
        <w:rPr/>
      </w:pPr>
      <w:r>
        <w:rPr>
          <w:rFonts w:eastAsia="Calibri"/>
          <w:b/>
          <w:i w:val="false"/>
          <w:color w:val="0B3D5C"/>
          <w:sz w:val="21"/>
        </w:rPr>
        <w:t xml:space="preserve">2. </w:t>
      </w:r>
      <w:r>
        <w:rPr>
          <w:rFonts w:eastAsia="Calibri"/>
          <w:b w:val="false"/>
          <w:i w:val="false"/>
          <w:color w:val="1A1A1A"/>
          <w:sz w:val="21"/>
        </w:rPr>
        <w:t>Simultaneously run two az vm create commands targeting the same CRG resource ID with distinct VM names</w:t>
      </w:r>
    </w:p>
    <w:p>
      <w:pPr>
        <w:pStyle w:val="Normal"/>
        <w:spacing w:before="80" w:after="40"/>
        <w:rPr/>
      </w:pPr>
      <w:r>
        <w:rPr>
          <w:rFonts w:eastAsia="Calibri"/>
          <w:b/>
          <w:i w:val="false"/>
          <w:color w:val="0B3D5C"/>
          <w:sz w:val="21"/>
        </w:rPr>
        <w:t xml:space="preserve">3. </w:t>
      </w:r>
      <w:r>
        <w:rPr>
          <w:rFonts w:eastAsia="Calibri"/>
          <w:b w:val="false"/>
          <w:i w:val="false"/>
          <w:color w:val="1A1A1A"/>
          <w:sz w:val="21"/>
        </w:rPr>
        <w:t>Wait for both to complete; capture exit codes and error bodies</w:t>
      </w:r>
    </w:p>
    <w:p>
      <w:pPr>
        <w:pStyle w:val="Normal"/>
        <w:spacing w:before="80" w:after="40"/>
        <w:rPr/>
      </w:pPr>
      <w:r>
        <w:rPr>
          <w:rFonts w:eastAsia="Calibri"/>
          <w:b/>
          <w:i w:val="false"/>
          <w:color w:val="0B3D5C"/>
          <w:sz w:val="21"/>
        </w:rPr>
        <w:t xml:space="preserve">4. </w:t>
      </w:r>
      <w:r>
        <w:rPr>
          <w:rFonts w:eastAsia="Calibri"/>
          <w:b w:val="false"/>
          <w:i w:val="false"/>
          <w:color w:val="1A1A1A"/>
          <w:sz w:val="21"/>
        </w:rPr>
        <w:t>Check count:</w:t>
      </w:r>
    </w:p>
    <w:p>
      <w:pPr>
        <w:pStyle w:val="CodeBlock"/>
        <w:shd w:val="clear" w:fill="F4F6F8"/>
        <w:rPr/>
      </w:pPr>
      <w:r>
        <w:rPr>
          <w:rFonts w:cs="Consolas"/>
          <w:b w:val="false"/>
          <w:i w:val="false"/>
          <w:color w:val="1A1A1A"/>
          <w:sz w:val="17"/>
        </w:rPr>
        <w:t>az capacity reservation show --resource-group &lt;PROVIDER_RG&gt; --capacity-reservation-group &lt;CRG_NAME&gt; --name &lt;CR_NAME&gt; --query virtualMachinesAssociated -o json</w:t>
      </w:r>
    </w:p>
    <w:p>
      <w:pPr>
        <w:pStyle w:val="Normal"/>
        <w:spacing w:before="80" w:after="40"/>
        <w:rPr/>
      </w:pPr>
      <w:r>
        <w:rPr>
          <w:rFonts w:eastAsia="Calibri"/>
          <w:b/>
          <w:i w:val="false"/>
          <w:color w:val="0B3D5C"/>
          <w:sz w:val="21"/>
        </w:rPr>
        <w:t xml:space="preserve">5. </w:t>
      </w:r>
      <w:r>
        <w:rPr>
          <w:rFonts w:eastAsia="Calibri"/>
          <w:b w:val="false"/>
          <w:i w:val="false"/>
          <w:color w:val="1A1A1A"/>
          <w:sz w:val="21"/>
        </w:rPr>
        <w:t>Verify each VM association individually</w:t>
      </w:r>
    </w:p>
    <w:p>
      <w:pPr>
        <w:pStyle w:val="Heading4"/>
        <w:rPr/>
      </w:pPr>
      <w:r>
        <w:rPr/>
        <w:t>Expected result</w:t>
      </w:r>
    </w:p>
    <w:p>
      <w:pPr>
        <w:pStyle w:val="Normal"/>
        <w:rPr/>
      </w:pPr>
      <w:r>
        <w:rPr>
          <w:rFonts w:eastAsia="Calibri"/>
          <w:b w:val="false"/>
          <w:i w:val="false"/>
          <w:color w:val="1A1A1A"/>
          <w:sz w:val="21"/>
        </w:rPr>
        <w:t>Both VMs associated; count matches successful creates; no silent count mismatch. Record any partial failure for engine hold-design input.</w:t>
      </w:r>
    </w:p>
    <w:p>
      <w:pPr>
        <w:pStyle w:val="Heading4"/>
        <w:rPr/>
      </w:pPr>
      <w:r>
        <w:rPr/>
        <w:t>Result capture</w:t>
      </w:r>
    </w:p>
    <w:tbl>
      <w:tblPr>
        <w:tblStyle w:val="TableGrid"/>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cantSplit/>
        </w:trPr>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Field</w:t>
            </w:r>
          </w:p>
        </w:tc>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Entry</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Actual Result</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Status</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 / [Pass] / [Fail] / [Blocked]</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Notes / Blocker</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Evidence refs (request IDs, timestamps)</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4"/>
        <w:rPr/>
      </w:pPr>
      <w:r>
        <w:rPr/>
        <w:t>Step-level observations (optional)</w:t>
      </w:r>
    </w:p>
    <w:tbl>
      <w:tblPr>
        <w:tblStyle w:val="TableGrid"/>
        <w:tblW w:w="963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213"/>
        <w:gridCol w:w="3213"/>
        <w:gridCol w:w="3213"/>
      </w:tblGrid>
      <w:tr>
        <w:trPr>
          <w:cantSplit/>
        </w:trPr>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Step #</w:t>
            </w:r>
          </w:p>
        </w:tc>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Observed output / request ID</w:t>
            </w:r>
          </w:p>
        </w:tc>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Pass?</w:t>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1</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2</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3</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4</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5</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3"/>
        <w:rPr/>
      </w:pPr>
      <w:bookmarkStart w:id="41" w:name="__RefHeading___Toc21474_693750392"/>
      <w:bookmarkEnd w:id="41"/>
      <w:r>
        <w:rPr/>
        <w:t>POC-18: Tier 1 Automatic Capacity Increase</w:t>
      </w:r>
    </w:p>
    <w:tbl>
      <w:tblPr>
        <w:tblStyle w:val="TableGrid"/>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cantSplit/>
        </w:trPr>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Attribute</w:t>
            </w:r>
          </w:p>
        </w:tc>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Value</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 ID</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POC-18</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 5: Engine Safety Controls</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Objective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Validate Tier 1 direct DR expansion path through the engine when DR_EVENT_ACTIVE and headroom checks pass. Phase 2 automation; Phase 1 remains approval-gated for auto-increase (A-15).</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Gate</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2 Controlled Automation</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Prerequisites</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Engine deployed with mode gate implemented (G-15); DR_EVENT_ACTIVE can be declared in test; POC-11 Pass</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Executed by</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Execution date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API version(s) used</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Region / SKU / Zone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4"/>
        <w:rPr/>
      </w:pPr>
      <w:r>
        <w:rPr/>
        <w:t>Test steps</w:t>
      </w:r>
    </w:p>
    <w:p>
      <w:pPr>
        <w:pStyle w:val="Normal"/>
        <w:spacing w:before="80" w:after="40"/>
        <w:rPr/>
      </w:pPr>
      <w:r>
        <w:rPr>
          <w:rFonts w:eastAsia="Calibri"/>
          <w:b/>
          <w:i w:val="false"/>
          <w:color w:val="0B3D5C"/>
          <w:sz w:val="21"/>
        </w:rPr>
        <w:t xml:space="preserve">1. </w:t>
      </w:r>
      <w:r>
        <w:rPr>
          <w:rFonts w:eastAsia="Calibri"/>
          <w:b w:val="false"/>
          <w:i w:val="false"/>
          <w:color w:val="1A1A1A"/>
          <w:sz w:val="21"/>
        </w:rPr>
        <w:t>Confirm engine mode is DR_EVENT_ACTIVE via engine API GET /dr/incidents or equivalent</w:t>
      </w:r>
    </w:p>
    <w:p>
      <w:pPr>
        <w:pStyle w:val="Normal"/>
        <w:spacing w:before="80" w:after="40"/>
        <w:rPr/>
      </w:pPr>
      <w:r>
        <w:rPr>
          <w:rFonts w:eastAsia="Calibri"/>
          <w:b/>
          <w:i w:val="false"/>
          <w:color w:val="0B3D5C"/>
          <w:sz w:val="21"/>
        </w:rPr>
        <w:t xml:space="preserve">2. </w:t>
      </w:r>
      <w:r>
        <w:rPr>
          <w:rFonts w:eastAsia="Calibri"/>
          <w:b w:val="false"/>
          <w:i w:val="false"/>
          <w:color w:val="1A1A1A"/>
          <w:sz w:val="21"/>
        </w:rPr>
        <w:t>Submit Tier 1 increase: POST /capacity/emergency-transfer (or /capacity/increase-requests) with tier=1, idempotency key, incident ID</w:t>
      </w:r>
    </w:p>
    <w:p>
      <w:pPr>
        <w:pStyle w:val="Normal"/>
        <w:spacing w:before="80" w:after="40"/>
        <w:rPr/>
      </w:pPr>
      <w:r>
        <w:rPr>
          <w:rFonts w:eastAsia="Calibri"/>
          <w:b/>
          <w:i w:val="false"/>
          <w:color w:val="0B3D5C"/>
          <w:sz w:val="21"/>
        </w:rPr>
        <w:t xml:space="preserve">3. </w:t>
      </w:r>
      <w:r>
        <w:rPr>
          <w:rFonts w:eastAsia="Calibri"/>
          <w:b w:val="false"/>
          <w:i w:val="false"/>
          <w:color w:val="1A1A1A"/>
          <w:sz w:val="21"/>
        </w:rPr>
        <w:t>Poll GET /operations/{id} until terminal state</w:t>
      </w:r>
    </w:p>
    <w:p>
      <w:pPr>
        <w:pStyle w:val="Normal"/>
        <w:spacing w:before="80" w:after="40"/>
        <w:rPr/>
      </w:pPr>
      <w:r>
        <w:rPr>
          <w:rFonts w:eastAsia="Calibri"/>
          <w:b/>
          <w:i w:val="false"/>
          <w:color w:val="0B3D5C"/>
          <w:sz w:val="21"/>
        </w:rPr>
        <w:t xml:space="preserve">4. </w:t>
      </w:r>
      <w:r>
        <w:rPr>
          <w:rFonts w:eastAsia="Calibri"/>
          <w:b w:val="false"/>
          <w:i w:val="false"/>
          <w:color w:val="1A1A1A"/>
          <w:sz w:val="21"/>
        </w:rPr>
        <w:t>Verify Azure quantity:</w:t>
      </w:r>
    </w:p>
    <w:p>
      <w:pPr>
        <w:pStyle w:val="CodeBlock"/>
        <w:shd w:val="clear" w:fill="F4F6F8"/>
        <w:rPr/>
      </w:pPr>
      <w:r>
        <w:rPr>
          <w:rFonts w:cs="Consolas"/>
          <w:b w:val="false"/>
          <w:i w:val="false"/>
          <w:color w:val="1A1A1A"/>
          <w:sz w:val="17"/>
        </w:rPr>
        <w:t>az capacity reservation show --resource-group &lt;PROVIDER_RG&gt; --capacity-reservation-group &lt;DR_CRG_NAME&gt; --name &lt;DR_CR_NAME&gt; --query sku.capacity -o tsv</w:t>
      </w:r>
    </w:p>
    <w:p>
      <w:pPr>
        <w:pStyle w:val="Normal"/>
        <w:spacing w:before="80" w:after="40"/>
        <w:rPr/>
      </w:pPr>
      <w:r>
        <w:rPr>
          <w:rFonts w:eastAsia="Calibri"/>
          <w:b/>
          <w:i w:val="false"/>
          <w:color w:val="0B3D5C"/>
          <w:sz w:val="21"/>
        </w:rPr>
        <w:t xml:space="preserve">5. </w:t>
      </w:r>
      <w:r>
        <w:rPr>
          <w:rFonts w:eastAsia="Calibri"/>
          <w:b w:val="false"/>
          <w:i w:val="false"/>
          <w:color w:val="1A1A1A"/>
          <w:sz w:val="21"/>
        </w:rPr>
        <w:t>Verify audit log entry in engine store with timestamp and operation ID</w:t>
      </w:r>
    </w:p>
    <w:p>
      <w:pPr>
        <w:pStyle w:val="Heading4"/>
        <w:rPr/>
      </w:pPr>
      <w:r>
        <w:rPr/>
        <w:t>Expected result</w:t>
      </w:r>
    </w:p>
    <w:p>
      <w:pPr>
        <w:pStyle w:val="Normal"/>
        <w:rPr/>
      </w:pPr>
      <w:r>
        <w:rPr>
          <w:rFonts w:eastAsia="Calibri"/>
          <w:b w:val="false"/>
          <w:i w:val="false"/>
          <w:color w:val="1A1A1A"/>
          <w:sz w:val="21"/>
        </w:rPr>
        <w:t>Increase processed per phase policy; quantity updated; audit entry present. If Phase 1 build: request remains approval-gated rather than fully automatic.</w:t>
      </w:r>
    </w:p>
    <w:p>
      <w:pPr>
        <w:pStyle w:val="Heading4"/>
        <w:rPr/>
      </w:pPr>
      <w:r>
        <w:rPr/>
        <w:t>Result capture</w:t>
      </w:r>
    </w:p>
    <w:tbl>
      <w:tblPr>
        <w:tblStyle w:val="TableGrid"/>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cantSplit/>
        </w:trPr>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Field</w:t>
            </w:r>
          </w:p>
        </w:tc>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Entry</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Actual Result</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Status</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 / [Pass] / [Fail] / [Blocked]</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Notes / Blocker</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Evidence refs (request IDs, timestamps)</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4"/>
        <w:rPr/>
      </w:pPr>
      <w:r>
        <w:rPr/>
        <w:t>Step-level observations (optional)</w:t>
      </w:r>
    </w:p>
    <w:tbl>
      <w:tblPr>
        <w:tblStyle w:val="TableGrid"/>
        <w:tblW w:w="963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213"/>
        <w:gridCol w:w="3213"/>
        <w:gridCol w:w="3213"/>
      </w:tblGrid>
      <w:tr>
        <w:trPr>
          <w:cantSplit/>
        </w:trPr>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Step #</w:t>
            </w:r>
          </w:p>
        </w:tc>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Observed output / request ID</w:t>
            </w:r>
          </w:p>
        </w:tc>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Pass?</w:t>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1</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2</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3</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4</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5</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3"/>
        <w:rPr/>
      </w:pPr>
      <w:bookmarkStart w:id="42" w:name="__RefHeading___Toc21476_693750392"/>
      <w:bookmarkEnd w:id="42"/>
      <w:r>
        <w:rPr/>
        <w:t>POC-19: Tier 2 Approval Gate</w:t>
      </w:r>
    </w:p>
    <w:tbl>
      <w:tblPr>
        <w:tblStyle w:val="TableGrid"/>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cantSplit/>
        </w:trPr>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Attribute</w:t>
            </w:r>
          </w:p>
        </w:tc>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Value</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 ID</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POC-19</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 5: Engine Safety Controls</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Objective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Confirm Tier 2 quota-neutral transfer requires approval and does not auto-process. Tier 2 disabled until POC-31/32 pass.</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Gate</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2 Controlled Automation</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Prerequisites</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Engine deployed with approval workflow; POC-31 and POC-32 Pass; feature flag for Tier 2 enabled in test only</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Executed by</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Execution date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API version(s) used</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Region / SKU / Zone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4"/>
        <w:rPr/>
      </w:pPr>
      <w:r>
        <w:rPr/>
        <w:t>Test steps</w:t>
      </w:r>
    </w:p>
    <w:p>
      <w:pPr>
        <w:pStyle w:val="Normal"/>
        <w:spacing w:before="80" w:after="40"/>
        <w:rPr/>
      </w:pPr>
      <w:r>
        <w:rPr>
          <w:rFonts w:eastAsia="Calibri"/>
          <w:b/>
          <w:i w:val="false"/>
          <w:color w:val="0B3D5C"/>
          <w:sz w:val="21"/>
        </w:rPr>
        <w:t xml:space="preserve">1. </w:t>
      </w:r>
      <w:r>
        <w:rPr>
          <w:rFonts w:eastAsia="Calibri"/>
          <w:b w:val="false"/>
          <w:i w:val="false"/>
          <w:color w:val="1A1A1A"/>
          <w:sz w:val="21"/>
        </w:rPr>
        <w:t>Submit Tier 2 operation through engine API with incident ID and impact preview</w:t>
      </w:r>
    </w:p>
    <w:p>
      <w:pPr>
        <w:pStyle w:val="Normal"/>
        <w:spacing w:before="80" w:after="40"/>
        <w:rPr/>
      </w:pPr>
      <w:r>
        <w:rPr>
          <w:rFonts w:eastAsia="Calibri"/>
          <w:b/>
          <w:i w:val="false"/>
          <w:color w:val="0B3D5C"/>
          <w:sz w:val="21"/>
        </w:rPr>
        <w:t xml:space="preserve">2. </w:t>
      </w:r>
      <w:r>
        <w:rPr>
          <w:rFonts w:eastAsia="Calibri"/>
          <w:b w:val="false"/>
          <w:i w:val="false"/>
          <w:color w:val="1A1A1A"/>
          <w:sz w:val="21"/>
        </w:rPr>
        <w:t>Wait 5 minutes; verify operation remains Pending (not auto-processed)</w:t>
      </w:r>
    </w:p>
    <w:p>
      <w:pPr>
        <w:pStyle w:val="Normal"/>
        <w:spacing w:before="80" w:after="40"/>
        <w:rPr/>
      </w:pPr>
      <w:r>
        <w:rPr>
          <w:rFonts w:eastAsia="Calibri"/>
          <w:b/>
          <w:i w:val="false"/>
          <w:color w:val="0B3D5C"/>
          <w:sz w:val="21"/>
        </w:rPr>
        <w:t xml:space="preserve">3. </w:t>
      </w:r>
      <w:r>
        <w:rPr>
          <w:rFonts w:eastAsia="Calibri"/>
          <w:b w:val="false"/>
          <w:i w:val="false"/>
          <w:color w:val="1A1A1A"/>
          <w:sz w:val="21"/>
        </w:rPr>
        <w:t>Submit approval through the approval mechanism</w:t>
      </w:r>
    </w:p>
    <w:p>
      <w:pPr>
        <w:pStyle w:val="Normal"/>
        <w:spacing w:before="80" w:after="40"/>
        <w:rPr/>
      </w:pPr>
      <w:r>
        <w:rPr>
          <w:rFonts w:eastAsia="Calibri"/>
          <w:b/>
          <w:i w:val="false"/>
          <w:color w:val="0B3D5C"/>
          <w:sz w:val="21"/>
        </w:rPr>
        <w:t xml:space="preserve">4. </w:t>
      </w:r>
      <w:r>
        <w:rPr>
          <w:rFonts w:eastAsia="Calibri"/>
          <w:b w:val="false"/>
          <w:i w:val="false"/>
          <w:color w:val="1A1A1A"/>
          <w:sz w:val="21"/>
        </w:rPr>
        <w:t>Poll operation to completion</w:t>
      </w:r>
    </w:p>
    <w:p>
      <w:pPr>
        <w:pStyle w:val="Normal"/>
        <w:spacing w:before="80" w:after="40"/>
        <w:rPr/>
      </w:pPr>
      <w:r>
        <w:rPr>
          <w:rFonts w:eastAsia="Calibri"/>
          <w:b/>
          <w:i w:val="false"/>
          <w:color w:val="0B3D5C"/>
          <w:sz w:val="21"/>
        </w:rPr>
        <w:t xml:space="preserve">5. </w:t>
      </w:r>
      <w:r>
        <w:rPr>
          <w:rFonts w:eastAsia="Calibri"/>
          <w:b w:val="false"/>
          <w:i w:val="false"/>
          <w:color w:val="1A1A1A"/>
          <w:sz w:val="21"/>
        </w:rPr>
        <w:t>Verify NonProd reduction and DR expansion only after authoritative quota headroom visible; no fixed sleep-based assumption</w:t>
      </w:r>
    </w:p>
    <w:p>
      <w:pPr>
        <w:pStyle w:val="Heading4"/>
        <w:rPr/>
      </w:pPr>
      <w:r>
        <w:rPr/>
        <w:t>Expected result</w:t>
      </w:r>
    </w:p>
    <w:p>
      <w:pPr>
        <w:pStyle w:val="Normal"/>
        <w:rPr/>
      </w:pPr>
      <w:r>
        <w:rPr>
          <w:rFonts w:eastAsia="Calibri"/>
          <w:b w:val="false"/>
          <w:i w:val="false"/>
          <w:color w:val="1A1A1A"/>
          <w:sz w:val="21"/>
        </w:rPr>
        <w:t>Time in pending state recorded; approval required; completion only after approval; NonProd assurance impact recorded.</w:t>
      </w:r>
    </w:p>
    <w:p>
      <w:pPr>
        <w:pStyle w:val="Heading4"/>
        <w:rPr/>
      </w:pPr>
      <w:r>
        <w:rPr/>
        <w:t>Result capture</w:t>
      </w:r>
    </w:p>
    <w:tbl>
      <w:tblPr>
        <w:tblStyle w:val="TableGrid"/>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cantSplit/>
        </w:trPr>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Field</w:t>
            </w:r>
          </w:p>
        </w:tc>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Entry</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Actual Result</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Status</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 / [Pass] / [Fail] / [Blocked]</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Notes / Blocker</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Evidence refs (request IDs, timestamps)</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4"/>
        <w:rPr/>
      </w:pPr>
      <w:r>
        <w:rPr/>
        <w:t>Step-level observations (optional)</w:t>
      </w:r>
    </w:p>
    <w:tbl>
      <w:tblPr>
        <w:tblStyle w:val="TableGrid"/>
        <w:tblW w:w="963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213"/>
        <w:gridCol w:w="3213"/>
        <w:gridCol w:w="3213"/>
      </w:tblGrid>
      <w:tr>
        <w:trPr>
          <w:cantSplit/>
        </w:trPr>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Step #</w:t>
            </w:r>
          </w:p>
        </w:tc>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Observed output / request ID</w:t>
            </w:r>
          </w:p>
        </w:tc>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Pass?</w:t>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1</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2</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3</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4</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5</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3"/>
        <w:rPr/>
      </w:pPr>
      <w:bookmarkStart w:id="43" w:name="__RefHeading___Toc21478_693750392"/>
      <w:bookmarkEnd w:id="43"/>
      <w:r>
        <w:rPr/>
        <w:t>POC-20: Tier 3 Rejection in Phase 1</w:t>
      </w:r>
    </w:p>
    <w:tbl>
      <w:tblPr>
        <w:tblStyle w:val="TableGrid"/>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cantSplit/>
        </w:trPr>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Attribute</w:t>
            </w:r>
          </w:p>
        </w:tc>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Value</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 ID</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POC-20</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 5: Engine Safety Controls</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Objective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Prove Phase 1 engine rejects Tier 3 destructive VM disassociation requests with no partial Azure mutation (G-14 blocker).</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Gate</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1 Pilot</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Prerequisites</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Engine deployed in Phase 1 mode with Tier 3 disabled</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Executed by</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Execution date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API version(s) used</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Region / SKU / Zone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4"/>
        <w:rPr/>
      </w:pPr>
      <w:r>
        <w:rPr/>
        <w:t>Test steps</w:t>
      </w:r>
    </w:p>
    <w:p>
      <w:pPr>
        <w:pStyle w:val="Normal"/>
        <w:spacing w:before="80" w:after="40"/>
        <w:rPr/>
      </w:pPr>
      <w:r>
        <w:rPr>
          <w:rFonts w:eastAsia="Calibri"/>
          <w:b/>
          <w:i w:val="false"/>
          <w:color w:val="0B3D5C"/>
          <w:sz w:val="21"/>
        </w:rPr>
        <w:t xml:space="preserve">1. </w:t>
      </w:r>
      <w:r>
        <w:rPr>
          <w:rFonts w:eastAsia="Calibri"/>
          <w:b w:val="false"/>
          <w:i w:val="false"/>
          <w:color w:val="1A1A1A"/>
          <w:sz w:val="21"/>
        </w:rPr>
        <w:t>Submit a Tier 3 emergency transfer including a vm_disassociation_list to the engine API</w:t>
      </w:r>
    </w:p>
    <w:p>
      <w:pPr>
        <w:pStyle w:val="Normal"/>
        <w:spacing w:before="80" w:after="40"/>
        <w:rPr/>
      </w:pPr>
      <w:r>
        <w:rPr>
          <w:rFonts w:eastAsia="Calibri"/>
          <w:b/>
          <w:i w:val="false"/>
          <w:color w:val="0B3D5C"/>
          <w:sz w:val="21"/>
        </w:rPr>
        <w:t xml:space="preserve">2. </w:t>
      </w:r>
      <w:r>
        <w:rPr>
          <w:rFonts w:eastAsia="Calibri"/>
          <w:b w:val="false"/>
          <w:i w:val="false"/>
          <w:color w:val="1A1A1A"/>
          <w:sz w:val="21"/>
        </w:rPr>
        <w:t>Capture rejection response body and HTTP status</w:t>
      </w:r>
    </w:p>
    <w:p>
      <w:pPr>
        <w:pStyle w:val="Normal"/>
        <w:spacing w:before="80" w:after="40"/>
        <w:rPr/>
      </w:pPr>
      <w:r>
        <w:rPr>
          <w:rFonts w:eastAsia="Calibri"/>
          <w:b/>
          <w:i w:val="false"/>
          <w:color w:val="0B3D5C"/>
          <w:sz w:val="21"/>
        </w:rPr>
        <w:t xml:space="preserve">3. </w:t>
      </w:r>
      <w:r>
        <w:rPr>
          <w:rFonts w:eastAsia="Calibri"/>
          <w:b w:val="false"/>
          <w:i w:val="false"/>
          <w:color w:val="1A1A1A"/>
          <w:sz w:val="21"/>
        </w:rPr>
        <w:t>Verify no CR quantity change and no VM association change occurred in Azure</w:t>
      </w:r>
    </w:p>
    <w:p>
      <w:pPr>
        <w:pStyle w:val="Normal"/>
        <w:spacing w:before="80" w:after="40"/>
        <w:rPr/>
      </w:pPr>
      <w:r>
        <w:rPr>
          <w:rFonts w:eastAsia="Calibri"/>
          <w:b/>
          <w:i w:val="false"/>
          <w:color w:val="0B3D5C"/>
          <w:sz w:val="21"/>
        </w:rPr>
        <w:t xml:space="preserve">4. </w:t>
      </w:r>
      <w:r>
        <w:rPr>
          <w:rFonts w:eastAsia="Calibri"/>
          <w:b w:val="false"/>
          <w:i w:val="false"/>
          <w:color w:val="1A1A1A"/>
          <w:sz w:val="21"/>
        </w:rPr>
        <w:t>Verify rejection is logged in the audit trail (Tier3AttemptBlocked)</w:t>
      </w:r>
    </w:p>
    <w:p>
      <w:pPr>
        <w:pStyle w:val="Normal"/>
        <w:spacing w:before="80" w:after="40"/>
        <w:rPr/>
      </w:pPr>
      <w:r>
        <w:rPr>
          <w:rFonts w:eastAsia="Calibri"/>
          <w:b/>
          <w:i w:val="false"/>
          <w:color w:val="0B3D5C"/>
          <w:sz w:val="21"/>
        </w:rPr>
        <w:t xml:space="preserve">5. </w:t>
      </w:r>
      <w:r>
        <w:rPr>
          <w:rFonts w:eastAsia="Calibri"/>
          <w:b w:val="false"/>
          <w:i w:val="false"/>
          <w:color w:val="1A1A1A"/>
          <w:sz w:val="21"/>
        </w:rPr>
        <w:t>Optionally submit a VMSS target and confirm VMSSEmergencyAttempt rejection</w:t>
      </w:r>
    </w:p>
    <w:p>
      <w:pPr>
        <w:pStyle w:val="Heading4"/>
        <w:rPr/>
      </w:pPr>
      <w:r>
        <w:rPr/>
        <w:t>Expected result</w:t>
      </w:r>
    </w:p>
    <w:p>
      <w:pPr>
        <w:pStyle w:val="Normal"/>
        <w:rPr/>
      </w:pPr>
      <w:r>
        <w:rPr>
          <w:rFonts w:eastAsia="Calibri"/>
          <w:b w:val="false"/>
          <w:i w:val="false"/>
          <w:color w:val="1A1A1A"/>
          <w:sz w:val="21"/>
        </w:rPr>
        <w:t>Clear rejection requiring manual intervention / future enablement; no capacity or association changes; rejection logged.</w:t>
      </w:r>
    </w:p>
    <w:p>
      <w:pPr>
        <w:pStyle w:val="Heading4"/>
        <w:rPr/>
      </w:pPr>
      <w:r>
        <w:rPr/>
        <w:t>Result capture</w:t>
      </w:r>
    </w:p>
    <w:tbl>
      <w:tblPr>
        <w:tblStyle w:val="TableGrid"/>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cantSplit/>
        </w:trPr>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Field</w:t>
            </w:r>
          </w:p>
        </w:tc>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Entry</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Actual Result</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Status</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 / [Pass] / [Fail] / [Blocked]</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Notes / Blocker</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Evidence refs (request IDs, timestamps)</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4"/>
        <w:rPr/>
      </w:pPr>
      <w:r>
        <w:rPr/>
        <w:t>Step-level observations (optional)</w:t>
      </w:r>
    </w:p>
    <w:tbl>
      <w:tblPr>
        <w:tblStyle w:val="TableGrid"/>
        <w:tblW w:w="963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213"/>
        <w:gridCol w:w="3213"/>
        <w:gridCol w:w="3213"/>
      </w:tblGrid>
      <w:tr>
        <w:trPr>
          <w:cantSplit/>
        </w:trPr>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Step #</w:t>
            </w:r>
          </w:p>
        </w:tc>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Observed output / request ID</w:t>
            </w:r>
          </w:p>
        </w:tc>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Pass?</w:t>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1</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2</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3</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4</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5</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3"/>
        <w:rPr/>
      </w:pPr>
      <w:bookmarkStart w:id="44" w:name="__RefHeading___Toc21480_693750392"/>
      <w:bookmarkEnd w:id="44"/>
      <w:r>
        <w:rPr/>
        <w:t>G5 group roll-up sign-off</w:t>
      </w:r>
    </w:p>
    <w:tbl>
      <w:tblPr>
        <w:tblStyle w:val="TableGrid"/>
        <w:tblW w:w="96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409"/>
        <w:gridCol w:w="2409"/>
        <w:gridCol w:w="2409"/>
        <w:gridCol w:w="2409"/>
      </w:tblGrid>
      <w:tr>
        <w:trPr>
          <w:cantSplit/>
        </w:trPr>
        <w:tc>
          <w:tcPr>
            <w:tcW w:w="240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Check</w:t>
            </w:r>
          </w:p>
        </w:tc>
        <w:tc>
          <w:tcPr>
            <w:tcW w:w="240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Result</w:t>
            </w:r>
          </w:p>
        </w:tc>
        <w:tc>
          <w:tcPr>
            <w:tcW w:w="240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Initials</w:t>
            </w:r>
          </w:p>
        </w:tc>
        <w:tc>
          <w:tcPr>
            <w:tcW w:w="240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Date</w:t>
            </w:r>
          </w:p>
        </w:tc>
      </w:tr>
      <w:tr>
        <w:trPr>
          <w:cantSplit/>
        </w:trPr>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All POCs in group executed or formally waived</w:t>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Evidence retained (API version, region, SKU, IDs)</w:t>
            </w:r>
          </w:p>
        </w:tc>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Blockers logged in §7</w:t>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Cleanup completed or retention justified</w:t>
            </w:r>
          </w:p>
        </w:tc>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 approved to unlock dependents</w:t>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2"/>
        <w:rPr/>
      </w:pPr>
      <w:bookmarkStart w:id="45" w:name="__RefHeading___Toc21482_693750392"/>
      <w:bookmarkEnd w:id="45"/>
      <w:r>
        <w:rPr/>
        <w:t>Group 6: AKS and VMSS Behaviour</w:t>
      </w:r>
    </w:p>
    <w:p>
      <w:pPr>
        <w:pStyle w:val="Normal"/>
        <w:rPr/>
      </w:pPr>
      <w:r>
        <w:rPr>
          <w:rFonts w:eastAsia="Calibri"/>
          <w:b w:val="false"/>
          <w:i w:val="false"/>
          <w:color w:val="1A1A1A"/>
          <w:sz w:val="21"/>
        </w:rPr>
        <w:t>Validates workload integration. AKS existing node-pool CRG change requires recreation (FC-18). VMSS Uniform and Flexible must be tested separately. VMSS reprovisioning via shared CRG during zone outage is a Preview limitation (FC-08, R-42). Tier 3 VMSS is blocked in Phase 1.</w:t>
      </w:r>
    </w:p>
    <w:p>
      <w:pPr>
        <w:pStyle w:val="Normal"/>
        <w:rPr/>
      </w:pPr>
      <w:r>
        <w:rPr>
          <w:rFonts w:eastAsia="Calibri"/>
          <w:b w:val="false"/>
          <w:i/>
          <w:color w:val="555555"/>
          <w:sz w:val="20"/>
        </w:rPr>
        <w:t>Group contains 6 POC entries. Complete result capture for every entry before signing the group roll-up below.</w:t>
      </w:r>
    </w:p>
    <w:p>
      <w:pPr>
        <w:pStyle w:val="Heading3"/>
        <w:rPr/>
      </w:pPr>
      <w:bookmarkStart w:id="46" w:name="__RefHeading___Toc21484_693750392"/>
      <w:bookmarkEnd w:id="46"/>
      <w:r>
        <w:rPr/>
        <w:t>POC-AKS-01: AKS Node Pool CRG Association at Creation</w:t>
      </w:r>
    </w:p>
    <w:tbl>
      <w:tblPr>
        <w:tblStyle w:val="TableGrid"/>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cantSplit/>
        </w:trPr>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Attribute</w:t>
            </w:r>
          </w:p>
        </w:tc>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Value</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 ID</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POC-AKS-01</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 6: AKS and VMSS Behaviour</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Objective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Create an AKS node pool with a CRG reference and confirm capacityReservationGroupId is set.</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Gate</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2 Controlled Automation</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Prerequisites</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POC-08 Pass (cross-sub sharing confirmed if applicable); AKS cluster available; zone/SKU/quota checks passed</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Executed by</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Execution date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API version(s) used</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Region / SKU / Zone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4"/>
        <w:rPr/>
      </w:pPr>
      <w:r>
        <w:rPr/>
        <w:t>Test steps</w:t>
      </w:r>
    </w:p>
    <w:p>
      <w:pPr>
        <w:pStyle w:val="Normal"/>
        <w:spacing w:before="80" w:after="40"/>
        <w:rPr/>
      </w:pPr>
      <w:r>
        <w:rPr>
          <w:rFonts w:eastAsia="Calibri"/>
          <w:b/>
          <w:i w:val="false"/>
          <w:color w:val="0B3D5C"/>
          <w:sz w:val="21"/>
        </w:rPr>
        <w:t xml:space="preserve">1. </w:t>
      </w:r>
      <w:r>
        <w:rPr>
          <w:rFonts w:eastAsia="Calibri"/>
          <w:b w:val="false"/>
          <w:i w:val="false"/>
          <w:color w:val="1A1A1A"/>
          <w:sz w:val="21"/>
        </w:rPr>
        <w:t>Run:</w:t>
      </w:r>
    </w:p>
    <w:p>
      <w:pPr>
        <w:pStyle w:val="CodeBlock"/>
        <w:shd w:val="clear" w:fill="F4F6F8"/>
        <w:rPr/>
      </w:pPr>
      <w:r>
        <w:rPr>
          <w:rFonts w:cs="Consolas"/>
          <w:b w:val="false"/>
          <w:i w:val="false"/>
          <w:color w:val="1A1A1A"/>
          <w:sz w:val="17"/>
        </w:rPr>
        <w:t>az aks nodepool add --resource-group &lt;RG&gt; --cluster-name &lt;CLUSTER_NAME&gt; --name &lt;NODEPOOL_NAME&gt; --node-vm-size &lt;VM_SKU&gt; --capacity-reservation-group &lt;CRG_RESOURCE_ID&gt; --node-count 1</w:t>
      </w:r>
    </w:p>
    <w:p>
      <w:pPr>
        <w:pStyle w:val="Normal"/>
        <w:spacing w:before="80" w:after="40"/>
        <w:rPr/>
      </w:pPr>
      <w:r>
        <w:rPr>
          <w:rFonts w:eastAsia="Calibri"/>
          <w:b/>
          <w:i w:val="false"/>
          <w:color w:val="0B3D5C"/>
          <w:sz w:val="21"/>
        </w:rPr>
        <w:t xml:space="preserve">2. </w:t>
      </w:r>
      <w:r>
        <w:rPr>
          <w:rFonts w:eastAsia="Calibri"/>
          <w:b w:val="false"/>
          <w:i w:val="false"/>
          <w:color w:val="1A1A1A"/>
          <w:sz w:val="21"/>
        </w:rPr>
        <w:t>Verify:</w:t>
      </w:r>
    </w:p>
    <w:p>
      <w:pPr>
        <w:pStyle w:val="CodeBlock"/>
        <w:shd w:val="clear" w:fill="F4F6F8"/>
        <w:rPr/>
      </w:pPr>
      <w:r>
        <w:rPr>
          <w:rFonts w:cs="Consolas"/>
          <w:b w:val="false"/>
          <w:i w:val="false"/>
          <w:color w:val="1A1A1A"/>
          <w:sz w:val="17"/>
        </w:rPr>
        <w:t>az aks nodepool show --resource-group &lt;RG&gt; --cluster-name &lt;CLUSTER_NAME&gt; --name &lt;NODEPOOL_NAME&gt; --query capacityReservationGroupId -o tsv</w:t>
      </w:r>
    </w:p>
    <w:p>
      <w:pPr>
        <w:pStyle w:val="Normal"/>
        <w:spacing w:before="80" w:after="40"/>
        <w:rPr/>
      </w:pPr>
      <w:r>
        <w:rPr>
          <w:rFonts w:eastAsia="Calibri"/>
          <w:b/>
          <w:i w:val="false"/>
          <w:color w:val="0B3D5C"/>
          <w:sz w:val="21"/>
        </w:rPr>
        <w:t xml:space="preserve">3. </w:t>
      </w:r>
      <w:r>
        <w:rPr>
          <w:rFonts w:eastAsia="Calibri"/>
          <w:b w:val="false"/>
          <w:i w:val="false"/>
          <w:color w:val="1A1A1A"/>
          <w:sz w:val="21"/>
        </w:rPr>
        <w:t>Confirm nodes schedule and reservation associations increment as expected</w:t>
      </w:r>
    </w:p>
    <w:p>
      <w:pPr>
        <w:pStyle w:val="Heading4"/>
        <w:rPr/>
      </w:pPr>
      <w:r>
        <w:rPr/>
        <w:t>Expected result</w:t>
      </w:r>
    </w:p>
    <w:p>
      <w:pPr>
        <w:pStyle w:val="Normal"/>
        <w:rPr/>
      </w:pPr>
      <w:r>
        <w:rPr>
          <w:rFonts w:eastAsia="Calibri"/>
          <w:b w:val="false"/>
          <w:i w:val="false"/>
          <w:color w:val="1A1A1A"/>
          <w:sz w:val="21"/>
        </w:rPr>
        <w:t>Node pool created; capacityReservationGroupId equals CRG resource ID.</w:t>
      </w:r>
    </w:p>
    <w:p>
      <w:pPr>
        <w:pStyle w:val="Heading4"/>
        <w:rPr/>
      </w:pPr>
      <w:r>
        <w:rPr/>
        <w:t>Result capture</w:t>
      </w:r>
    </w:p>
    <w:tbl>
      <w:tblPr>
        <w:tblStyle w:val="TableGrid"/>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cantSplit/>
        </w:trPr>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Field</w:t>
            </w:r>
          </w:p>
        </w:tc>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Entry</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Actual Result</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Status</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 / [Pass] / [Fail] / [Blocked]</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Notes / Blocker</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Evidence refs (request IDs, timestamps)</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4"/>
        <w:rPr/>
      </w:pPr>
      <w:r>
        <w:rPr/>
        <w:t>Step-level observations (optional)</w:t>
      </w:r>
    </w:p>
    <w:tbl>
      <w:tblPr>
        <w:tblStyle w:val="TableGrid"/>
        <w:tblW w:w="963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213"/>
        <w:gridCol w:w="3213"/>
        <w:gridCol w:w="3213"/>
      </w:tblGrid>
      <w:tr>
        <w:trPr>
          <w:cantSplit/>
        </w:trPr>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Step #</w:t>
            </w:r>
          </w:p>
        </w:tc>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Observed output / request ID</w:t>
            </w:r>
          </w:p>
        </w:tc>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Pass?</w:t>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1</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2</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3</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3"/>
        <w:rPr/>
      </w:pPr>
      <w:bookmarkStart w:id="47" w:name="__RefHeading___Toc21486_693750392"/>
      <w:bookmarkEnd w:id="47"/>
      <w:r>
        <w:rPr/>
        <w:t>POC-AKS-02: Verify Existing Node Pool Requires Recreation for CRG Change (FC-18)</w:t>
      </w:r>
    </w:p>
    <w:tbl>
      <w:tblPr>
        <w:tblStyle w:val="TableGrid"/>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cantSplit/>
        </w:trPr>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Attribute</w:t>
            </w:r>
          </w:p>
        </w:tc>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Value</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 ID</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POC-AKS-02</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 6: AKS and VMSS Behaviour</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Objective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Document that changing CRG on an existing node pool is not an in-place update of existing nodes (AKS Node Disruption Policy).</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Gate</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1 Pilot</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Prerequisites</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POC-AKS-01 Pass</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Executed by</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Execution date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API version(s) used</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Region / SKU / Zone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4"/>
        <w:rPr/>
      </w:pPr>
      <w:r>
        <w:rPr/>
        <w:t>Test steps</w:t>
      </w:r>
    </w:p>
    <w:p>
      <w:pPr>
        <w:pStyle w:val="Normal"/>
        <w:spacing w:before="80" w:after="40"/>
        <w:rPr/>
      </w:pPr>
      <w:r>
        <w:rPr>
          <w:rFonts w:eastAsia="Calibri"/>
          <w:b/>
          <w:i w:val="false"/>
          <w:color w:val="0B3D5C"/>
          <w:sz w:val="21"/>
        </w:rPr>
        <w:t xml:space="preserve">1. </w:t>
      </w:r>
      <w:r>
        <w:rPr>
          <w:rFonts w:eastAsia="Calibri"/>
          <w:b w:val="false"/>
          <w:i w:val="false"/>
          <w:color w:val="1A1A1A"/>
          <w:sz w:val="21"/>
        </w:rPr>
        <w:t>Attempt update:</w:t>
      </w:r>
    </w:p>
    <w:p>
      <w:pPr>
        <w:pStyle w:val="CodeBlock"/>
        <w:shd w:val="clear" w:fill="F4F6F8"/>
        <w:rPr/>
      </w:pPr>
      <w:r>
        <w:rPr>
          <w:rFonts w:cs="Consolas"/>
          <w:b w:val="false"/>
          <w:i w:val="false"/>
          <w:color w:val="1A1A1A"/>
          <w:sz w:val="17"/>
        </w:rPr>
        <w:t>az aks nodepool update --resource-group &lt;RG&gt; --cluster-name &lt;CLUSTER_NAME&gt; --name &lt;NODEPOOL_NAME&gt; --capacity-reservation-group &lt;NEW_CRG_RESOURCE_ID&gt;</w:t>
      </w:r>
    </w:p>
    <w:p>
      <w:pPr>
        <w:pStyle w:val="Normal"/>
        <w:spacing w:before="80" w:after="40"/>
        <w:rPr/>
      </w:pPr>
      <w:r>
        <w:rPr>
          <w:rFonts w:eastAsia="Calibri"/>
          <w:b/>
          <w:i w:val="false"/>
          <w:color w:val="0B3D5C"/>
          <w:sz w:val="21"/>
        </w:rPr>
        <w:t xml:space="preserve">2. </w:t>
      </w:r>
      <w:r>
        <w:rPr>
          <w:rFonts w:eastAsia="Calibri"/>
          <w:b w:val="false"/>
          <w:i w:val="false"/>
          <w:color w:val="1A1A1A"/>
          <w:sz w:val="21"/>
        </w:rPr>
        <w:t>If CLI rejects the parameter on update, record the error — that is a valid observation</w:t>
      </w:r>
    </w:p>
    <w:p>
      <w:pPr>
        <w:pStyle w:val="Normal"/>
        <w:spacing w:before="80" w:after="40"/>
        <w:rPr/>
      </w:pPr>
      <w:r>
        <w:rPr>
          <w:rFonts w:eastAsia="Calibri"/>
          <w:b/>
          <w:i w:val="false"/>
          <w:color w:val="0B3D5C"/>
          <w:sz w:val="21"/>
        </w:rPr>
        <w:t xml:space="preserve">3. </w:t>
      </w:r>
      <w:r>
        <w:rPr>
          <w:rFonts w:eastAsia="Calibri"/>
          <w:b w:val="false"/>
          <w:i w:val="false"/>
          <w:color w:val="1A1A1A"/>
          <w:sz w:val="21"/>
        </w:rPr>
        <w:t>Observe whether API accepts the change; whether existing nodes update in-place or require reimage/recreation</w:t>
      </w:r>
    </w:p>
    <w:p>
      <w:pPr>
        <w:pStyle w:val="Normal"/>
        <w:spacing w:before="80" w:after="40"/>
        <w:rPr/>
      </w:pPr>
      <w:r>
        <w:rPr>
          <w:rFonts w:eastAsia="Calibri"/>
          <w:b/>
          <w:i w:val="false"/>
          <w:color w:val="0B3D5C"/>
          <w:sz w:val="21"/>
        </w:rPr>
        <w:t xml:space="preserve">4. </w:t>
      </w:r>
      <w:r>
        <w:rPr>
          <w:rFonts w:eastAsia="Calibri"/>
          <w:b w:val="false"/>
          <w:i w:val="false"/>
          <w:color w:val="1A1A1A"/>
          <w:sz w:val="21"/>
        </w:rPr>
        <w:t>Record impact on running workloads</w:t>
      </w:r>
    </w:p>
    <w:p>
      <w:pPr>
        <w:pStyle w:val="Heading4"/>
        <w:rPr/>
      </w:pPr>
      <w:r>
        <w:rPr/>
        <w:t>Expected result</w:t>
      </w:r>
    </w:p>
    <w:p>
      <w:pPr>
        <w:pStyle w:val="Normal"/>
        <w:rPr/>
      </w:pPr>
      <w:r>
        <w:rPr>
          <w:rFonts w:eastAsia="Calibri"/>
          <w:b w:val="false"/>
          <w:i w:val="false"/>
          <w:color w:val="1A1A1A"/>
          <w:sz w:val="21"/>
        </w:rPr>
        <w:t>Per documentation: in-place update of existing nodes is not supported; recreation/reimage required. Document exact behaviour observed, API response, and disruption.</w:t>
      </w:r>
    </w:p>
    <w:p>
      <w:pPr>
        <w:pStyle w:val="Heading4"/>
        <w:rPr/>
      </w:pPr>
      <w:r>
        <w:rPr/>
        <w:t>Result capture</w:t>
      </w:r>
    </w:p>
    <w:tbl>
      <w:tblPr>
        <w:tblStyle w:val="TableGrid"/>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cantSplit/>
        </w:trPr>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Field</w:t>
            </w:r>
          </w:p>
        </w:tc>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Entry</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Actual Result</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Status</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 / [Pass] / [Fail] / [Blocked]</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Notes / Blocker</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Evidence refs (request IDs, timestamps)</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4"/>
        <w:rPr/>
      </w:pPr>
      <w:r>
        <w:rPr/>
        <w:t>Step-level observations (optional)</w:t>
      </w:r>
    </w:p>
    <w:tbl>
      <w:tblPr>
        <w:tblStyle w:val="TableGrid"/>
        <w:tblW w:w="963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213"/>
        <w:gridCol w:w="3213"/>
        <w:gridCol w:w="3213"/>
      </w:tblGrid>
      <w:tr>
        <w:trPr>
          <w:cantSplit/>
        </w:trPr>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Step #</w:t>
            </w:r>
          </w:p>
        </w:tc>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Observed output / request ID</w:t>
            </w:r>
          </w:p>
        </w:tc>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Pass?</w:t>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1</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2</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3</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4</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3"/>
        <w:rPr/>
      </w:pPr>
      <w:bookmarkStart w:id="48" w:name="__RefHeading___Toc21488_693750392"/>
      <w:bookmarkEnd w:id="48"/>
      <w:r>
        <w:rPr/>
        <w:t>POC-VMSS-01: VMSS Uniform CRG Association</w:t>
      </w:r>
    </w:p>
    <w:tbl>
      <w:tblPr>
        <w:tblStyle w:val="TableGrid"/>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cantSplit/>
        </w:trPr>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Attribute</w:t>
            </w:r>
          </w:p>
        </w:tc>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Value</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 ID</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POC-VMSS-01</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 6: AKS and VMSS Behaviour</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Objective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Create a Uniform orchestration VMSS with CRG reference and observe instance association behaviour.</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Gate</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2 Controlled Automation</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Prerequisites</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POC-06 Pass</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Executed by</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Execution date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API version(s) used</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Region / SKU / Zone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4"/>
        <w:rPr/>
      </w:pPr>
      <w:r>
        <w:rPr/>
        <w:t>Test steps</w:t>
      </w:r>
    </w:p>
    <w:p>
      <w:pPr>
        <w:pStyle w:val="Normal"/>
        <w:spacing w:before="80" w:after="40"/>
        <w:rPr/>
      </w:pPr>
      <w:r>
        <w:rPr>
          <w:rFonts w:eastAsia="Calibri"/>
          <w:b/>
          <w:i w:val="false"/>
          <w:color w:val="0B3D5C"/>
          <w:sz w:val="21"/>
        </w:rPr>
        <w:t xml:space="preserve">1. </w:t>
      </w:r>
      <w:r>
        <w:rPr>
          <w:rFonts w:eastAsia="Calibri"/>
          <w:b w:val="false"/>
          <w:i w:val="false"/>
          <w:color w:val="1A1A1A"/>
          <w:sz w:val="21"/>
        </w:rPr>
        <w:t>Create Uniform VMSS with capacity reservation group reference via az vmss create (or REST/template) including --capacity-reservation-group &lt;CRG_RESOURCE_ID&gt; and --orchestration-mode Uniform</w:t>
      </w:r>
    </w:p>
    <w:p>
      <w:pPr>
        <w:pStyle w:val="Normal"/>
        <w:spacing w:before="80" w:after="40"/>
        <w:rPr/>
      </w:pPr>
      <w:r>
        <w:rPr>
          <w:rFonts w:eastAsia="Calibri"/>
          <w:b/>
          <w:i w:val="false"/>
          <w:color w:val="0B3D5C"/>
          <w:sz w:val="21"/>
        </w:rPr>
        <w:t xml:space="preserve">2. </w:t>
      </w:r>
      <w:r>
        <w:rPr>
          <w:rFonts w:eastAsia="Calibri"/>
          <w:b w:val="false"/>
          <w:i w:val="false"/>
          <w:color w:val="1A1A1A"/>
          <w:sz w:val="21"/>
        </w:rPr>
        <w:t>Verify model shows CRG reference</w:t>
      </w:r>
    </w:p>
    <w:p>
      <w:pPr>
        <w:pStyle w:val="Normal"/>
        <w:spacing w:before="80" w:after="40"/>
        <w:rPr/>
      </w:pPr>
      <w:r>
        <w:rPr>
          <w:rFonts w:eastAsia="Calibri"/>
          <w:b/>
          <w:i w:val="false"/>
          <w:color w:val="0B3D5C"/>
          <w:sz w:val="21"/>
        </w:rPr>
        <w:t xml:space="preserve">3. </w:t>
      </w:r>
      <w:r>
        <w:rPr>
          <w:rFonts w:eastAsia="Calibri"/>
          <w:b w:val="false"/>
          <w:i w:val="false"/>
          <w:color w:val="1A1A1A"/>
          <w:sz w:val="21"/>
        </w:rPr>
        <w:t>Scale out one instance if needed; verify instances inherit association</w:t>
      </w:r>
    </w:p>
    <w:p>
      <w:pPr>
        <w:pStyle w:val="Normal"/>
        <w:spacing w:before="80" w:after="40"/>
        <w:rPr/>
      </w:pPr>
      <w:r>
        <w:rPr>
          <w:rFonts w:eastAsia="Calibri"/>
          <w:b/>
          <w:i w:val="false"/>
          <w:color w:val="0B3D5C"/>
          <w:sz w:val="21"/>
        </w:rPr>
        <w:t xml:space="preserve">4. </w:t>
      </w:r>
      <w:r>
        <w:rPr>
          <w:rFonts w:eastAsia="Calibri"/>
          <w:b w:val="false"/>
          <w:i w:val="false"/>
          <w:color w:val="1A1A1A"/>
          <w:sz w:val="21"/>
        </w:rPr>
        <w:t>Record whether all instances associate immediately or require upgrade; note upgrade policy</w:t>
      </w:r>
    </w:p>
    <w:p>
      <w:pPr>
        <w:pStyle w:val="Heading4"/>
        <w:rPr/>
      </w:pPr>
      <w:r>
        <w:rPr/>
        <w:t>Expected result</w:t>
      </w:r>
    </w:p>
    <w:p>
      <w:pPr>
        <w:pStyle w:val="Normal"/>
        <w:rPr/>
      </w:pPr>
      <w:r>
        <w:rPr>
          <w:rFonts w:eastAsia="Calibri"/>
          <w:b w:val="false"/>
          <w:i w:val="false"/>
          <w:color w:val="1A1A1A"/>
          <w:sz w:val="21"/>
        </w:rPr>
        <w:t>Model references CRG; instance association behaviour documented for Uniform mode.</w:t>
      </w:r>
    </w:p>
    <w:p>
      <w:pPr>
        <w:pStyle w:val="Heading4"/>
        <w:rPr/>
      </w:pPr>
      <w:r>
        <w:rPr/>
        <w:t>Result capture</w:t>
      </w:r>
    </w:p>
    <w:tbl>
      <w:tblPr>
        <w:tblStyle w:val="TableGrid"/>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cantSplit/>
        </w:trPr>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Field</w:t>
            </w:r>
          </w:p>
        </w:tc>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Entry</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Actual Result</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Status</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 / [Pass] / [Fail] / [Blocked]</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Notes / Blocker</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Evidence refs (request IDs, timestamps)</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4"/>
        <w:rPr/>
      </w:pPr>
      <w:r>
        <w:rPr/>
        <w:t>Step-level observations (optional)</w:t>
      </w:r>
    </w:p>
    <w:tbl>
      <w:tblPr>
        <w:tblStyle w:val="TableGrid"/>
        <w:tblW w:w="963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213"/>
        <w:gridCol w:w="3213"/>
        <w:gridCol w:w="3213"/>
      </w:tblGrid>
      <w:tr>
        <w:trPr>
          <w:cantSplit/>
        </w:trPr>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Step #</w:t>
            </w:r>
          </w:p>
        </w:tc>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Observed output / request ID</w:t>
            </w:r>
          </w:p>
        </w:tc>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Pass?</w:t>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1</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2</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3</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4</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3"/>
        <w:rPr/>
      </w:pPr>
      <w:bookmarkStart w:id="49" w:name="__RefHeading___Toc21490_693750392"/>
      <w:bookmarkEnd w:id="49"/>
      <w:r>
        <w:rPr/>
        <w:t>POC-VMSS-02: VMSS Flexible CRG Association</w:t>
      </w:r>
    </w:p>
    <w:tbl>
      <w:tblPr>
        <w:tblStyle w:val="TableGrid"/>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cantSplit/>
        </w:trPr>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Attribute</w:t>
            </w:r>
          </w:p>
        </w:tc>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Value</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 ID</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POC-VMSS-02</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 6: AKS and VMSS Behaviour</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Objective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Repeat CRG association validation for Flexible orchestration mode and capture differences vs Uniform.</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Gate</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2 Controlled Automation</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Prerequisites</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POC-VMSS-01 Pass</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Executed by</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Execution date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API version(s) used</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Region / SKU / Zone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4"/>
        <w:rPr/>
      </w:pPr>
      <w:r>
        <w:rPr/>
        <w:t>Test steps</w:t>
      </w:r>
    </w:p>
    <w:p>
      <w:pPr>
        <w:pStyle w:val="Normal"/>
        <w:spacing w:before="80" w:after="40"/>
        <w:rPr/>
      </w:pPr>
      <w:r>
        <w:rPr>
          <w:rFonts w:eastAsia="Calibri"/>
          <w:b/>
          <w:i w:val="false"/>
          <w:color w:val="0B3D5C"/>
          <w:sz w:val="21"/>
        </w:rPr>
        <w:t xml:space="preserve">1. </w:t>
      </w:r>
      <w:r>
        <w:rPr>
          <w:rFonts w:eastAsia="Calibri"/>
          <w:b w:val="false"/>
          <w:i w:val="false"/>
          <w:color w:val="1A1A1A"/>
          <w:sz w:val="21"/>
        </w:rPr>
        <w:t>Create Flexible VMSS with CRG reference (--orchestration-mode Flexible)</w:t>
      </w:r>
    </w:p>
    <w:p>
      <w:pPr>
        <w:pStyle w:val="Normal"/>
        <w:spacing w:before="80" w:after="40"/>
        <w:rPr/>
      </w:pPr>
      <w:r>
        <w:rPr>
          <w:rFonts w:eastAsia="Calibri"/>
          <w:b/>
          <w:i w:val="false"/>
          <w:color w:val="0B3D5C"/>
          <w:sz w:val="21"/>
        </w:rPr>
        <w:t xml:space="preserve">2. </w:t>
      </w:r>
      <w:r>
        <w:rPr>
          <w:rFonts w:eastAsia="Calibri"/>
          <w:b w:val="false"/>
          <w:i w:val="false"/>
          <w:color w:val="1A1A1A"/>
          <w:sz w:val="21"/>
        </w:rPr>
        <w:t>Verify model and instance-level association semantics</w:t>
      </w:r>
    </w:p>
    <w:p>
      <w:pPr>
        <w:pStyle w:val="Normal"/>
        <w:spacing w:before="80" w:after="40"/>
        <w:rPr/>
      </w:pPr>
      <w:r>
        <w:rPr>
          <w:rFonts w:eastAsia="Calibri"/>
          <w:b/>
          <w:i w:val="false"/>
          <w:color w:val="0B3D5C"/>
          <w:sz w:val="21"/>
        </w:rPr>
        <w:t xml:space="preserve">3. </w:t>
      </w:r>
      <w:r>
        <w:rPr>
          <w:rFonts w:eastAsia="Calibri"/>
          <w:b w:val="false"/>
          <w:i w:val="false"/>
          <w:color w:val="1A1A1A"/>
          <w:sz w:val="21"/>
        </w:rPr>
        <w:t>Compare behavioural differences to Uniform results</w:t>
      </w:r>
    </w:p>
    <w:p>
      <w:pPr>
        <w:pStyle w:val="Heading4"/>
        <w:rPr/>
      </w:pPr>
      <w:r>
        <w:rPr/>
        <w:t>Expected result</w:t>
      </w:r>
    </w:p>
    <w:p>
      <w:pPr>
        <w:pStyle w:val="Normal"/>
        <w:rPr/>
      </w:pPr>
      <w:r>
        <w:rPr>
          <w:rFonts w:eastAsia="Calibri"/>
          <w:b w:val="false"/>
          <w:i w:val="false"/>
          <w:color w:val="1A1A1A"/>
          <w:sz w:val="21"/>
        </w:rPr>
        <w:t>Flexible behaviour documented; differences vs Uniform recorded; no assumption that modes are equivalent.</w:t>
      </w:r>
    </w:p>
    <w:p>
      <w:pPr>
        <w:pStyle w:val="Heading4"/>
        <w:rPr/>
      </w:pPr>
      <w:r>
        <w:rPr/>
        <w:t>Result capture</w:t>
      </w:r>
    </w:p>
    <w:tbl>
      <w:tblPr>
        <w:tblStyle w:val="TableGrid"/>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cantSplit/>
        </w:trPr>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Field</w:t>
            </w:r>
          </w:p>
        </w:tc>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Entry</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Actual Result</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Status</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 / [Pass] / [Fail] / [Blocked]</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Notes / Blocker</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Evidence refs (request IDs, timestamps)</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4"/>
        <w:rPr/>
      </w:pPr>
      <w:r>
        <w:rPr/>
        <w:t>Step-level observations (optional)</w:t>
      </w:r>
    </w:p>
    <w:tbl>
      <w:tblPr>
        <w:tblStyle w:val="TableGrid"/>
        <w:tblW w:w="963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213"/>
        <w:gridCol w:w="3213"/>
        <w:gridCol w:w="3213"/>
      </w:tblGrid>
      <w:tr>
        <w:trPr>
          <w:cantSplit/>
        </w:trPr>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Step #</w:t>
            </w:r>
          </w:p>
        </w:tc>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Observed output / request ID</w:t>
            </w:r>
          </w:p>
        </w:tc>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Pass?</w:t>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1</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2</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3</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3"/>
        <w:rPr/>
      </w:pPr>
      <w:bookmarkStart w:id="50" w:name="__RefHeading___Toc21492_693750392"/>
      <w:bookmarkEnd w:id="50"/>
      <w:r>
        <w:rPr/>
        <w:t>POC-VMSS-03: VMSS Disassociation Behaviour</w:t>
      </w:r>
    </w:p>
    <w:tbl>
      <w:tblPr>
        <w:tblStyle w:val="TableGrid"/>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cantSplit/>
        </w:trPr>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Attribute</w:t>
            </w:r>
          </w:p>
        </w:tc>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Value</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 ID</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POC-VMSS-03</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 6: AKS and VMSS Behaviour</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Objective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Remove CRG reference from VMSS model and observe per-instance association state. Manual only in Phase 1 for emergency paths.</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Gate</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2 Controlled Automation</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Prerequisites</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POC-VMSS-01 Pass</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Executed by</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Execution date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API version(s) used</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Region / SKU / Zone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4"/>
        <w:rPr/>
      </w:pPr>
      <w:r>
        <w:rPr/>
        <w:t>Test steps</w:t>
      </w:r>
    </w:p>
    <w:p>
      <w:pPr>
        <w:pStyle w:val="Normal"/>
        <w:spacing w:before="80" w:after="40"/>
        <w:rPr/>
      </w:pPr>
      <w:r>
        <w:rPr>
          <w:rFonts w:eastAsia="Calibri"/>
          <w:b/>
          <w:i w:val="false"/>
          <w:color w:val="0B3D5C"/>
          <w:sz w:val="21"/>
        </w:rPr>
        <w:t xml:space="preserve">1. </w:t>
      </w:r>
      <w:r>
        <w:rPr>
          <w:rFonts w:eastAsia="Calibri"/>
          <w:b w:val="false"/>
          <w:i w:val="false"/>
          <w:color w:val="1A1A1A"/>
          <w:sz w:val="21"/>
        </w:rPr>
        <w:t>Remove CRG reference from VMSS model via update/PATCH</w:t>
      </w:r>
    </w:p>
    <w:p>
      <w:pPr>
        <w:pStyle w:val="Normal"/>
        <w:spacing w:before="80" w:after="40"/>
        <w:rPr/>
      </w:pPr>
      <w:r>
        <w:rPr>
          <w:rFonts w:eastAsia="Calibri"/>
          <w:b/>
          <w:i w:val="false"/>
          <w:color w:val="0B3D5C"/>
          <w:sz w:val="21"/>
        </w:rPr>
        <w:t xml:space="preserve">2. </w:t>
      </w:r>
      <w:r>
        <w:rPr>
          <w:rFonts w:eastAsia="Calibri"/>
          <w:b w:val="false"/>
          <w:i w:val="false"/>
          <w:color w:val="1A1A1A"/>
          <w:sz w:val="21"/>
        </w:rPr>
        <w:t>Check each instance association state</w:t>
      </w:r>
    </w:p>
    <w:p>
      <w:pPr>
        <w:pStyle w:val="Normal"/>
        <w:spacing w:before="80" w:after="40"/>
        <w:rPr/>
      </w:pPr>
      <w:r>
        <w:rPr>
          <w:rFonts w:eastAsia="Calibri"/>
          <w:b/>
          <w:i w:val="false"/>
          <w:color w:val="0B3D5C"/>
          <w:sz w:val="21"/>
        </w:rPr>
        <w:t xml:space="preserve">3. </w:t>
      </w:r>
      <w:r>
        <w:rPr>
          <w:rFonts w:eastAsia="Calibri"/>
          <w:b w:val="false"/>
          <w:i w:val="false"/>
          <w:color w:val="1A1A1A"/>
          <w:sz w:val="21"/>
        </w:rPr>
        <w:t>Determine whether reimage, redeploy, or rolling upgrade is required</w:t>
      </w:r>
    </w:p>
    <w:p>
      <w:pPr>
        <w:pStyle w:val="Normal"/>
        <w:spacing w:before="80" w:after="40"/>
        <w:rPr/>
      </w:pPr>
      <w:r>
        <w:rPr>
          <w:rFonts w:eastAsia="Calibri"/>
          <w:b/>
          <w:i w:val="false"/>
          <w:color w:val="0B3D5C"/>
          <w:sz w:val="21"/>
        </w:rPr>
        <w:t xml:space="preserve">4. </w:t>
      </w:r>
      <w:r>
        <w:rPr>
          <w:rFonts w:eastAsia="Calibri"/>
          <w:b w:val="false"/>
          <w:i w:val="false"/>
          <w:color w:val="1A1A1A"/>
          <w:sz w:val="21"/>
        </w:rPr>
        <w:t>Confirm instances continue running; capture unexpected errors</w:t>
      </w:r>
    </w:p>
    <w:p>
      <w:pPr>
        <w:pStyle w:val="Heading4"/>
        <w:rPr/>
      </w:pPr>
      <w:r>
        <w:rPr/>
        <w:t>Expected result</w:t>
      </w:r>
    </w:p>
    <w:p>
      <w:pPr>
        <w:pStyle w:val="Normal"/>
        <w:rPr/>
      </w:pPr>
      <w:r>
        <w:rPr>
          <w:rFonts w:eastAsia="Calibri"/>
          <w:b w:val="false"/>
          <w:i w:val="false"/>
          <w:color w:val="1A1A1A"/>
          <w:sz w:val="21"/>
        </w:rPr>
        <w:t>Disassociation behaviour documented per mode. Engine must not claim model change immediately clears all instances without proof.</w:t>
      </w:r>
    </w:p>
    <w:p>
      <w:pPr>
        <w:pStyle w:val="Heading4"/>
        <w:rPr/>
      </w:pPr>
      <w:r>
        <w:rPr/>
        <w:t>Result capture</w:t>
      </w:r>
    </w:p>
    <w:tbl>
      <w:tblPr>
        <w:tblStyle w:val="TableGrid"/>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cantSplit/>
        </w:trPr>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Field</w:t>
            </w:r>
          </w:p>
        </w:tc>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Entry</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Actual Result</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Status</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 / [Pass] / [Fail] / [Blocked]</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Notes / Blocker</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Evidence refs (request IDs, timestamps)</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4"/>
        <w:rPr/>
      </w:pPr>
      <w:r>
        <w:rPr/>
        <w:t>Step-level observations (optional)</w:t>
      </w:r>
    </w:p>
    <w:tbl>
      <w:tblPr>
        <w:tblStyle w:val="TableGrid"/>
        <w:tblW w:w="963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213"/>
        <w:gridCol w:w="3213"/>
        <w:gridCol w:w="3213"/>
      </w:tblGrid>
      <w:tr>
        <w:trPr>
          <w:cantSplit/>
        </w:trPr>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Step #</w:t>
            </w:r>
          </w:p>
        </w:tc>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Observed output / request ID</w:t>
            </w:r>
          </w:p>
        </w:tc>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Pass?</w:t>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1</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2</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3</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4</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3"/>
        <w:rPr/>
      </w:pPr>
      <w:bookmarkStart w:id="51" w:name="__RefHeading___Toc21494_693750392"/>
      <w:bookmarkEnd w:id="51"/>
      <w:r>
        <w:rPr/>
        <w:t>POC-VMSS-DR: VMSS Zone Outage via Shared CRG (Preview Limitation — FC-08)</w:t>
      </w:r>
    </w:p>
    <w:tbl>
      <w:tblPr>
        <w:tblStyle w:val="TableGrid"/>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cantSplit/>
        </w:trPr>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Attribute</w:t>
            </w:r>
          </w:p>
        </w:tc>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Value</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 ID</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POC-VMSS-DR</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 6: AKS and VMSS Behaviour</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Objective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Document shared-CRG VMSS reprovisioning behaviour during a simulated zone constraint. Known Preview limitation — failure is acceptable and must be recorded before Phase 2 VMSS DR design.</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Gate</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2 REQUIRED BEFORE DR FLOWS</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Prerequisites</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POC-VMSS-02 Pass; shared CRG configured</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Executed by</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Execution date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API version(s) used</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Region / SKU / Zone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4"/>
        <w:rPr/>
      </w:pPr>
      <w:r>
        <w:rPr/>
        <w:t>Test steps</w:t>
      </w:r>
    </w:p>
    <w:p>
      <w:pPr>
        <w:pStyle w:val="Normal"/>
        <w:spacing w:before="80" w:after="40"/>
        <w:rPr/>
      </w:pPr>
      <w:r>
        <w:rPr>
          <w:rFonts w:eastAsia="Calibri"/>
          <w:b/>
          <w:i w:val="false"/>
          <w:color w:val="0B3D5C"/>
          <w:sz w:val="21"/>
        </w:rPr>
        <w:t xml:space="preserve">1. </w:t>
      </w:r>
      <w:r>
        <w:rPr>
          <w:rFonts w:eastAsia="Calibri"/>
          <w:b w:val="false"/>
          <w:i w:val="false"/>
          <w:color w:val="1A1A1A"/>
          <w:sz w:val="21"/>
        </w:rPr>
        <w:t>Configure VMSS in the primary zone against shared CRG</w:t>
      </w:r>
    </w:p>
    <w:p>
      <w:pPr>
        <w:pStyle w:val="Normal"/>
        <w:spacing w:before="80" w:after="40"/>
        <w:rPr/>
      </w:pPr>
      <w:r>
        <w:rPr>
          <w:rFonts w:eastAsia="Calibri"/>
          <w:b/>
          <w:i w:val="false"/>
          <w:color w:val="0B3D5C"/>
          <w:sz w:val="21"/>
        </w:rPr>
        <w:t xml:space="preserve">2. </w:t>
      </w:r>
      <w:r>
        <w:rPr>
          <w:rFonts w:eastAsia="Calibri"/>
          <w:b w:val="false"/>
          <w:i w:val="false"/>
          <w:color w:val="1A1A1A"/>
          <w:sz w:val="21"/>
        </w:rPr>
        <w:t>Simulate zone unavailability constraint (restrict scale/reprovision attempts to DR zone only as test design allows)</w:t>
      </w:r>
    </w:p>
    <w:p>
      <w:pPr>
        <w:pStyle w:val="Normal"/>
        <w:spacing w:before="80" w:after="40"/>
        <w:rPr/>
      </w:pPr>
      <w:r>
        <w:rPr>
          <w:rFonts w:eastAsia="Calibri"/>
          <w:b/>
          <w:i w:val="false"/>
          <w:color w:val="0B3D5C"/>
          <w:sz w:val="21"/>
        </w:rPr>
        <w:t xml:space="preserve">3. </w:t>
      </w:r>
      <w:r>
        <w:rPr>
          <w:rFonts w:eastAsia="Calibri"/>
          <w:b w:val="false"/>
          <w:i w:val="false"/>
          <w:color w:val="1A1A1A"/>
          <w:sz w:val="21"/>
        </w:rPr>
        <w:t>Attempt to reprovision VMSS instances in DR zone using the shared CRG path</w:t>
      </w:r>
    </w:p>
    <w:p>
      <w:pPr>
        <w:pStyle w:val="Normal"/>
        <w:spacing w:before="80" w:after="40"/>
        <w:rPr/>
      </w:pPr>
      <w:r>
        <w:rPr>
          <w:rFonts w:eastAsia="Calibri"/>
          <w:b/>
          <w:i w:val="false"/>
          <w:color w:val="0B3D5C"/>
          <w:sz w:val="21"/>
        </w:rPr>
        <w:t xml:space="preserve">4. </w:t>
      </w:r>
      <w:r>
        <w:rPr>
          <w:rFonts w:eastAsia="Calibri"/>
          <w:b w:val="false"/>
          <w:i w:val="false"/>
          <w:color w:val="1A1A1A"/>
          <w:sz w:val="21"/>
        </w:rPr>
        <w:t>Record whether reprovisioning succeeds; exact error if it fails; API version; timestamp; region</w:t>
      </w:r>
    </w:p>
    <w:p>
      <w:pPr>
        <w:pStyle w:val="Normal"/>
        <w:spacing w:before="80" w:after="40"/>
        <w:rPr/>
      </w:pPr>
      <w:r>
        <w:rPr>
          <w:rFonts w:eastAsia="Calibri"/>
          <w:b/>
          <w:i w:val="false"/>
          <w:color w:val="0B3D5C"/>
          <w:sz w:val="21"/>
        </w:rPr>
        <w:t xml:space="preserve">5. </w:t>
      </w:r>
      <w:r>
        <w:rPr>
          <w:rFonts w:eastAsia="Calibri"/>
          <w:b w:val="false"/>
          <w:i w:val="false"/>
          <w:color w:val="1A1A1A"/>
          <w:sz w:val="21"/>
        </w:rPr>
        <w:t>If failed: document non-shared-CRG fallback requirement for Phase 2</w:t>
      </w:r>
    </w:p>
    <w:p>
      <w:pPr>
        <w:pStyle w:val="Heading4"/>
        <w:rPr/>
      </w:pPr>
      <w:r>
        <w:rPr/>
        <w:t>Expected result</w:t>
      </w:r>
    </w:p>
    <w:p>
      <w:pPr>
        <w:pStyle w:val="Normal"/>
        <w:rPr/>
      </w:pPr>
      <w:r>
        <w:rPr>
          <w:rFonts w:eastAsia="Calibri"/>
          <w:b w:val="false"/>
          <w:i w:val="false"/>
          <w:color w:val="1A1A1A"/>
          <w:sz w:val="21"/>
        </w:rPr>
        <w:t>Result documented — pass or fail both valid. This test must be run before Phase 2 VMSS DR flows are designed. Pilot customers using VMSS DR must accept the limitation if unresolved.</w:t>
      </w:r>
    </w:p>
    <w:p>
      <w:pPr>
        <w:pStyle w:val="Heading4"/>
        <w:rPr/>
      </w:pPr>
      <w:r>
        <w:rPr/>
        <w:t>Result capture</w:t>
      </w:r>
    </w:p>
    <w:tbl>
      <w:tblPr>
        <w:tblStyle w:val="TableGrid"/>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cantSplit/>
        </w:trPr>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Field</w:t>
            </w:r>
          </w:p>
        </w:tc>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Entry</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Actual Result</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Status</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 / [Pass] / [Fail] / [Blocked]</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Notes / Blocker</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Evidence refs (request IDs, timestamps)</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4"/>
        <w:rPr/>
      </w:pPr>
      <w:r>
        <w:rPr/>
        <w:t>Step-level observations (optional)</w:t>
      </w:r>
    </w:p>
    <w:tbl>
      <w:tblPr>
        <w:tblStyle w:val="TableGrid"/>
        <w:tblW w:w="963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213"/>
        <w:gridCol w:w="3213"/>
        <w:gridCol w:w="3213"/>
      </w:tblGrid>
      <w:tr>
        <w:trPr>
          <w:cantSplit/>
        </w:trPr>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Step #</w:t>
            </w:r>
          </w:p>
        </w:tc>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Observed output / request ID</w:t>
            </w:r>
          </w:p>
        </w:tc>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Pass?</w:t>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1</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2</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3</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4</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5</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3"/>
        <w:rPr/>
      </w:pPr>
      <w:bookmarkStart w:id="52" w:name="__RefHeading___Toc21496_693750392"/>
      <w:bookmarkEnd w:id="52"/>
      <w:r>
        <w:rPr/>
        <w:t>G6 group roll-up sign-off</w:t>
      </w:r>
    </w:p>
    <w:tbl>
      <w:tblPr>
        <w:tblStyle w:val="TableGrid"/>
        <w:tblW w:w="96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409"/>
        <w:gridCol w:w="2409"/>
        <w:gridCol w:w="2409"/>
        <w:gridCol w:w="2409"/>
      </w:tblGrid>
      <w:tr>
        <w:trPr>
          <w:cantSplit/>
        </w:trPr>
        <w:tc>
          <w:tcPr>
            <w:tcW w:w="240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Check</w:t>
            </w:r>
          </w:p>
        </w:tc>
        <w:tc>
          <w:tcPr>
            <w:tcW w:w="240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Result</w:t>
            </w:r>
          </w:p>
        </w:tc>
        <w:tc>
          <w:tcPr>
            <w:tcW w:w="240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Initials</w:t>
            </w:r>
          </w:p>
        </w:tc>
        <w:tc>
          <w:tcPr>
            <w:tcW w:w="240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Date</w:t>
            </w:r>
          </w:p>
        </w:tc>
      </w:tr>
      <w:tr>
        <w:trPr>
          <w:cantSplit/>
        </w:trPr>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All POCs in group executed or formally waived</w:t>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Evidence retained (API version, region, SKU, IDs)</w:t>
            </w:r>
          </w:p>
        </w:tc>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Blockers logged in §7</w:t>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Cleanup completed or retention justified</w:t>
            </w:r>
          </w:p>
        </w:tc>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 approved to unlock dependents</w:t>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2"/>
        <w:rPr/>
      </w:pPr>
      <w:bookmarkStart w:id="53" w:name="__RefHeading___Toc21498_693750392"/>
      <w:bookmarkEnd w:id="53"/>
      <w:r>
        <w:rPr/>
        <w:t>Group 7: API Rate and Throttle Behaviour (FC-16)</w:t>
      </w:r>
    </w:p>
    <w:p>
      <w:pPr>
        <w:pStyle w:val="Normal"/>
        <w:rPr/>
      </w:pPr>
      <w:r>
        <w:rPr>
          <w:rFonts w:eastAsia="Calibri"/>
          <w:b w:val="false"/>
          <w:i w:val="false"/>
          <w:color w:val="1A1A1A"/>
          <w:sz w:val="21"/>
        </w:rPr>
        <w:t>Documents Compute throttle baselines and observed 429 behaviour. Documented starting baselines: 250 reads / 5 minutes / subscription; 1,200 writes / hour / subscription. Adaptive throttle manager must initialise from these baselines and observed telemetry, not invented universal constants.</w:t>
      </w:r>
    </w:p>
    <w:p>
      <w:pPr>
        <w:pStyle w:val="Normal"/>
        <w:rPr/>
      </w:pPr>
      <w:r>
        <w:rPr>
          <w:rFonts w:eastAsia="Calibri"/>
          <w:b w:val="false"/>
          <w:i/>
          <w:color w:val="555555"/>
          <w:sz w:val="20"/>
        </w:rPr>
        <w:t>Group contains 3 POC entries. Complete result capture for every entry before signing the group roll-up below.</w:t>
      </w:r>
    </w:p>
    <w:p>
      <w:pPr>
        <w:pStyle w:val="Heading3"/>
        <w:rPr/>
      </w:pPr>
      <w:bookmarkStart w:id="54" w:name="__RefHeading___Toc21500_693750392"/>
      <w:bookmarkEnd w:id="54"/>
      <w:r>
        <w:rPr/>
        <w:t>POC-THROTTLE-01: Observe Compute Throttle Budget Headers</w:t>
      </w:r>
    </w:p>
    <w:tbl>
      <w:tblPr>
        <w:tblStyle w:val="TableGrid"/>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cantSplit/>
        </w:trPr>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Attribute</w:t>
            </w:r>
          </w:p>
        </w:tc>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Value</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 ID</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POC-THROTTLE-01</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 7: API Rate and Throttle Behaviour (FC-16)</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Objective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Capture x-ms-ratelimit response headers on Compute calls to calibrate the adaptive throttle manager.</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Gate</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1 Pilot</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Prerequisites</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Pre-Flight complete</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Executed by</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Execution date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API version(s) used</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Region / SKU / Zone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4"/>
        <w:rPr/>
      </w:pPr>
      <w:r>
        <w:rPr/>
        <w:t>Test steps</w:t>
      </w:r>
    </w:p>
    <w:p>
      <w:pPr>
        <w:pStyle w:val="Normal"/>
        <w:spacing w:before="80" w:after="40"/>
        <w:rPr/>
      </w:pPr>
      <w:r>
        <w:rPr>
          <w:rFonts w:eastAsia="Calibri"/>
          <w:b/>
          <w:i w:val="false"/>
          <w:color w:val="0B3D5C"/>
          <w:sz w:val="21"/>
        </w:rPr>
        <w:t xml:space="preserve">1. </w:t>
      </w:r>
      <w:r>
        <w:rPr>
          <w:rFonts w:eastAsia="Calibri"/>
          <w:b w:val="false"/>
          <w:i w:val="false"/>
          <w:color w:val="1A1A1A"/>
          <w:sz w:val="21"/>
        </w:rPr>
        <w:t>Run:</w:t>
      </w:r>
    </w:p>
    <w:p>
      <w:pPr>
        <w:pStyle w:val="CodeBlock"/>
        <w:shd w:val="clear" w:fill="F4F6F8"/>
        <w:rPr/>
      </w:pPr>
      <w:r>
        <w:rPr>
          <w:rFonts w:cs="Consolas"/>
          <w:b w:val="false"/>
          <w:i w:val="false"/>
          <w:color w:val="1A1A1A"/>
          <w:sz w:val="17"/>
        </w:rPr>
        <w:t>az rest --method GET --url 'https://management.azure.com/subscriptions/&lt;PROVIDER_SUB&gt;/providers/Microsoft.Compute/capacityReservationGroups?api-version=2024-03-01' --verbose 2&gt;&amp;1 | tee /tmp/throttle_headers.txt</w:t>
      </w:r>
    </w:p>
    <w:p>
      <w:pPr>
        <w:pStyle w:val="Normal"/>
        <w:spacing w:before="80" w:after="40"/>
        <w:rPr/>
      </w:pPr>
      <w:r>
        <w:rPr>
          <w:rFonts w:eastAsia="Calibri"/>
          <w:b/>
          <w:i w:val="false"/>
          <w:color w:val="0B3D5C"/>
          <w:sz w:val="21"/>
        </w:rPr>
        <w:t xml:space="preserve">2. </w:t>
      </w:r>
      <w:r>
        <w:rPr>
          <w:rFonts w:eastAsia="Calibri"/>
          <w:b w:val="false"/>
          <w:i w:val="false"/>
          <w:color w:val="1A1A1A"/>
          <w:sz w:val="21"/>
        </w:rPr>
        <w:t>grep -i 'x-ms-ratelimit' /tmp/throttle_headers.txt</w:t>
      </w:r>
    </w:p>
    <w:p>
      <w:pPr>
        <w:pStyle w:val="Normal"/>
        <w:spacing w:before="80" w:after="40"/>
        <w:rPr/>
      </w:pPr>
      <w:r>
        <w:rPr>
          <w:rFonts w:eastAsia="Calibri"/>
          <w:b/>
          <w:i w:val="false"/>
          <w:color w:val="0B3D5C"/>
          <w:sz w:val="21"/>
        </w:rPr>
        <w:t xml:space="preserve">3. </w:t>
      </w:r>
      <w:r>
        <w:rPr>
          <w:rFonts w:eastAsia="Calibri"/>
          <w:b w:val="false"/>
          <w:i w:val="false"/>
          <w:color w:val="1A1A1A"/>
          <w:sz w:val="21"/>
        </w:rPr>
        <w:t>Record remaining budget header names and values</w:t>
      </w:r>
    </w:p>
    <w:p>
      <w:pPr>
        <w:pStyle w:val="Heading4"/>
        <w:rPr/>
      </w:pPr>
      <w:r>
        <w:rPr/>
        <w:t>Expected result</w:t>
      </w:r>
    </w:p>
    <w:p>
      <w:pPr>
        <w:pStyle w:val="Normal"/>
        <w:rPr/>
      </w:pPr>
      <w:r>
        <w:rPr>
          <w:rFonts w:eastAsia="Calibri"/>
          <w:b w:val="false"/>
          <w:i w:val="false"/>
          <w:color w:val="1A1A1A"/>
          <w:sz w:val="21"/>
        </w:rPr>
        <w:t>Headers visible such as x-ms-ratelimit-remaining-resource and/or x-ms-ratelimit-remaining-subscription-reads. Record values for initial throttle manager configuration.</w:t>
      </w:r>
    </w:p>
    <w:p>
      <w:pPr>
        <w:pStyle w:val="Heading4"/>
        <w:rPr/>
      </w:pPr>
      <w:r>
        <w:rPr/>
        <w:t>Result capture</w:t>
      </w:r>
    </w:p>
    <w:tbl>
      <w:tblPr>
        <w:tblStyle w:val="TableGrid"/>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cantSplit/>
        </w:trPr>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Field</w:t>
            </w:r>
          </w:p>
        </w:tc>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Entry</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Actual Result</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Status</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 / [Pass] / [Fail] / [Blocked]</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Notes / Blocker</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Evidence refs (request IDs, timestamps)</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4"/>
        <w:rPr/>
      </w:pPr>
      <w:r>
        <w:rPr/>
        <w:t>Step-level observations (optional)</w:t>
      </w:r>
    </w:p>
    <w:tbl>
      <w:tblPr>
        <w:tblStyle w:val="TableGrid"/>
        <w:tblW w:w="963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213"/>
        <w:gridCol w:w="3213"/>
        <w:gridCol w:w="3213"/>
      </w:tblGrid>
      <w:tr>
        <w:trPr>
          <w:cantSplit/>
        </w:trPr>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Step #</w:t>
            </w:r>
          </w:p>
        </w:tc>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Observed output / request ID</w:t>
            </w:r>
          </w:p>
        </w:tc>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Pass?</w:t>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1</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2</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3</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3"/>
        <w:rPr/>
      </w:pPr>
      <w:bookmarkStart w:id="55" w:name="__RefHeading___Toc21502_693750392"/>
      <w:bookmarkEnd w:id="55"/>
      <w:r>
        <w:rPr/>
        <w:t>POC-THROTTLE-02: Observe 429 Response and Retry-After Header</w:t>
      </w:r>
    </w:p>
    <w:tbl>
      <w:tblPr>
        <w:tblStyle w:val="TableGrid"/>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cantSplit/>
        </w:trPr>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Attribute</w:t>
            </w:r>
          </w:p>
        </w:tc>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Value</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 ID</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POC-THROTTLE-02</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 7: API Rate and Throttle Behaviour (FC-16)</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Objective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Trigger throttling in an isolated environment and capture 429 body and Retry-After.</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Gate</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1 Pilot</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Prerequisites</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POC-THROTTLE-01 Pass. NOTE: Isolated test environment only.</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Executed by</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Execution date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API version(s) used</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Region / SKU / Zone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4"/>
        <w:rPr/>
      </w:pPr>
      <w:r>
        <w:rPr/>
        <w:t>Test steps</w:t>
      </w:r>
    </w:p>
    <w:p>
      <w:pPr>
        <w:pStyle w:val="Normal"/>
        <w:spacing w:before="80" w:after="40"/>
        <w:rPr/>
      </w:pPr>
      <w:r>
        <w:rPr>
          <w:rFonts w:eastAsia="Calibri"/>
          <w:b/>
          <w:i w:val="false"/>
          <w:color w:val="0B3D5C"/>
          <w:sz w:val="21"/>
        </w:rPr>
        <w:t xml:space="preserve">1. </w:t>
      </w:r>
      <w:r>
        <w:rPr>
          <w:rFonts w:eastAsia="Calibri"/>
          <w:b w:val="false"/>
          <w:i w:val="false"/>
          <w:color w:val="1A1A1A"/>
          <w:sz w:val="21"/>
        </w:rPr>
        <w:t>Submit rapid repeated Compute GET/PUT calls in a controlled loop until 429 is observed</w:t>
      </w:r>
    </w:p>
    <w:p>
      <w:pPr>
        <w:pStyle w:val="Normal"/>
        <w:spacing w:before="80" w:after="40"/>
        <w:rPr/>
      </w:pPr>
      <w:r>
        <w:rPr>
          <w:rFonts w:eastAsia="Calibri"/>
          <w:b/>
          <w:i w:val="false"/>
          <w:color w:val="0B3D5C"/>
          <w:sz w:val="21"/>
        </w:rPr>
        <w:t xml:space="preserve">2. </w:t>
      </w:r>
      <w:r>
        <w:rPr>
          <w:rFonts w:eastAsia="Calibri"/>
          <w:b w:val="false"/>
          <w:i w:val="false"/>
          <w:color w:val="1A1A1A"/>
          <w:sz w:val="21"/>
        </w:rPr>
        <w:t>Capture full response status, body, and Retry-After header</w:t>
      </w:r>
    </w:p>
    <w:p>
      <w:pPr>
        <w:pStyle w:val="Normal"/>
        <w:spacing w:before="80" w:after="40"/>
        <w:rPr/>
      </w:pPr>
      <w:r>
        <w:rPr>
          <w:rFonts w:eastAsia="Calibri"/>
          <w:b/>
          <w:i w:val="false"/>
          <w:color w:val="0B3D5C"/>
          <w:sz w:val="21"/>
        </w:rPr>
        <w:t xml:space="preserve">3. </w:t>
      </w:r>
      <w:r>
        <w:rPr>
          <w:rFonts w:eastAsia="Calibri"/>
          <w:b w:val="false"/>
          <w:i w:val="false"/>
          <w:color w:val="1A1A1A"/>
          <w:sz w:val="21"/>
        </w:rPr>
        <w:t>Identify which limit was exhausted (reads, writes, or resource-specific)</w:t>
      </w:r>
    </w:p>
    <w:p>
      <w:pPr>
        <w:pStyle w:val="Normal"/>
        <w:spacing w:before="80" w:after="40"/>
        <w:rPr/>
      </w:pPr>
      <w:r>
        <w:rPr>
          <w:rFonts w:eastAsia="Calibri"/>
          <w:b/>
          <w:i w:val="false"/>
          <w:color w:val="0B3D5C"/>
          <w:sz w:val="21"/>
        </w:rPr>
        <w:t xml:space="preserve">4. </w:t>
      </w:r>
      <w:r>
        <w:rPr>
          <w:rFonts w:eastAsia="Calibri"/>
          <w:b w:val="false"/>
          <w:i w:val="false"/>
          <w:color w:val="1A1A1A"/>
          <w:sz w:val="21"/>
        </w:rPr>
        <w:t>Stop the loop immediately after evidence capture</w:t>
      </w:r>
    </w:p>
    <w:p>
      <w:pPr>
        <w:pStyle w:val="Heading4"/>
        <w:rPr/>
      </w:pPr>
      <w:r>
        <w:rPr/>
        <w:t>Expected result</w:t>
      </w:r>
    </w:p>
    <w:p>
      <w:pPr>
        <w:pStyle w:val="Normal"/>
        <w:rPr/>
      </w:pPr>
      <w:r>
        <w:rPr>
          <w:rFonts w:eastAsia="Calibri"/>
          <w:b w:val="false"/>
          <w:i w:val="false"/>
          <w:color w:val="1A1A1A"/>
          <w:sz w:val="21"/>
        </w:rPr>
        <w:t>429 response body and Retry-After seconds recorded; limit type identified.</w:t>
      </w:r>
    </w:p>
    <w:p>
      <w:pPr>
        <w:pStyle w:val="Heading4"/>
        <w:rPr/>
      </w:pPr>
      <w:r>
        <w:rPr/>
        <w:t>Result capture</w:t>
      </w:r>
    </w:p>
    <w:tbl>
      <w:tblPr>
        <w:tblStyle w:val="TableGrid"/>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cantSplit/>
        </w:trPr>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Field</w:t>
            </w:r>
          </w:p>
        </w:tc>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Entry</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Actual Result</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Status</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 / [Pass] / [Fail] / [Blocked]</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Notes / Blocker</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Evidence refs (request IDs, timestamps)</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4"/>
        <w:rPr/>
      </w:pPr>
      <w:r>
        <w:rPr/>
        <w:t>Step-level observations (optional)</w:t>
      </w:r>
    </w:p>
    <w:tbl>
      <w:tblPr>
        <w:tblStyle w:val="TableGrid"/>
        <w:tblW w:w="963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213"/>
        <w:gridCol w:w="3213"/>
        <w:gridCol w:w="3213"/>
      </w:tblGrid>
      <w:tr>
        <w:trPr>
          <w:cantSplit/>
        </w:trPr>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Step #</w:t>
            </w:r>
          </w:p>
        </w:tc>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Observed output / request ID</w:t>
            </w:r>
          </w:p>
        </w:tc>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Pass?</w:t>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1</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2</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3</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4</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3"/>
        <w:rPr/>
      </w:pPr>
      <w:bookmarkStart w:id="56" w:name="__RefHeading___Toc21504_693750392"/>
      <w:bookmarkEnd w:id="56"/>
      <w:r>
        <w:rPr/>
        <w:t>POC-THROTTLE-03: Validate Budget Recovery After Throttle</w:t>
      </w:r>
    </w:p>
    <w:tbl>
      <w:tblPr>
        <w:tblStyle w:val="TableGrid"/>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cantSplit/>
        </w:trPr>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Attribute</w:t>
            </w:r>
          </w:p>
        </w:tc>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Value</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 ID</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POC-THROTTLE-03</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 7: API Rate and Throttle Behaviour (FC-16)</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Objective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Confirm that waiting Retry-After allows successful retry and observe remaining budget after recovery.</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Gate</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1 Pilot</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Prerequisites</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POC-THROTTLE-02 Pass</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Executed by</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Execution date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API version(s) used</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Region / SKU / Zone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4"/>
        <w:rPr/>
      </w:pPr>
      <w:r>
        <w:rPr/>
        <w:t>Test steps</w:t>
      </w:r>
    </w:p>
    <w:p>
      <w:pPr>
        <w:pStyle w:val="Normal"/>
        <w:spacing w:before="80" w:after="40"/>
        <w:rPr/>
      </w:pPr>
      <w:r>
        <w:rPr>
          <w:rFonts w:eastAsia="Calibri"/>
          <w:b/>
          <w:i w:val="false"/>
          <w:color w:val="0B3D5C"/>
          <w:sz w:val="21"/>
        </w:rPr>
        <w:t xml:space="preserve">1. </w:t>
      </w:r>
      <w:r>
        <w:rPr>
          <w:rFonts w:eastAsia="Calibri"/>
          <w:b w:val="false"/>
          <w:i w:val="false"/>
          <w:color w:val="1A1A1A"/>
          <w:sz w:val="21"/>
        </w:rPr>
        <w:t>After 429, wait for the Retry-After period (do not guess a shorter sleep)</w:t>
      </w:r>
    </w:p>
    <w:p>
      <w:pPr>
        <w:pStyle w:val="Normal"/>
        <w:spacing w:before="80" w:after="40"/>
        <w:rPr/>
      </w:pPr>
      <w:r>
        <w:rPr>
          <w:rFonts w:eastAsia="Calibri"/>
          <w:b/>
          <w:i w:val="false"/>
          <w:color w:val="0B3D5C"/>
          <w:sz w:val="21"/>
        </w:rPr>
        <w:t xml:space="preserve">2. </w:t>
      </w:r>
      <w:r>
        <w:rPr>
          <w:rFonts w:eastAsia="Calibri"/>
          <w:b w:val="false"/>
          <w:i w:val="false"/>
          <w:color w:val="1A1A1A"/>
          <w:sz w:val="21"/>
        </w:rPr>
        <w:t>Re-submit the same request</w:t>
      </w:r>
    </w:p>
    <w:p>
      <w:pPr>
        <w:pStyle w:val="Normal"/>
        <w:spacing w:before="80" w:after="40"/>
        <w:rPr/>
      </w:pPr>
      <w:r>
        <w:rPr>
          <w:rFonts w:eastAsia="Calibri"/>
          <w:b/>
          <w:i w:val="false"/>
          <w:color w:val="0B3D5C"/>
          <w:sz w:val="21"/>
        </w:rPr>
        <w:t xml:space="preserve">3. </w:t>
      </w:r>
      <w:r>
        <w:rPr>
          <w:rFonts w:eastAsia="Calibri"/>
          <w:b w:val="false"/>
          <w:i w:val="false"/>
          <w:color w:val="1A1A1A"/>
          <w:sz w:val="21"/>
        </w:rPr>
        <w:t>Verify success and capture new rate-limit headers</w:t>
      </w:r>
    </w:p>
    <w:p>
      <w:pPr>
        <w:pStyle w:val="Normal"/>
        <w:spacing w:before="80" w:after="40"/>
        <w:rPr/>
      </w:pPr>
      <w:r>
        <w:rPr>
          <w:rFonts w:eastAsia="Calibri"/>
          <w:b/>
          <w:i w:val="false"/>
          <w:color w:val="0B3D5C"/>
          <w:sz w:val="21"/>
        </w:rPr>
        <w:t xml:space="preserve">4. </w:t>
      </w:r>
      <w:r>
        <w:rPr>
          <w:rFonts w:eastAsia="Calibri"/>
          <w:b w:val="false"/>
          <w:i w:val="false"/>
          <w:color w:val="1A1A1A"/>
          <w:sz w:val="21"/>
        </w:rPr>
        <w:t>Note any residual throttling</w:t>
      </w:r>
    </w:p>
    <w:p>
      <w:pPr>
        <w:pStyle w:val="Heading4"/>
        <w:rPr/>
      </w:pPr>
      <w:r>
        <w:rPr/>
        <w:t>Expected result</w:t>
      </w:r>
    </w:p>
    <w:p>
      <w:pPr>
        <w:pStyle w:val="Normal"/>
        <w:rPr/>
      </w:pPr>
      <w:r>
        <w:rPr>
          <w:rFonts w:eastAsia="Calibri"/>
          <w:b w:val="false"/>
          <w:i w:val="false"/>
          <w:color w:val="1A1A1A"/>
          <w:sz w:val="21"/>
        </w:rPr>
        <w:t>Request succeeds after Retry-After when guidance is honored; new remaining budget recorded.</w:t>
      </w:r>
    </w:p>
    <w:p>
      <w:pPr>
        <w:pStyle w:val="Heading4"/>
        <w:rPr/>
      </w:pPr>
      <w:r>
        <w:rPr/>
        <w:t>Result capture</w:t>
      </w:r>
    </w:p>
    <w:tbl>
      <w:tblPr>
        <w:tblStyle w:val="TableGrid"/>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cantSplit/>
        </w:trPr>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Field</w:t>
            </w:r>
          </w:p>
        </w:tc>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Entry</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Actual Result</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Status</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 / [Pass] / [Fail] / [Blocked]</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Notes / Blocker</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Evidence refs (request IDs, timestamps)</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4"/>
        <w:rPr/>
      </w:pPr>
      <w:r>
        <w:rPr/>
        <w:t>Step-level observations (optional)</w:t>
      </w:r>
    </w:p>
    <w:tbl>
      <w:tblPr>
        <w:tblStyle w:val="TableGrid"/>
        <w:tblW w:w="963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213"/>
        <w:gridCol w:w="3213"/>
        <w:gridCol w:w="3213"/>
      </w:tblGrid>
      <w:tr>
        <w:trPr>
          <w:cantSplit/>
        </w:trPr>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Step #</w:t>
            </w:r>
          </w:p>
        </w:tc>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Observed output / request ID</w:t>
            </w:r>
          </w:p>
        </w:tc>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Pass?</w:t>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1</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2</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3</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4</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3"/>
        <w:rPr/>
      </w:pPr>
      <w:bookmarkStart w:id="57" w:name="__RefHeading___Toc21506_693750392"/>
      <w:bookmarkEnd w:id="57"/>
      <w:r>
        <w:rPr/>
        <w:t>G7 group roll-up sign-off</w:t>
      </w:r>
    </w:p>
    <w:tbl>
      <w:tblPr>
        <w:tblStyle w:val="TableGrid"/>
        <w:tblW w:w="96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409"/>
        <w:gridCol w:w="2409"/>
        <w:gridCol w:w="2409"/>
        <w:gridCol w:w="2409"/>
      </w:tblGrid>
      <w:tr>
        <w:trPr>
          <w:cantSplit/>
        </w:trPr>
        <w:tc>
          <w:tcPr>
            <w:tcW w:w="240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Check</w:t>
            </w:r>
          </w:p>
        </w:tc>
        <w:tc>
          <w:tcPr>
            <w:tcW w:w="240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Result</w:t>
            </w:r>
          </w:p>
        </w:tc>
        <w:tc>
          <w:tcPr>
            <w:tcW w:w="240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Initials</w:t>
            </w:r>
          </w:p>
        </w:tc>
        <w:tc>
          <w:tcPr>
            <w:tcW w:w="240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Date</w:t>
            </w:r>
          </w:p>
        </w:tc>
      </w:tr>
      <w:tr>
        <w:trPr>
          <w:cantSplit/>
        </w:trPr>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All POCs in group executed or formally waived</w:t>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Evidence retained (API version, region, SKU, IDs)</w:t>
            </w:r>
          </w:p>
        </w:tc>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Blockers logged in §7</w:t>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Cleanup completed or retention justified</w:t>
            </w:r>
          </w:p>
        </w:tc>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 approved to unlock dependents</w:t>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2"/>
        <w:rPr/>
      </w:pPr>
      <w:bookmarkStart w:id="58" w:name="__RefHeading___Toc21508_693750392"/>
      <w:bookmarkEnd w:id="58"/>
      <w:r>
        <w:rPr/>
        <w:t>Group 8: Reserved Instance Discount Scope (FC-09)</w:t>
      </w:r>
    </w:p>
    <w:p>
      <w:pPr>
        <w:pStyle w:val="Normal"/>
        <w:rPr/>
      </w:pPr>
      <w:r>
        <w:rPr>
          <w:rFonts w:eastAsia="Calibri"/>
          <w:b w:val="false"/>
          <w:i w:val="false"/>
          <w:color w:val="1A1A1A"/>
          <w:sz w:val="21"/>
        </w:rPr>
        <w:t>FinOps validation. RI discounts do not automatically flow from provider to consumer in a shared CRG arrangement. Scope must be validated per provider–consumer pair before any customer cost model is presented (R-44).</w:t>
      </w:r>
    </w:p>
    <w:p>
      <w:pPr>
        <w:pStyle w:val="Normal"/>
        <w:rPr/>
      </w:pPr>
      <w:r>
        <w:rPr>
          <w:rFonts w:eastAsia="Calibri"/>
          <w:b w:val="false"/>
          <w:i/>
          <w:color w:val="555555"/>
          <w:sz w:val="20"/>
        </w:rPr>
        <w:t>Group contains 2 POC entries. Complete result capture for every entry before signing the group roll-up below.</w:t>
      </w:r>
    </w:p>
    <w:p>
      <w:pPr>
        <w:pStyle w:val="Heading3"/>
        <w:rPr/>
      </w:pPr>
      <w:bookmarkStart w:id="59" w:name="__RefHeading___Toc21510_693750392"/>
      <w:bookmarkEnd w:id="59"/>
      <w:r>
        <w:rPr/>
        <w:t>POC-RI-01: Verify RI Discount Scope for Provider Subscription</w:t>
      </w:r>
    </w:p>
    <w:tbl>
      <w:tblPr>
        <w:tblStyle w:val="TableGrid"/>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cantSplit/>
        </w:trPr>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Attribute</w:t>
            </w:r>
          </w:p>
        </w:tc>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Value</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 ID</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POC-RI-01</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 8: Reserved Instance Discount Scope (FC-09)</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Objective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List reservation orders and document applied scopes relative to provider and consumer subscriptions.</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Gate</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1 Pilot (FinOps validation before any customer cost modelling)</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Prerequisites</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FinOps reader access to reservation orders</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Executed by</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Execution date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API version(s) used</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Region / SKU / Zone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4"/>
        <w:rPr/>
      </w:pPr>
      <w:r>
        <w:rPr/>
        <w:t>Test steps</w:t>
      </w:r>
    </w:p>
    <w:p>
      <w:pPr>
        <w:pStyle w:val="Normal"/>
        <w:spacing w:before="80" w:after="40"/>
        <w:rPr/>
      </w:pPr>
      <w:r>
        <w:rPr>
          <w:rFonts w:eastAsia="Calibri"/>
          <w:b/>
          <w:i w:val="false"/>
          <w:color w:val="0B3D5C"/>
          <w:sz w:val="21"/>
        </w:rPr>
        <w:t xml:space="preserve">1. </w:t>
      </w:r>
      <w:r>
        <w:rPr>
          <w:rFonts w:eastAsia="Calibri"/>
          <w:b w:val="false"/>
          <w:i w:val="false"/>
          <w:color w:val="1A1A1A"/>
          <w:sz w:val="21"/>
        </w:rPr>
        <w:t>Run:</w:t>
      </w:r>
    </w:p>
    <w:p>
      <w:pPr>
        <w:pStyle w:val="CodeBlock"/>
        <w:shd w:val="clear" w:fill="F4F6F8"/>
        <w:rPr/>
      </w:pPr>
      <w:r>
        <w:rPr>
          <w:rFonts w:cs="Consolas"/>
          <w:b w:val="false"/>
          <w:i w:val="false"/>
          <w:color w:val="1A1A1A"/>
          <w:sz w:val="17"/>
        </w:rPr>
        <w:t>az reservations reservation-order list --query '[].{OrderId:name, DisplayName:displayName}' -o table</w:t>
      </w:r>
    </w:p>
    <w:p>
      <w:pPr>
        <w:pStyle w:val="Normal"/>
        <w:spacing w:before="80" w:after="40"/>
        <w:rPr/>
      </w:pPr>
      <w:r>
        <w:rPr>
          <w:rFonts w:eastAsia="Calibri"/>
          <w:b/>
          <w:i w:val="false"/>
          <w:color w:val="0B3D5C"/>
          <w:sz w:val="21"/>
        </w:rPr>
        <w:t xml:space="preserve">2. </w:t>
      </w:r>
      <w:r>
        <w:rPr>
          <w:rFonts w:eastAsia="Calibri"/>
          <w:b w:val="false"/>
          <w:i w:val="false"/>
          <w:color w:val="1A1A1A"/>
          <w:sz w:val="21"/>
        </w:rPr>
        <w:t>For each relevant order:</w:t>
      </w:r>
    </w:p>
    <w:p>
      <w:pPr>
        <w:pStyle w:val="CodeBlock"/>
        <w:shd w:val="clear" w:fill="F4F6F8"/>
        <w:rPr/>
      </w:pPr>
      <w:r>
        <w:rPr>
          <w:rFonts w:cs="Consolas"/>
          <w:b w:val="false"/>
          <w:i w:val="false"/>
          <w:color w:val="1A1A1A"/>
          <w:sz w:val="17"/>
        </w:rPr>
        <w:t>az reservations reservation-order show --reservation-order-id &lt;ORDER_ID&gt; -o json</w:t>
      </w:r>
    </w:p>
    <w:p>
      <w:pPr>
        <w:pStyle w:val="Normal"/>
        <w:spacing w:before="80" w:after="40"/>
        <w:rPr/>
      </w:pPr>
      <w:r>
        <w:rPr>
          <w:rFonts w:eastAsia="Calibri"/>
          <w:b/>
          <w:i w:val="false"/>
          <w:color w:val="0B3D5C"/>
          <w:sz w:val="21"/>
        </w:rPr>
        <w:t xml:space="preserve">3. </w:t>
      </w:r>
      <w:r>
        <w:rPr>
          <w:rFonts w:eastAsia="Calibri"/>
          <w:b w:val="false"/>
          <w:i w:val="false"/>
          <w:color w:val="1A1A1A"/>
          <w:sz w:val="21"/>
        </w:rPr>
        <w:t>Inspect applied scope fields (single subscription, shared, management group, billing account)</w:t>
      </w:r>
    </w:p>
    <w:p>
      <w:pPr>
        <w:pStyle w:val="Normal"/>
        <w:spacing w:before="80" w:after="40"/>
        <w:rPr/>
      </w:pPr>
      <w:r>
        <w:rPr>
          <w:rFonts w:eastAsia="Calibri"/>
          <w:b/>
          <w:i w:val="false"/>
          <w:color w:val="0B3D5C"/>
          <w:sz w:val="21"/>
        </w:rPr>
        <w:t xml:space="preserve">4. </w:t>
      </w:r>
      <w:r>
        <w:rPr>
          <w:rFonts w:eastAsia="Calibri"/>
          <w:b w:val="false"/>
          <w:i w:val="false"/>
          <w:color w:val="1A1A1A"/>
          <w:sz w:val="21"/>
        </w:rPr>
        <w:t>Determine whether consumer subscription is within applied scope</w:t>
      </w:r>
    </w:p>
    <w:p>
      <w:pPr>
        <w:pStyle w:val="Heading4"/>
        <w:rPr/>
      </w:pPr>
      <w:r>
        <w:rPr/>
        <w:t>Expected result</w:t>
      </w:r>
    </w:p>
    <w:p>
      <w:pPr>
        <w:pStyle w:val="Normal"/>
        <w:rPr/>
      </w:pPr>
      <w:r>
        <w:rPr>
          <w:rFonts w:eastAsia="Calibri"/>
          <w:b w:val="false"/>
          <w:i w:val="false"/>
          <w:color w:val="1A1A1A"/>
          <w:sz w:val="21"/>
        </w:rPr>
        <w:t>Current scope for each relevant reservation recorded; whether consumer benefits is confirmed or denied; scope type documented.</w:t>
      </w:r>
    </w:p>
    <w:p>
      <w:pPr>
        <w:pStyle w:val="Heading4"/>
        <w:rPr/>
      </w:pPr>
      <w:r>
        <w:rPr/>
        <w:t>Result capture</w:t>
      </w:r>
    </w:p>
    <w:tbl>
      <w:tblPr>
        <w:tblStyle w:val="TableGrid"/>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cantSplit/>
        </w:trPr>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Field</w:t>
            </w:r>
          </w:p>
        </w:tc>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Entry</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Actual Result</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Status</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 / [Pass] / [Fail] / [Blocked]</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Notes / Blocker</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Evidence refs (request IDs, timestamps)</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4"/>
        <w:rPr/>
      </w:pPr>
      <w:r>
        <w:rPr/>
        <w:t>Step-level observations (optional)</w:t>
      </w:r>
    </w:p>
    <w:tbl>
      <w:tblPr>
        <w:tblStyle w:val="TableGrid"/>
        <w:tblW w:w="963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213"/>
        <w:gridCol w:w="3213"/>
        <w:gridCol w:w="3213"/>
      </w:tblGrid>
      <w:tr>
        <w:trPr>
          <w:cantSplit/>
        </w:trPr>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Step #</w:t>
            </w:r>
          </w:p>
        </w:tc>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Observed output / request ID</w:t>
            </w:r>
          </w:p>
        </w:tc>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Pass?</w:t>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1</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2</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3</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4</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3"/>
        <w:rPr/>
      </w:pPr>
      <w:bookmarkStart w:id="60" w:name="__RefHeading___Toc21512_693750392"/>
      <w:bookmarkEnd w:id="60"/>
      <w:r>
        <w:rPr/>
        <w:t>POC-RI-02: Document Discount Gap per Customer Pair</w:t>
      </w:r>
    </w:p>
    <w:tbl>
      <w:tblPr>
        <w:tblStyle w:val="TableGrid"/>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cantSplit/>
        </w:trPr>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Attribute</w:t>
            </w:r>
          </w:p>
        </w:tc>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Value</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 ID</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POC-RI-02</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 8: Reserved Instance Discount Scope (FC-09)</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Objective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For each provider–consumer pair in the pilot set, record whether RI discount flow is confirmed.</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Gate</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1 Pilot (required before cost modelling is presented to any customer)</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Prerequisites</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POC-RI-01 Pass</w:t>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Executed by</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Execution date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API version(s) used</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Region / SKU / Zone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4"/>
        <w:rPr/>
      </w:pPr>
      <w:r>
        <w:rPr/>
        <w:t>Test steps</w:t>
      </w:r>
    </w:p>
    <w:p>
      <w:pPr>
        <w:pStyle w:val="Normal"/>
        <w:spacing w:before="80" w:after="40"/>
        <w:rPr/>
      </w:pPr>
      <w:r>
        <w:rPr>
          <w:rFonts w:eastAsia="Calibri"/>
          <w:b/>
          <w:i w:val="false"/>
          <w:color w:val="0B3D5C"/>
          <w:sz w:val="21"/>
        </w:rPr>
        <w:t xml:space="preserve">1. </w:t>
      </w:r>
      <w:r>
        <w:rPr>
          <w:rFonts w:eastAsia="Calibri"/>
          <w:b w:val="false"/>
          <w:i w:val="false"/>
          <w:color w:val="1A1A1A"/>
          <w:sz w:val="21"/>
        </w:rPr>
        <w:t>For each provider–consumer subscription pair, repeat scope inspection from POC-RI-01</w:t>
      </w:r>
    </w:p>
    <w:p>
      <w:pPr>
        <w:pStyle w:val="Normal"/>
        <w:spacing w:before="80" w:after="40"/>
        <w:rPr/>
      </w:pPr>
      <w:r>
        <w:rPr>
          <w:rFonts w:eastAsia="Calibri"/>
          <w:b/>
          <w:i w:val="false"/>
          <w:color w:val="0B3D5C"/>
          <w:sz w:val="21"/>
        </w:rPr>
        <w:t xml:space="preserve">2. </w:t>
      </w:r>
      <w:r>
        <w:rPr>
          <w:rFonts w:eastAsia="Calibri"/>
          <w:b w:val="false"/>
          <w:i w:val="false"/>
          <w:color w:val="1A1A1A"/>
          <w:sz w:val="21"/>
        </w:rPr>
        <w:t>Fill tracking table: Provider Sub | Consumer Sub | RI Discount Confirmed (Y/N) | Scope Type | Notes</w:t>
      </w:r>
    </w:p>
    <w:p>
      <w:pPr>
        <w:pStyle w:val="Normal"/>
        <w:spacing w:before="80" w:after="40"/>
        <w:rPr/>
      </w:pPr>
      <w:r>
        <w:rPr>
          <w:rFonts w:eastAsia="Calibri"/>
          <w:b/>
          <w:i w:val="false"/>
          <w:color w:val="0B3D5C"/>
          <w:sz w:val="21"/>
        </w:rPr>
        <w:t xml:space="preserve">3. </w:t>
      </w:r>
      <w:r>
        <w:rPr>
          <w:rFonts w:eastAsia="Calibri"/>
          <w:b w:val="false"/>
          <w:i w:val="false"/>
          <w:color w:val="1A1A1A"/>
          <w:sz w:val="21"/>
        </w:rPr>
        <w:t>Escalate any pair where discount is NOT confirmed before cost models are finalised</w:t>
      </w:r>
    </w:p>
    <w:p>
      <w:pPr>
        <w:pStyle w:val="Heading4"/>
        <w:rPr/>
      </w:pPr>
      <w:r>
        <w:rPr/>
        <w:t>Expected result</w:t>
      </w:r>
    </w:p>
    <w:p>
      <w:pPr>
        <w:pStyle w:val="Normal"/>
        <w:rPr/>
      </w:pPr>
      <w:r>
        <w:rPr>
          <w:rFonts w:eastAsia="Calibri"/>
          <w:b w:val="false"/>
          <w:i w:val="false"/>
          <w:color w:val="1A1A1A"/>
          <w:sz w:val="21"/>
        </w:rPr>
        <w:t>All pairs have confirmed or denied discount flow documented. Pairs without confirmed discount require scope reconfiguration before customer cost estimates.</w:t>
      </w:r>
    </w:p>
    <w:p>
      <w:pPr>
        <w:pStyle w:val="Heading4"/>
        <w:rPr/>
      </w:pPr>
      <w:r>
        <w:rPr/>
        <w:t>Result capture</w:t>
      </w:r>
    </w:p>
    <w:tbl>
      <w:tblPr>
        <w:tblStyle w:val="TableGrid"/>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cantSplit/>
        </w:trPr>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Field</w:t>
            </w:r>
          </w:p>
        </w:tc>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Entry</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Actual Result</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Status</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 / [Pass] / [Fail] / [Blocked]</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Notes / Blocker</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Evidence refs (request IDs, timestamps)</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4"/>
        <w:rPr/>
      </w:pPr>
      <w:r>
        <w:rPr/>
        <w:t>Step-level observations (optional)</w:t>
      </w:r>
    </w:p>
    <w:tbl>
      <w:tblPr>
        <w:tblStyle w:val="TableGrid"/>
        <w:tblW w:w="963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213"/>
        <w:gridCol w:w="3213"/>
        <w:gridCol w:w="3213"/>
      </w:tblGrid>
      <w:tr>
        <w:trPr>
          <w:cantSplit/>
        </w:trPr>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Step #</w:t>
            </w:r>
          </w:p>
        </w:tc>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Observed output / request ID</w:t>
            </w:r>
          </w:p>
        </w:tc>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Pass?</w:t>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1</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2</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3</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3"/>
        <w:rPr/>
      </w:pPr>
      <w:bookmarkStart w:id="61" w:name="__RefHeading___Toc21514_693750392"/>
      <w:bookmarkEnd w:id="61"/>
      <w:r>
        <w:rPr/>
        <w:t>G8 group roll-up sign-off</w:t>
      </w:r>
    </w:p>
    <w:tbl>
      <w:tblPr>
        <w:tblStyle w:val="TableGrid"/>
        <w:tblW w:w="96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409"/>
        <w:gridCol w:w="2409"/>
        <w:gridCol w:w="2409"/>
        <w:gridCol w:w="2409"/>
      </w:tblGrid>
      <w:tr>
        <w:trPr>
          <w:cantSplit/>
        </w:trPr>
        <w:tc>
          <w:tcPr>
            <w:tcW w:w="240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Check</w:t>
            </w:r>
          </w:p>
        </w:tc>
        <w:tc>
          <w:tcPr>
            <w:tcW w:w="240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Result</w:t>
            </w:r>
          </w:p>
        </w:tc>
        <w:tc>
          <w:tcPr>
            <w:tcW w:w="240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Initials</w:t>
            </w:r>
          </w:p>
        </w:tc>
        <w:tc>
          <w:tcPr>
            <w:tcW w:w="240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Date</w:t>
            </w:r>
          </w:p>
        </w:tc>
      </w:tr>
      <w:tr>
        <w:trPr>
          <w:cantSplit/>
        </w:trPr>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All POCs in group executed or formally waived</w:t>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Evidence retained (API version, region, SKU, IDs)</w:t>
            </w:r>
          </w:p>
        </w:tc>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Blockers logged in §7</w:t>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Cleanup completed or retention justified</w:t>
            </w:r>
          </w:p>
        </w:tc>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Group approved to unlock dependents</w:t>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1"/>
        <w:rPr/>
      </w:pPr>
      <w:bookmarkStart w:id="62" w:name="__RefHeading___Toc21516_693750392"/>
      <w:bookmarkEnd w:id="62"/>
      <w:r>
        <w:rPr/>
        <w:t>5. Test Progress Tracker</w:t>
      </w:r>
    </w:p>
    <w:p>
      <w:pPr>
        <w:pStyle w:val="Normal"/>
        <w:rPr/>
      </w:pPr>
      <w:r>
        <w:rPr>
          <w:rFonts w:eastAsia="Calibri"/>
          <w:b w:val="false"/>
          <w:i w:val="false"/>
          <w:color w:val="1A1A1A"/>
          <w:sz w:val="21"/>
        </w:rPr>
        <w:t>Master tracker for programme status reporting. Update Status as tests complete. All Status cells start as [Not Started].</w:t>
      </w:r>
    </w:p>
    <w:tbl>
      <w:tblPr>
        <w:tblStyle w:val="TableGrid"/>
        <w:tblW w:w="964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205"/>
        <w:gridCol w:w="1205"/>
        <w:gridCol w:w="1205"/>
        <w:gridCol w:w="1205"/>
        <w:gridCol w:w="1205"/>
        <w:gridCol w:w="1205"/>
        <w:gridCol w:w="1205"/>
        <w:gridCol w:w="1205"/>
      </w:tblGrid>
      <w:tr>
        <w:trPr>
          <w:cantSplit/>
        </w:trPr>
        <w:tc>
          <w:tcPr>
            <w:tcW w:w="1205"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POC ID</w:t>
            </w:r>
          </w:p>
        </w:tc>
        <w:tc>
          <w:tcPr>
            <w:tcW w:w="1205"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Test Name</w:t>
            </w:r>
          </w:p>
        </w:tc>
        <w:tc>
          <w:tcPr>
            <w:tcW w:w="1205"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Group</w:t>
            </w:r>
          </w:p>
        </w:tc>
        <w:tc>
          <w:tcPr>
            <w:tcW w:w="1205"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Phase Gate</w:t>
            </w:r>
          </w:p>
        </w:tc>
        <w:tc>
          <w:tcPr>
            <w:tcW w:w="1205"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Owner</w:t>
            </w:r>
          </w:p>
        </w:tc>
        <w:tc>
          <w:tcPr>
            <w:tcW w:w="1205"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Status</w:t>
            </w:r>
          </w:p>
        </w:tc>
        <w:tc>
          <w:tcPr>
            <w:tcW w:w="1205"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Date Completed</w:t>
            </w:r>
          </w:p>
        </w:tc>
        <w:tc>
          <w:tcPr>
            <w:tcW w:w="1205"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Notes</w:t>
            </w:r>
          </w:p>
        </w:tc>
      </w:tr>
      <w:tr>
        <w:trPr>
          <w:cantSplit/>
        </w:trPr>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POC-01</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Create CRG in Provider Subscription</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G1</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1</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POC-02</w:t>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Create Capacity Reservation within the CRG</w:t>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G1</w:t>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1</w:t>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w:t>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POC-03</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Associate VM with Reservation (Provider)</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G1</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1</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POC-04</w:t>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Verify Capacity Consumption Count Increments</w:t>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G1</w:t>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1</w:t>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w:t>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POC-05</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Disassociate VM — Verify Capacity Released</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G1</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1</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POC-06</w:t>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Enable Cross-Subscription Sharing on CRG</w:t>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G2</w:t>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1</w:t>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w:t>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POC-06a</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Cross-Subscription Zone Alignment (FC-06)</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G2</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1 Gate</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POC-07</w:t>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Consumer Discovers Shared CRG via ARG</w:t>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G2</w:t>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1</w:t>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w:t>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POC-08</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Associate Consumer VM with Shared CRG</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G2</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1</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POC-09</w:t>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Verify Combined Consumption Count</w:t>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G2</w:t>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1</w:t>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w:t>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POC-10</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100-Consumer Limit Boundary Behaviour</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G2</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Production</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POC-11</w:t>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Create DR Region CRG and Reservation</w:t>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G3</w:t>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1</w:t>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w:t>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POC-12</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Simulate DR Failover</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G3</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2</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POC-13</w:t>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DR Floor Protection Verification</w:t>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G3</w:t>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1</w:t>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w:t>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POC-14</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Failback — Restore Primary, Release DR</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G3</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2</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POC-15</w:t>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Zero-Quantity Reservation Behaviour</w:t>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G5</w:t>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1</w:t>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w:t>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POC-16</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ARG Indexing Delay Measurement</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G5</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1</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POC-17</w:t>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Concurrent Association Safety</w:t>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G5</w:t>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1</w:t>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w:t>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POC-18</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Tier 1 Automatic Capacity Increase</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G5</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2</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POC-19</w:t>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Tier 2 Approval Gate</w:t>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G5</w:t>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2</w:t>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w:t>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POC-20</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Tier 3 Rejection in Phase 1</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G5</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1</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POC-30</w:t>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Verify Quota Group API Availability</w:t>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G4</w:t>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1 Gate</w:t>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w:t>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POC-31</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Add Subscription to Quota Group and Verify Headroom</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G4</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2</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POC-32</w:t>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Release and Reuse Behaviour</w:t>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G4</w:t>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2</w:t>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w:t>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POC-AKS-01</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AKS Node Pool CRG Association at Creation</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G6</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2</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POC-AKS-02</w:t>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Existing Node Pool CRG Change Requires Recreation (FC-18)</w:t>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G6</w:t>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1</w:t>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w:t>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POC-VMSS-01</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VMSS Uniform CRG Association</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G6</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2</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POC-VMSS-02</w:t>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VMSS Flexible CRG Association</w:t>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G6</w:t>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2</w:t>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w:t>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POC-VMSS-03</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VMSS Disassociation Behaviour</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G6</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2</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POC-VMSS-DR</w:t>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VMSS Zone Outage via Shared CRG (FC-08)</w:t>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G6</w:t>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2 Gate</w:t>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w:t>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POC-THROTTLE-01</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Observe Compute Throttle Budget Headers</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G7</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1</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POC-THROTTLE-02</w:t>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Observe 429 Response and Retry-After</w:t>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G7</w:t>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1</w:t>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w:t>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POC-THROTTLE-03</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Validate Budget Recovery After Throttle</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G7</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1</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POC-RI-01</w:t>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Verify RI Discount Scope for Provider Subscription</w:t>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G8</w:t>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1</w:t>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w:t>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2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POC-RI-02</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Document Discount Gap per Customer Pair</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G8</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1</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w:t>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2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1"/>
        <w:rPr/>
      </w:pPr>
      <w:bookmarkStart w:id="63" w:name="__RefHeading___Toc21518_693750392"/>
      <w:bookmarkEnd w:id="63"/>
      <w:r>
        <w:rPr/>
        <w:t>6. Phase Gate Sign-Off Checklist</w:t>
      </w:r>
    </w:p>
    <w:p>
      <w:pPr>
        <w:pStyle w:val="Normal"/>
        <w:rPr/>
      </w:pPr>
      <w:r>
        <w:rPr>
          <w:rFonts w:eastAsia="Calibri"/>
          <w:b w:val="false"/>
          <w:i w:val="false"/>
          <w:color w:val="1A1A1A"/>
          <w:sz w:val="21"/>
        </w:rPr>
        <w:t>Phase gates are cumulative. Phase 2 cannot open until Phase 1 is fully signed. Production cannot open until Phase 2 is fully signed and residual Critical/High risks are accepted.</w:t>
      </w:r>
    </w:p>
    <w:p>
      <w:pPr>
        <w:pStyle w:val="Heading2"/>
        <w:rPr/>
      </w:pPr>
      <w:bookmarkStart w:id="64" w:name="__RefHeading___Toc21520_693750392"/>
      <w:bookmarkEnd w:id="64"/>
      <w:r>
        <w:rPr/>
        <w:t>6.1 Phase 1 (Pilot) Gate</w:t>
      </w:r>
    </w:p>
    <w:p>
      <w:pPr>
        <w:pStyle w:val="Normal"/>
        <w:rPr/>
      </w:pPr>
      <w:r>
        <w:rPr>
          <w:rFonts w:eastAsia="Calibri"/>
          <w:b w:val="false"/>
          <w:i w:val="false"/>
          <w:color w:val="1A1A1A"/>
          <w:sz w:val="21"/>
        </w:rPr>
        <w:t>All items must be Pass before pilot customers are onboarded. Scope: discovery, inventory, zone-resolution validation, placement recommendations, quota visibility, sharing setup in approved subscriptions, CR quantity increases, and tested Tier 1 operations only.</w:t>
      </w:r>
    </w:p>
    <w:tbl>
      <w:tblPr>
        <w:tblStyle w:val="TableGrid"/>
        <w:tblW w:w="964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28"/>
        <w:gridCol w:w="1928"/>
        <w:gridCol w:w="1928"/>
        <w:gridCol w:w="1928"/>
        <w:gridCol w:w="1928"/>
      </w:tblGrid>
      <w:tr>
        <w:trPr>
          <w:cantSplit/>
        </w:trPr>
        <w:tc>
          <w:tcPr>
            <w:tcW w:w="1928"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Gate Item</w:t>
            </w:r>
          </w:p>
        </w:tc>
        <w:tc>
          <w:tcPr>
            <w:tcW w:w="1928"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Required POC / Evidence</w:t>
            </w:r>
          </w:p>
        </w:tc>
        <w:tc>
          <w:tcPr>
            <w:tcW w:w="1928"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Status</w:t>
            </w:r>
          </w:p>
        </w:tc>
        <w:tc>
          <w:tcPr>
            <w:tcW w:w="1928"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Sign-off Authority</w:t>
            </w:r>
          </w:p>
        </w:tc>
        <w:tc>
          <w:tcPr>
            <w:tcW w:w="1928"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Sign-off Date</w:t>
            </w:r>
          </w:p>
        </w:tc>
      </w:tr>
      <w:tr>
        <w:trPr>
          <w:cantSplit/>
        </w:trPr>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POC-01 to POC-09 foundational sharing path pass</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POC-01 … POC-09</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Test Lead + Capacity Architect</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POC-06a zone alignment confirmed for every provider–consumer pair</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POC-06a</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Placement Owner</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POC-30 quota group API available in every pilot scope (or formal fallback approved)</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POC-30</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Quota Owner</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POC-15 and POC-16 safety behaviours documented</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POC-15, POC-16</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Compute Owner + Engineering</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POC-THROTTLE-01 baselines recorded for target subscriptions</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POC-THROTTLE-01</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SRE</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G-14 permissions model security reviewed (Tier 3 remains disabled if unresolved)</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POC-20 + Security review</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Security</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POC-RI-01 discount scope validated before customer cost modelling</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POC-RI-01</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FinOps</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DR region ≠ Primary ≠ NonProd confirmed</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PF-09, PF-10</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DR Architect</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POC-20 Tier 3 rejection confirmed in Phase 1 mode</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POC-20</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DR Owner + Security</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Preview risk formally accepted for bounded pilot</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PG-10 governance</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Product Owner / Board</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2"/>
        <w:rPr/>
      </w:pPr>
      <w:bookmarkStart w:id="65" w:name="__RefHeading___Toc21522_693750392"/>
      <w:bookmarkEnd w:id="65"/>
      <w:r>
        <w:rPr/>
        <w:t>6.2 Phase 2 (Controlled Automation) Gate</w:t>
      </w:r>
    </w:p>
    <w:p>
      <w:pPr>
        <w:pStyle w:val="Normal"/>
        <w:rPr/>
      </w:pPr>
      <w:r>
        <w:rPr>
          <w:rFonts w:eastAsia="Calibri"/>
          <w:b w:val="false"/>
          <w:i w:val="false"/>
          <w:color w:val="1A1A1A"/>
          <w:sz w:val="21"/>
        </w:rPr>
        <w:t>All Phase 1 gates plus the following:</w:t>
      </w:r>
    </w:p>
    <w:tbl>
      <w:tblPr>
        <w:tblStyle w:val="TableGrid"/>
        <w:tblW w:w="964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28"/>
        <w:gridCol w:w="1928"/>
        <w:gridCol w:w="1928"/>
        <w:gridCol w:w="1928"/>
        <w:gridCol w:w="1928"/>
      </w:tblGrid>
      <w:tr>
        <w:trPr>
          <w:cantSplit/>
        </w:trPr>
        <w:tc>
          <w:tcPr>
            <w:tcW w:w="1928"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Gate Item</w:t>
            </w:r>
          </w:p>
        </w:tc>
        <w:tc>
          <w:tcPr>
            <w:tcW w:w="1928"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Required POC / Evidence</w:t>
            </w:r>
          </w:p>
        </w:tc>
        <w:tc>
          <w:tcPr>
            <w:tcW w:w="1928"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Status</w:t>
            </w:r>
          </w:p>
        </w:tc>
        <w:tc>
          <w:tcPr>
            <w:tcW w:w="1928"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Sign-off Authority</w:t>
            </w:r>
          </w:p>
        </w:tc>
        <w:tc>
          <w:tcPr>
            <w:tcW w:w="1928"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Sign-off Date</w:t>
            </w:r>
          </w:p>
        </w:tc>
      </w:tr>
      <w:tr>
        <w:trPr>
          <w:cantSplit/>
        </w:trPr>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All Phase 1 gates closed</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1 checklist</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Test Lead</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POC-31 and POC-32 pass with measured propagation</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POC-31, POC-32</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Quota Owner</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POC-11 to POC-14 DR failover and failback validated</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POC-11 … POC-14</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DR Owner</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POC-18 and POC-19 automation and approval gate verified</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POC-18, POC-19</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Engineering + DR Owner</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POC-VMSS-DR documented (pass or fail both acceptable)</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POC-VMSS-DR</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Compute Owner</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POC-RI-02 discount gap documented for all pilot customers</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POC-RI-02</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FinOps</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All Phase 1 blockers resolved or explicitly accepted</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Section 7 log</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Programme Manager</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G-15 engine mode state machine implemented and fault-injection tested</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Engine mode tests</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Engineering</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2"/>
        <w:rPr/>
      </w:pPr>
      <w:bookmarkStart w:id="66" w:name="__RefHeading___Toc21524_693750392"/>
      <w:bookmarkEnd w:id="66"/>
      <w:r>
        <w:rPr/>
        <w:t>6.3 Production Gate</w:t>
      </w:r>
    </w:p>
    <w:p>
      <w:pPr>
        <w:pStyle w:val="Normal"/>
        <w:rPr/>
      </w:pPr>
      <w:r>
        <w:rPr>
          <w:rFonts w:eastAsia="Calibri"/>
          <w:b w:val="false"/>
          <w:i w:val="false"/>
          <w:color w:val="1A1A1A"/>
          <w:sz w:val="21"/>
        </w:rPr>
        <w:t>Unrestricted autonomous DR, destructive capacity transfer, and VMSS emergency automation remain prohibited until these gates close.</w:t>
      </w:r>
    </w:p>
    <w:tbl>
      <w:tblPr>
        <w:tblStyle w:val="TableGrid"/>
        <w:tblW w:w="964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28"/>
        <w:gridCol w:w="1928"/>
        <w:gridCol w:w="1928"/>
        <w:gridCol w:w="1928"/>
        <w:gridCol w:w="1928"/>
      </w:tblGrid>
      <w:tr>
        <w:trPr>
          <w:cantSplit/>
        </w:trPr>
        <w:tc>
          <w:tcPr>
            <w:tcW w:w="1928"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Gate Item</w:t>
            </w:r>
          </w:p>
        </w:tc>
        <w:tc>
          <w:tcPr>
            <w:tcW w:w="1928"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Required POC / Evidence</w:t>
            </w:r>
          </w:p>
        </w:tc>
        <w:tc>
          <w:tcPr>
            <w:tcW w:w="1928"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Status</w:t>
            </w:r>
          </w:p>
        </w:tc>
        <w:tc>
          <w:tcPr>
            <w:tcW w:w="1928"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Sign-off Authority</w:t>
            </w:r>
          </w:p>
        </w:tc>
        <w:tc>
          <w:tcPr>
            <w:tcW w:w="1928"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Sign-off Date</w:t>
            </w:r>
          </w:p>
        </w:tc>
      </w:tr>
      <w:tr>
        <w:trPr>
          <w:cantSplit/>
        </w:trPr>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All Phase 2 gates closed</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2 checklist</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Programme Manager</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POC-10 consumer limit documented and sharding strategy approved</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POC-10</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Capacity Architect</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POC-20 Tier 3 controls confirmed; Tier 3 only if G-14 closed and separately authorized</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POC-20 + G-14</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Security + Board</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POC-THROTTLE-02 and POC-THROTTLE-03 recorded for all target regions</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POC-THROTTLE-02/03</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SRE</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Full DR failover and failback exercised with pilot customers</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PG-07</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DR Owner + Business Continuity</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All Critical and High residual risks accepted by leadership</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Risk register R-01…R-44</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Board / Design Review Council</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PG-01 through PG-10 production entry gates evidenced</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Architecture §17</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Design Review Council</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2"/>
        <w:rPr/>
      </w:pPr>
      <w:bookmarkStart w:id="67" w:name="__RefHeading___Toc21526_693750392"/>
      <w:bookmarkEnd w:id="67"/>
      <w:r>
        <w:rPr/>
        <w:t>6.4 Production entry gates (architecture PG-01 … PG-10)</w:t>
      </w:r>
    </w:p>
    <w:tbl>
      <w:tblPr>
        <w:tblStyle w:val="TableGrid"/>
        <w:tblW w:w="96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409"/>
        <w:gridCol w:w="2409"/>
        <w:gridCol w:w="2409"/>
        <w:gridCol w:w="2409"/>
      </w:tblGrid>
      <w:tr>
        <w:trPr>
          <w:cantSplit/>
        </w:trPr>
        <w:tc>
          <w:tcPr>
            <w:tcW w:w="240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Gate</w:t>
            </w:r>
          </w:p>
        </w:tc>
        <w:tc>
          <w:tcPr>
            <w:tcW w:w="240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Required evidence</w:t>
            </w:r>
          </w:p>
        </w:tc>
        <w:tc>
          <w:tcPr>
            <w:tcW w:w="240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Exit criterion</w:t>
            </w:r>
          </w:p>
        </w:tc>
        <w:tc>
          <w:tcPr>
            <w:tcW w:w="240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Status</w:t>
            </w:r>
          </w:p>
        </w:tc>
      </w:tr>
      <w:tr>
        <w:trPr>
          <w:cantSplit/>
        </w:trPr>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PG-01 Sharing</w:t>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Executed sharing, unsharing, discovery, 100-consumer tests</w:t>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Stable behaviour + governance acceptance</w:t>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w:t>
            </w:r>
          </w:p>
        </w:tc>
      </w:tr>
      <w:tr>
        <w:trPr>
          <w:cantSplit/>
        </w:trPr>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PG-02 Quota Groups</w:t>
            </w:r>
          </w:p>
        </w:tc>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Executed POC-30 to POC-32 (+ POC-33 if in scope)</w:t>
            </w:r>
          </w:p>
        </w:tc>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API, eligibility, membership, propagation documented</w:t>
            </w:r>
          </w:p>
        </w:tc>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w:t>
            </w:r>
          </w:p>
        </w:tc>
      </w:tr>
      <w:tr>
        <w:trPr>
          <w:cantSplit/>
        </w:trPr>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PG-03 CR updates</w:t>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Increase, floor, zero, running-VM tests</w:t>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Scenario matrix approved</w:t>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w:t>
            </w:r>
          </w:p>
        </w:tc>
      </w:tr>
      <w:tr>
        <w:trPr>
          <w:cantSplit/>
        </w:trPr>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PG-04 State machine</w:t>
            </w:r>
          </w:p>
        </w:tc>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Formal model + fault-injection (G-15)</w:t>
            </w:r>
          </w:p>
        </w:tc>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 illegal steady-state/DR transitions</w:t>
            </w:r>
          </w:p>
        </w:tc>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w:t>
            </w:r>
          </w:p>
        </w:tc>
      </w:tr>
      <w:tr>
        <w:trPr>
          <w:cantSplit/>
        </w:trPr>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PG-05 Credentials</w:t>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Approved UAMI or alternative (G-14)</w:t>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Least privilege, consent, rotation, revocation tested</w:t>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w:t>
            </w:r>
          </w:p>
        </w:tc>
      </w:tr>
      <w:tr>
        <w:trPr>
          <w:cantSplit/>
        </w:trPr>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PG-06 Placement</w:t>
            </w:r>
          </w:p>
        </w:tc>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Concurrency and replay tests</w:t>
            </w:r>
          </w:p>
        </w:tc>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 over-allocation under parallel requests</w:t>
            </w:r>
          </w:p>
        </w:tc>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w:t>
            </w:r>
          </w:p>
        </w:tc>
      </w:tr>
      <w:tr>
        <w:trPr>
          <w:cantSplit/>
        </w:trPr>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PG-07 DR</w:t>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Full failover and failback exercise</w:t>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Application and data recovery objectives demonstrated</w:t>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w:t>
            </w:r>
          </w:p>
        </w:tc>
      </w:tr>
      <w:tr>
        <w:trPr>
          <w:cantSplit/>
        </w:trPr>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PG-08 VMSS</w:t>
            </w:r>
          </w:p>
        </w:tc>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Uniform and Flexible matrix + POC-VMSS-DR</w:t>
            </w:r>
          </w:p>
        </w:tc>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scope explicitly enforced</w:t>
            </w:r>
          </w:p>
        </w:tc>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w:t>
            </w:r>
          </w:p>
        </w:tc>
      </w:tr>
      <w:tr>
        <w:trPr>
          <w:cantSplit/>
        </w:trPr>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PG-09 Scale</w:t>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100 / 500 / 1,000 / multi-thousand scenarios</w:t>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Adaptive reconciliation meets internal SLO</w:t>
            </w:r>
          </w:p>
        </w:tc>
        <w:tc>
          <w:tcPr>
            <w:tcW w:w="240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w:t>
            </w:r>
          </w:p>
        </w:tc>
      </w:tr>
      <w:tr>
        <w:trPr>
          <w:cantSplit/>
        </w:trPr>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PG-10 Preview</w:t>
            </w:r>
          </w:p>
        </w:tc>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Architecture governance decision</w:t>
            </w:r>
          </w:p>
        </w:tc>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Preview risk accepted or dependency replaced</w:t>
            </w:r>
          </w:p>
        </w:tc>
        <w:tc>
          <w:tcPr>
            <w:tcW w:w="240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 Started]</w:t>
            </w:r>
          </w:p>
        </w:tc>
      </w:tr>
    </w:tbl>
    <w:p>
      <w:pPr>
        <w:pStyle w:val="Normal"/>
        <w:spacing w:before="40" w:after="120"/>
        <w:rPr/>
      </w:pPr>
      <w:r>
        <w:rPr/>
      </w:r>
    </w:p>
    <w:p>
      <w:pPr>
        <w:pStyle w:val="Heading2"/>
        <w:rPr/>
      </w:pPr>
      <w:bookmarkStart w:id="68" w:name="__RefHeading___Toc21528_693750392"/>
      <w:bookmarkEnd w:id="68"/>
      <w:r>
        <w:rPr/>
        <w:t>6.5 Residual risk acceptance (production entry)</w:t>
      </w:r>
    </w:p>
    <w:p>
      <w:pPr>
        <w:pStyle w:val="Normal"/>
        <w:rPr/>
      </w:pPr>
      <w:r>
        <w:rPr>
          <w:rFonts w:eastAsia="Calibri"/>
          <w:b w:val="false"/>
          <w:i w:val="false"/>
          <w:color w:val="1A1A1A"/>
          <w:sz w:val="21"/>
        </w:rPr>
        <w:t>Even after controls, residual platform and operational risks remain (architecture §15, §40). Leadership must explicitly accept or mitigate the following before Production gate closure. This table is not a substitute for the full risk register.</w:t>
      </w:r>
    </w:p>
    <w:tbl>
      <w:tblPr>
        <w:tblStyle w:val="TableGrid"/>
        <w:tblW w:w="96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606"/>
        <w:gridCol w:w="1605"/>
        <w:gridCol w:w="1607"/>
        <w:gridCol w:w="1606"/>
        <w:gridCol w:w="1605"/>
        <w:gridCol w:w="1607"/>
      </w:tblGrid>
      <w:tr>
        <w:trPr>
          <w:cantSplit/>
        </w:trPr>
        <w:tc>
          <w:tcPr>
            <w:tcW w:w="1606"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Risk ID</w:t>
            </w:r>
          </w:p>
        </w:tc>
        <w:tc>
          <w:tcPr>
            <w:tcW w:w="1605"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Summary</w:t>
            </w:r>
          </w:p>
        </w:tc>
        <w:tc>
          <w:tcPr>
            <w:tcW w:w="1607"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Residual level</w:t>
            </w:r>
          </w:p>
        </w:tc>
        <w:tc>
          <w:tcPr>
            <w:tcW w:w="1606"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Acceptance owner</w:t>
            </w:r>
          </w:p>
        </w:tc>
        <w:tc>
          <w:tcPr>
            <w:tcW w:w="1605"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Accepted Y/N</w:t>
            </w:r>
          </w:p>
        </w:tc>
        <w:tc>
          <w:tcPr>
            <w:tcW w:w="1607"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Date</w:t>
            </w:r>
          </w:p>
        </w:tc>
      </w:tr>
      <w:tr>
        <w:trPr>
          <w:cantSplit/>
        </w:trPr>
        <w:tc>
          <w:tcPr>
            <w:tcW w:w="1606"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R-01</w:t>
            </w:r>
          </w:p>
        </w:tc>
        <w:tc>
          <w:tcPr>
            <w:tcW w:w="16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CRG sharing preview changes or withdrawn</w:t>
            </w:r>
          </w:p>
        </w:tc>
        <w:tc>
          <w:tcPr>
            <w:tcW w:w="1607"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High</w:t>
            </w:r>
          </w:p>
        </w:tc>
        <w:tc>
          <w:tcPr>
            <w:tcW w:w="1606"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Product Owner</w:t>
            </w:r>
          </w:p>
        </w:tc>
        <w:tc>
          <w:tcPr>
            <w:tcW w:w="16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607"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606"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R-05</w:t>
            </w:r>
          </w:p>
        </w:tc>
        <w:tc>
          <w:tcPr>
            <w:tcW w:w="16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Quota Groups unavailable in target scope</w:t>
            </w:r>
          </w:p>
        </w:tc>
        <w:tc>
          <w:tcPr>
            <w:tcW w:w="1607"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High</w:t>
            </w:r>
          </w:p>
        </w:tc>
        <w:tc>
          <w:tcPr>
            <w:tcW w:w="1606"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Quota Owner</w:t>
            </w:r>
          </w:p>
        </w:tc>
        <w:tc>
          <w:tcPr>
            <w:tcW w:w="16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607"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606"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R-08</w:t>
            </w:r>
          </w:p>
        </w:tc>
        <w:tc>
          <w:tcPr>
            <w:tcW w:w="16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Quota release propagation delayed</w:t>
            </w:r>
          </w:p>
        </w:tc>
        <w:tc>
          <w:tcPr>
            <w:tcW w:w="1607"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Medium</w:t>
            </w:r>
          </w:p>
        </w:tc>
        <w:tc>
          <w:tcPr>
            <w:tcW w:w="1606"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DR Owner</w:t>
            </w:r>
          </w:p>
        </w:tc>
        <w:tc>
          <w:tcPr>
            <w:tcW w:w="16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607"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606"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R-12</w:t>
            </w:r>
          </w:p>
        </w:tc>
        <w:tc>
          <w:tcPr>
            <w:tcW w:w="16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Non-paired regions correlated dependencies</w:t>
            </w:r>
          </w:p>
        </w:tc>
        <w:tc>
          <w:tcPr>
            <w:tcW w:w="1607"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Medium</w:t>
            </w:r>
          </w:p>
        </w:tc>
        <w:tc>
          <w:tcPr>
            <w:tcW w:w="1606"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DR Architect</w:t>
            </w:r>
          </w:p>
        </w:tc>
        <w:tc>
          <w:tcPr>
            <w:tcW w:w="16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607"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606"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R-18</w:t>
            </w:r>
          </w:p>
        </w:tc>
        <w:tc>
          <w:tcPr>
            <w:tcW w:w="16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Tier 3 modifies wrong consumer VM</w:t>
            </w:r>
          </w:p>
        </w:tc>
        <w:tc>
          <w:tcPr>
            <w:tcW w:w="1607"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High if enabled</w:t>
            </w:r>
          </w:p>
        </w:tc>
        <w:tc>
          <w:tcPr>
            <w:tcW w:w="1606"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Security</w:t>
            </w:r>
          </w:p>
        </w:tc>
        <w:tc>
          <w:tcPr>
            <w:tcW w:w="16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607"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606"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R-19</w:t>
            </w:r>
          </w:p>
        </w:tc>
        <w:tc>
          <w:tcPr>
            <w:tcW w:w="16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Credential model grants excessive rights</w:t>
            </w:r>
          </w:p>
        </w:tc>
        <w:tc>
          <w:tcPr>
            <w:tcW w:w="1607"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Medium</w:t>
            </w:r>
          </w:p>
        </w:tc>
        <w:tc>
          <w:tcPr>
            <w:tcW w:w="1606"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Security</w:t>
            </w:r>
          </w:p>
        </w:tc>
        <w:tc>
          <w:tcPr>
            <w:tcW w:w="16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607"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606"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R-23</w:t>
            </w:r>
          </w:p>
        </w:tc>
        <w:tc>
          <w:tcPr>
            <w:tcW w:w="16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Concurrent placements over-assign</w:t>
            </w:r>
          </w:p>
        </w:tc>
        <w:tc>
          <w:tcPr>
            <w:tcW w:w="1607"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Low after holds</w:t>
            </w:r>
          </w:p>
        </w:tc>
        <w:tc>
          <w:tcPr>
            <w:tcW w:w="1606"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Engineering</w:t>
            </w:r>
          </w:p>
        </w:tc>
        <w:tc>
          <w:tcPr>
            <w:tcW w:w="16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607"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606"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R-25</w:t>
            </w:r>
          </w:p>
        </w:tc>
        <w:tc>
          <w:tcPr>
            <w:tcW w:w="16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ARM throttling delays DR actions</w:t>
            </w:r>
          </w:p>
        </w:tc>
        <w:tc>
          <w:tcPr>
            <w:tcW w:w="1607"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Medium</w:t>
            </w:r>
          </w:p>
        </w:tc>
        <w:tc>
          <w:tcPr>
            <w:tcW w:w="1606"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SRE</w:t>
            </w:r>
          </w:p>
        </w:tc>
        <w:tc>
          <w:tcPr>
            <w:tcW w:w="16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607"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606"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R-41</w:t>
            </w:r>
          </w:p>
        </w:tc>
        <w:tc>
          <w:tcPr>
            <w:tcW w:w="16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Cross-sub zone mapping mismatch</w:t>
            </w:r>
          </w:p>
        </w:tc>
        <w:tc>
          <w:tcPr>
            <w:tcW w:w="1607"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Medium after POC-06a</w:t>
            </w:r>
          </w:p>
        </w:tc>
        <w:tc>
          <w:tcPr>
            <w:tcW w:w="1606"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Engineering</w:t>
            </w:r>
          </w:p>
        </w:tc>
        <w:tc>
          <w:tcPr>
            <w:tcW w:w="16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607"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606"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R-42</w:t>
            </w:r>
          </w:p>
        </w:tc>
        <w:tc>
          <w:tcPr>
            <w:tcW w:w="16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VMSS shared CRG zone-outage reprovision</w:t>
            </w:r>
          </w:p>
        </w:tc>
        <w:tc>
          <w:tcPr>
            <w:tcW w:w="1607"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High until GA/fallback</w:t>
            </w:r>
          </w:p>
        </w:tc>
        <w:tc>
          <w:tcPr>
            <w:tcW w:w="1606"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Compute Owner</w:t>
            </w:r>
          </w:p>
        </w:tc>
        <w:tc>
          <w:tcPr>
            <w:tcW w:w="1605"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607"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606"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R-44</w:t>
            </w:r>
          </w:p>
        </w:tc>
        <w:tc>
          <w:tcPr>
            <w:tcW w:w="16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RI discounts do not flow to consumer</w:t>
            </w:r>
          </w:p>
        </w:tc>
        <w:tc>
          <w:tcPr>
            <w:tcW w:w="1607"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Low after POC-RI</w:t>
            </w:r>
          </w:p>
        </w:tc>
        <w:tc>
          <w:tcPr>
            <w:tcW w:w="1606"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FinOps</w:t>
            </w:r>
          </w:p>
        </w:tc>
        <w:tc>
          <w:tcPr>
            <w:tcW w:w="1605"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607"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Normal"/>
        <w:rPr/>
      </w:pPr>
      <w:r>
        <w:rPr>
          <w:rFonts w:eastAsia="Calibri"/>
          <w:b w:val="false"/>
          <w:i w:val="false"/>
          <w:color w:val="1A1A1A"/>
          <w:sz w:val="21"/>
        </w:rPr>
        <w:t>Unacceptable without separate board authorization: autonomous Tier 3 VM disassociation; any automated Tier 3 VMSS operation; DR activation without authoritative engine state machine; treating preview or POC behaviour as a Microsoft commitment; using stale ARG data for destructive actions.</w:t>
      </w:r>
    </w:p>
    <w:p>
      <w:pPr>
        <w:pStyle w:val="Heading1"/>
        <w:rPr/>
      </w:pPr>
      <w:bookmarkStart w:id="69" w:name="__RefHeading___Toc21530_693750392"/>
      <w:bookmarkEnd w:id="69"/>
      <w:r>
        <w:rPr/>
        <w:t>7. Issue and Blocker Log</w:t>
      </w:r>
    </w:p>
    <w:p>
      <w:pPr>
        <w:pStyle w:val="Normal"/>
        <w:rPr/>
      </w:pPr>
      <w:r>
        <w:rPr>
          <w:rFonts w:eastAsia="Calibri"/>
          <w:b w:val="false"/>
          <w:i w:val="false"/>
          <w:color w:val="1A1A1A"/>
          <w:sz w:val="21"/>
        </w:rPr>
        <w:t>Log every Blocked or Fail outcome that stops a gate. Known programme blockers at workbook issue: G-14 (consumer credential model), G-15 (engine mode state machine), B-1 (quota group availability).</w:t>
      </w:r>
    </w:p>
    <w:tbl>
      <w:tblPr>
        <w:tblStyle w:val="TableGrid"/>
        <w:tblW w:w="963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070"/>
        <w:gridCol w:w="1071"/>
        <w:gridCol w:w="1071"/>
        <w:gridCol w:w="1071"/>
        <w:gridCol w:w="1072"/>
        <w:gridCol w:w="1071"/>
        <w:gridCol w:w="1071"/>
        <w:gridCol w:w="1071"/>
        <w:gridCol w:w="1071"/>
      </w:tblGrid>
      <w:tr>
        <w:trPr>
          <w:cantSplit/>
        </w:trPr>
        <w:tc>
          <w:tcPr>
            <w:tcW w:w="1070"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Blocker ID</w:t>
            </w:r>
          </w:p>
        </w:tc>
        <w:tc>
          <w:tcPr>
            <w:tcW w:w="1071"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POC ID</w:t>
            </w:r>
          </w:p>
        </w:tc>
        <w:tc>
          <w:tcPr>
            <w:tcW w:w="1071"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Date Raised</w:t>
            </w:r>
          </w:p>
        </w:tc>
        <w:tc>
          <w:tcPr>
            <w:tcW w:w="1071"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Description</w:t>
            </w:r>
          </w:p>
        </w:tc>
        <w:tc>
          <w:tcPr>
            <w:tcW w:w="1072"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Impact</w:t>
            </w:r>
          </w:p>
        </w:tc>
        <w:tc>
          <w:tcPr>
            <w:tcW w:w="1071"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Assigned To</w:t>
            </w:r>
          </w:p>
        </w:tc>
        <w:tc>
          <w:tcPr>
            <w:tcW w:w="1071"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Status</w:t>
            </w:r>
          </w:p>
        </w:tc>
        <w:tc>
          <w:tcPr>
            <w:tcW w:w="1071"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Resolution Date</w:t>
            </w:r>
          </w:p>
        </w:tc>
        <w:tc>
          <w:tcPr>
            <w:tcW w:w="1071"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Resolution Notes</w:t>
            </w:r>
          </w:p>
        </w:tc>
      </w:tr>
      <w:tr>
        <w:trPr>
          <w:cantSplit/>
        </w:trPr>
        <w:tc>
          <w:tcPr>
            <w:tcW w:w="1070"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B-G14</w:t>
            </w:r>
          </w:p>
        </w:tc>
        <w:tc>
          <w:tcPr>
            <w:tcW w:w="1071"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POC-20 / Tier 3</w:t>
            </w:r>
          </w:p>
        </w:tc>
        <w:tc>
          <w:tcPr>
            <w:tcW w:w="1071"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071"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Consumer credential model unresolved (UAMI vs SP)</w:t>
            </w:r>
          </w:p>
        </w:tc>
        <w:tc>
          <w:tcPr>
            <w:tcW w:w="1072"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Tier 3 blocked; production blocker</w:t>
            </w:r>
          </w:p>
        </w:tc>
        <w:tc>
          <w:tcPr>
            <w:tcW w:w="1071"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Security</w:t>
            </w:r>
          </w:p>
        </w:tc>
        <w:tc>
          <w:tcPr>
            <w:tcW w:w="1071"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[Open]</w:t>
            </w:r>
          </w:p>
        </w:tc>
        <w:tc>
          <w:tcPr>
            <w:tcW w:w="1071"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071"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070"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B-G15</w:t>
            </w:r>
          </w:p>
        </w:tc>
        <w:tc>
          <w:tcPr>
            <w:tcW w:w="1071"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POC-18 / mode</w:t>
            </w:r>
          </w:p>
        </w:tc>
        <w:tc>
          <w:tcPr>
            <w:tcW w:w="1071"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071"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EngineModeState machine incomplete</w:t>
            </w:r>
          </w:p>
        </w:tc>
        <w:tc>
          <w:tcPr>
            <w:tcW w:w="1072"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DR automation blocked</w:t>
            </w:r>
          </w:p>
        </w:tc>
        <w:tc>
          <w:tcPr>
            <w:tcW w:w="1071"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Engineering</w:t>
            </w:r>
          </w:p>
        </w:tc>
        <w:tc>
          <w:tcPr>
            <w:tcW w:w="1071"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[Open]</w:t>
            </w:r>
          </w:p>
        </w:tc>
        <w:tc>
          <w:tcPr>
            <w:tcW w:w="1071"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071"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070"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B-B1</w:t>
            </w:r>
          </w:p>
        </w:tc>
        <w:tc>
          <w:tcPr>
            <w:tcW w:w="1071"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POC-30</w:t>
            </w:r>
          </w:p>
        </w:tc>
        <w:tc>
          <w:tcPr>
            <w:tcW w:w="1071"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071"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Quota Groups API availability unproven in target scopes</w:t>
            </w:r>
          </w:p>
        </w:tc>
        <w:tc>
          <w:tcPr>
            <w:tcW w:w="1072"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Quota-group engineering blocked until pass</w:t>
            </w:r>
          </w:p>
        </w:tc>
        <w:tc>
          <w:tcPr>
            <w:tcW w:w="1071"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Quota Owner</w:t>
            </w:r>
          </w:p>
        </w:tc>
        <w:tc>
          <w:tcPr>
            <w:tcW w:w="1071"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[Open]</w:t>
            </w:r>
          </w:p>
        </w:tc>
        <w:tc>
          <w:tcPr>
            <w:tcW w:w="1071"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071"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070"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B-FC08</w:t>
            </w:r>
          </w:p>
        </w:tc>
        <w:tc>
          <w:tcPr>
            <w:tcW w:w="1071"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POC-VMSS-DR</w:t>
            </w:r>
          </w:p>
        </w:tc>
        <w:tc>
          <w:tcPr>
            <w:tcW w:w="1071"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071"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VMSS reprovision via shared CRG during zone outage is Preview limitation</w:t>
            </w:r>
          </w:p>
        </w:tc>
        <w:tc>
          <w:tcPr>
            <w:tcW w:w="1072"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2 VMSS DR design gated</w:t>
            </w:r>
          </w:p>
        </w:tc>
        <w:tc>
          <w:tcPr>
            <w:tcW w:w="1071"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Compute Owner</w:t>
            </w:r>
          </w:p>
        </w:tc>
        <w:tc>
          <w:tcPr>
            <w:tcW w:w="1071"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[Open]</w:t>
            </w:r>
          </w:p>
        </w:tc>
        <w:tc>
          <w:tcPr>
            <w:tcW w:w="1071"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071"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070"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071"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071"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071"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072"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071"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071"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[Open]</w:t>
            </w:r>
          </w:p>
        </w:tc>
        <w:tc>
          <w:tcPr>
            <w:tcW w:w="1071"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071"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070"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071"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071"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071"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072"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071"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071"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[Open]</w:t>
            </w:r>
          </w:p>
        </w:tc>
        <w:tc>
          <w:tcPr>
            <w:tcW w:w="1071"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071"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070"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071"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071"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071"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072"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071"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071"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[Open]</w:t>
            </w:r>
          </w:p>
        </w:tc>
        <w:tc>
          <w:tcPr>
            <w:tcW w:w="1071"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071"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070"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071"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071"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071"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072"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071"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071"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[Open]</w:t>
            </w:r>
          </w:p>
        </w:tc>
        <w:tc>
          <w:tcPr>
            <w:tcW w:w="1071"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071"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070"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071"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071"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071"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072"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071"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071"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[Open]</w:t>
            </w:r>
          </w:p>
        </w:tc>
        <w:tc>
          <w:tcPr>
            <w:tcW w:w="1071"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071"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070"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071"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071"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071"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072"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071"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071"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[Open]</w:t>
            </w:r>
          </w:p>
        </w:tc>
        <w:tc>
          <w:tcPr>
            <w:tcW w:w="1071"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071"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070"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071"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071"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071"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072"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071"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071"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[Open]</w:t>
            </w:r>
          </w:p>
        </w:tc>
        <w:tc>
          <w:tcPr>
            <w:tcW w:w="1071"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071"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070"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071"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071"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071"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072"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071"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071"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[Open]</w:t>
            </w:r>
          </w:p>
        </w:tc>
        <w:tc>
          <w:tcPr>
            <w:tcW w:w="1071"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071"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1"/>
        <w:rPr/>
      </w:pPr>
      <w:bookmarkStart w:id="70" w:name="__RefHeading___Toc21532_693750392"/>
      <w:bookmarkEnd w:id="70"/>
      <w:r>
        <w:rPr/>
        <w:t>8. Assumptions Being Validated</w:t>
      </w:r>
    </w:p>
    <w:p>
      <w:pPr>
        <w:pStyle w:val="Normal"/>
        <w:rPr/>
      </w:pPr>
      <w:r>
        <w:rPr>
          <w:rFonts w:eastAsia="Calibri"/>
          <w:b w:val="false"/>
          <w:i w:val="false"/>
          <w:color w:val="1A1A1A"/>
          <w:sz w:val="21"/>
        </w:rPr>
        <w:t>Source: Production-Readiness Review §8 Assumption Validation Matrix (A-01 through A-20). Update Result after the validating POC(s) execute. Board disposition remains with the Design Review Council.</w:t>
      </w:r>
    </w:p>
    <w:tbl>
      <w:tblPr>
        <w:tblStyle w:val="TableGrid"/>
        <w:tblW w:w="964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28"/>
        <w:gridCol w:w="1928"/>
        <w:gridCol w:w="1928"/>
        <w:gridCol w:w="1928"/>
        <w:gridCol w:w="1928"/>
      </w:tblGrid>
      <w:tr>
        <w:trPr>
          <w:cantSplit/>
        </w:trPr>
        <w:tc>
          <w:tcPr>
            <w:tcW w:w="1928"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Assumption ID</w:t>
            </w:r>
          </w:p>
        </w:tc>
        <w:tc>
          <w:tcPr>
            <w:tcW w:w="1928"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Assumption (plain language)</w:t>
            </w:r>
          </w:p>
        </w:tc>
        <w:tc>
          <w:tcPr>
            <w:tcW w:w="1928"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Current Status</w:t>
            </w:r>
          </w:p>
        </w:tc>
        <w:tc>
          <w:tcPr>
            <w:tcW w:w="1928"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Validating POC(s)</w:t>
            </w:r>
          </w:p>
        </w:tc>
        <w:tc>
          <w:tcPr>
            <w:tcW w:w="1928"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Result</w:t>
            </w:r>
          </w:p>
        </w:tc>
      </w:tr>
      <w:tr>
        <w:trPr>
          <w:cantSplit/>
        </w:trPr>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A-01</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Shared CRG is suitable for production dependency</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Unproven preview dependency</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POC-06 … POC-10, PG-01</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A-02</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100-consumer limit per CRG is the operative limit</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Validation required</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POC-10</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A-03</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Consumer can discover shared CRGs through normal list operations</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Challenged — use ARG + provider inventory</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POC-07</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A-04</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Two quota groups can be created in every target scope and region</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Unproven — hard gate</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POC-30</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A-05</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Quota-group membership removes subscription-level quota checks</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Rejected — dual validation mandatory</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POC-31</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A-06</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Azure natively protects the DR share within NonProd plus DR</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Rejected — engine floor only</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POC-13</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A-07</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NonProd reduction immediately funds DR expansion</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Unproven — measure propagation</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POC-31, POC-32, POC-19</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A-08</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Quantity can safely reduce to zero while VMs run</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Unproven as general guarantee</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POC-15</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A-09</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30–40% DR baseline is sufficient</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Unsupported business assumption</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POC-11, POC-13 + workload analysis</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A-10</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30% emergency headroom is economically and operationally optimal</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Unsupported — tunable parameter</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POC-18 + scenario tests</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A-11</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NonProd and DR co-location is acceptable</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Conditional — customer approval required</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PF-09/10, POC-11</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A-12</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Sequential placement is near-optimal</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Unproven — shadow joint optimization</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Placement shadow tests (engine)</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A-13</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Five-minute reconciliation is sufficient</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Unproven at scale</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Scale / churn tests</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A-14</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ARG is fresh enough for operational decisions</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Rejected for destructive actions</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POC-16</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A-15</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Auto-increase is safe</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Conditional — approval-gated in Phase 1</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POC-18</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A-16</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Tier 1 can always be automated</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Challenged — requires mode gate and fresh checks</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POC-18</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A-17</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Tier 2 is non-destructive</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Partly true — changes NonProd guarantees</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POC-19</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A-18</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Tier 3 can be implemented with existing credentials</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Rejected — G-14 blocker</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POC-20</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A-19</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VMSS can follow single-VM Path B</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Rejected — Phase 1 limitation</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POC-VMSS-01…03, POC-15</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A-20</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Cosmos throughput can be predetermined from entity counts</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Rejected — size from measured workload</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Load tests (out of this workbook)</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1"/>
        <w:rPr/>
      </w:pPr>
      <w:bookmarkStart w:id="71" w:name="__RefHeading___Toc21534_693750392"/>
      <w:bookmarkEnd w:id="71"/>
      <w:r>
        <w:rPr/>
        <w:t>Appendix A — Azure CLI Quick Reference</w:t>
      </w:r>
    </w:p>
    <w:p>
      <w:pPr>
        <w:pStyle w:val="Normal"/>
        <w:rPr/>
      </w:pPr>
      <w:r>
        <w:rPr>
          <w:rFonts w:eastAsia="Calibri"/>
          <w:b w:val="false"/>
          <w:i w:val="false"/>
          <w:color w:val="1A1A1A"/>
          <w:sz w:val="21"/>
        </w:rPr>
        <w:t>One-page operational cheat sheet. Prefer the exact commands embedded in each POC when versions differ.</w:t>
      </w:r>
    </w:p>
    <w:p>
      <w:pPr>
        <w:pStyle w:val="Heading2"/>
        <w:rPr/>
      </w:pPr>
      <w:bookmarkStart w:id="72" w:name="__RefHeading___Toc21536_693750392"/>
      <w:bookmarkEnd w:id="72"/>
      <w:r>
        <w:rPr/>
        <w:t>Login and subscription</w:t>
      </w:r>
    </w:p>
    <w:p>
      <w:pPr>
        <w:pStyle w:val="CodeBlock"/>
        <w:shd w:val="clear" w:fill="F4F6F8"/>
        <w:rPr/>
      </w:pPr>
      <w:r>
        <w:rPr>
          <w:rFonts w:cs="Consolas"/>
          <w:b w:val="false"/>
          <w:i w:val="false"/>
          <w:color w:val="1A1A1A"/>
          <w:sz w:val="17"/>
        </w:rPr>
        <w:t>az login</w:t>
      </w:r>
    </w:p>
    <w:p>
      <w:pPr>
        <w:pStyle w:val="CodeBlock"/>
        <w:shd w:val="clear" w:fill="F4F6F8"/>
        <w:rPr/>
      </w:pPr>
      <w:r>
        <w:rPr>
          <w:rFonts w:cs="Consolas"/>
          <w:b w:val="false"/>
          <w:i w:val="false"/>
          <w:color w:val="1A1A1A"/>
          <w:sz w:val="17"/>
        </w:rPr>
        <w:t>az account set --subscription &lt;SUBSCRIPTION_ID&gt;</w:t>
      </w:r>
    </w:p>
    <w:p>
      <w:pPr>
        <w:pStyle w:val="CodeBlock"/>
        <w:shd w:val="clear" w:fill="F4F6F8"/>
        <w:rPr/>
      </w:pPr>
      <w:r>
        <w:rPr>
          <w:rFonts w:cs="Consolas"/>
          <w:b w:val="false"/>
          <w:i w:val="false"/>
          <w:color w:val="1A1A1A"/>
          <w:sz w:val="17"/>
        </w:rPr>
        <w:t>az account show</w:t>
      </w:r>
    </w:p>
    <w:p>
      <w:pPr>
        <w:pStyle w:val="CodeBlock"/>
        <w:shd w:val="clear" w:fill="F4F6F8"/>
        <w:rPr/>
      </w:pPr>
      <w:r>
        <w:rPr>
          <w:rFonts w:cs="Consolas"/>
          <w:b w:val="false"/>
          <w:i w:val="false"/>
          <w:color w:val="1A1A1A"/>
          <w:sz w:val="17"/>
        </w:rPr>
        <w:t>az account show --query id -o tsv</w:t>
      </w:r>
    </w:p>
    <w:p>
      <w:pPr>
        <w:pStyle w:val="Heading2"/>
        <w:rPr/>
      </w:pPr>
      <w:bookmarkStart w:id="73" w:name="__RefHeading___Toc21538_693750392"/>
      <w:bookmarkEnd w:id="73"/>
      <w:r>
        <w:rPr/>
        <w:t>Resource provider check</w:t>
      </w:r>
    </w:p>
    <w:p>
      <w:pPr>
        <w:pStyle w:val="CodeBlock"/>
        <w:shd w:val="clear" w:fill="F4F6F8"/>
        <w:rPr/>
      </w:pPr>
      <w:r>
        <w:rPr>
          <w:rFonts w:cs="Consolas"/>
          <w:b w:val="false"/>
          <w:i w:val="false"/>
          <w:color w:val="1A1A1A"/>
          <w:sz w:val="17"/>
        </w:rPr>
        <w:t>az provider show --namespace Microsoft.Compute --query registrationState -o tsv</w:t>
      </w:r>
    </w:p>
    <w:p>
      <w:pPr>
        <w:pStyle w:val="CodeBlock"/>
        <w:shd w:val="clear" w:fill="F4F6F8"/>
        <w:rPr/>
      </w:pPr>
      <w:r>
        <w:rPr>
          <w:rFonts w:cs="Consolas"/>
          <w:b w:val="false"/>
          <w:i w:val="false"/>
          <w:color w:val="1A1A1A"/>
          <w:sz w:val="17"/>
        </w:rPr>
        <w:t>az provider show --namespace Microsoft.Quota --query registrationState -o tsv</w:t>
      </w:r>
    </w:p>
    <w:p>
      <w:pPr>
        <w:pStyle w:val="CodeBlock"/>
        <w:shd w:val="clear" w:fill="F4F6F8"/>
        <w:rPr/>
      </w:pPr>
      <w:r>
        <w:rPr>
          <w:rFonts w:cs="Consolas"/>
          <w:b w:val="false"/>
          <w:i w:val="false"/>
          <w:color w:val="1A1A1A"/>
          <w:sz w:val="17"/>
        </w:rPr>
        <w:t>az provider register --namespace Microsoft.Compute</w:t>
      </w:r>
    </w:p>
    <w:p>
      <w:pPr>
        <w:pStyle w:val="CodeBlock"/>
        <w:shd w:val="clear" w:fill="F4F6F8"/>
        <w:rPr/>
      </w:pPr>
      <w:r>
        <w:rPr>
          <w:rFonts w:cs="Consolas"/>
          <w:b w:val="false"/>
          <w:i w:val="false"/>
          <w:color w:val="1A1A1A"/>
          <w:sz w:val="17"/>
        </w:rPr>
        <w:t>az provider register --namespace Microsoft.Quota</w:t>
      </w:r>
    </w:p>
    <w:p>
      <w:pPr>
        <w:pStyle w:val="Heading2"/>
        <w:rPr/>
      </w:pPr>
      <w:bookmarkStart w:id="74" w:name="__RefHeading___Toc21540_693750392"/>
      <w:bookmarkEnd w:id="74"/>
      <w:r>
        <w:rPr/>
        <w:t>CRG commands</w:t>
      </w:r>
    </w:p>
    <w:p>
      <w:pPr>
        <w:pStyle w:val="CodeBlock"/>
        <w:shd w:val="clear" w:fill="F4F6F8"/>
        <w:rPr/>
      </w:pPr>
      <w:r>
        <w:rPr>
          <w:rFonts w:cs="Consolas"/>
          <w:b w:val="false"/>
          <w:i w:val="false"/>
          <w:color w:val="1A1A1A"/>
          <w:sz w:val="17"/>
        </w:rPr>
        <w:t>az capacity reservation group list --resource-group &lt;RG&gt; -o table</w:t>
      </w:r>
    </w:p>
    <w:p>
      <w:pPr>
        <w:pStyle w:val="CodeBlock"/>
        <w:shd w:val="clear" w:fill="F4F6F8"/>
        <w:rPr/>
      </w:pPr>
      <w:r>
        <w:rPr>
          <w:rFonts w:cs="Consolas"/>
          <w:b w:val="false"/>
          <w:i w:val="false"/>
          <w:color w:val="1A1A1A"/>
          <w:sz w:val="17"/>
        </w:rPr>
        <w:t>az capacity reservation group show --resource-group &lt;RG&gt; --name &lt;CRG_NAME&gt; -o json</w:t>
      </w:r>
    </w:p>
    <w:p>
      <w:pPr>
        <w:pStyle w:val="CodeBlock"/>
        <w:shd w:val="clear" w:fill="F4F6F8"/>
        <w:rPr/>
      </w:pPr>
      <w:r>
        <w:rPr>
          <w:rFonts w:cs="Consolas"/>
          <w:b w:val="false"/>
          <w:i w:val="false"/>
          <w:color w:val="1A1A1A"/>
          <w:sz w:val="17"/>
        </w:rPr>
        <w:t>az capacity reservation group create --resource-group &lt;RG&gt; --name &lt;CRG_NAME&gt; --location &lt;REGION&gt; --zones 1 2 3</w:t>
      </w:r>
    </w:p>
    <w:p>
      <w:pPr>
        <w:pStyle w:val="CodeBlock"/>
        <w:shd w:val="clear" w:fill="F4F6F8"/>
        <w:rPr/>
      </w:pPr>
      <w:r>
        <w:rPr>
          <w:rFonts w:cs="Consolas"/>
          <w:b w:val="false"/>
          <w:i w:val="false"/>
          <w:color w:val="1A1A1A"/>
          <w:sz w:val="17"/>
        </w:rPr>
        <w:t>az capacity reservation group delete --resource-group &lt;RG&gt; --name &lt;CRG_NAME&gt; --yes</w:t>
      </w:r>
    </w:p>
    <w:p>
      <w:pPr>
        <w:pStyle w:val="Heading2"/>
        <w:rPr/>
      </w:pPr>
      <w:bookmarkStart w:id="75" w:name="__RefHeading___Toc21542_693750392"/>
      <w:bookmarkEnd w:id="75"/>
      <w:r>
        <w:rPr/>
        <w:t>Capacity Reservation commands</w:t>
      </w:r>
    </w:p>
    <w:p>
      <w:pPr>
        <w:pStyle w:val="CodeBlock"/>
        <w:shd w:val="clear" w:fill="F4F6F8"/>
        <w:rPr/>
      </w:pPr>
      <w:r>
        <w:rPr>
          <w:rFonts w:cs="Consolas"/>
          <w:b w:val="false"/>
          <w:i w:val="false"/>
          <w:color w:val="1A1A1A"/>
          <w:sz w:val="17"/>
        </w:rPr>
        <w:t>az capacity reservation list --resource-group &lt;RG&gt; --capacity-reservation-group &lt;CRG_NAME&gt; -o table</w:t>
      </w:r>
    </w:p>
    <w:p>
      <w:pPr>
        <w:pStyle w:val="CodeBlock"/>
        <w:shd w:val="clear" w:fill="F4F6F8"/>
        <w:rPr/>
      </w:pPr>
      <w:r>
        <w:rPr>
          <w:rFonts w:cs="Consolas"/>
          <w:b w:val="false"/>
          <w:i w:val="false"/>
          <w:color w:val="1A1A1A"/>
          <w:sz w:val="17"/>
        </w:rPr>
        <w:t>az capacity reservation show --resource-group &lt;RG&gt; --capacity-reservation-group &lt;CRG_NAME&gt; --name &lt;CR_NAME&gt; -o json</w:t>
      </w:r>
    </w:p>
    <w:p>
      <w:pPr>
        <w:pStyle w:val="CodeBlock"/>
        <w:shd w:val="clear" w:fill="F4F6F8"/>
        <w:rPr/>
      </w:pPr>
      <w:r>
        <w:rPr>
          <w:rFonts w:cs="Consolas"/>
          <w:b w:val="false"/>
          <w:i w:val="false"/>
          <w:color w:val="1A1A1A"/>
          <w:sz w:val="17"/>
        </w:rPr>
        <w:t>az capacity reservation create --resource-group &lt;RG&gt; --capacity-reservation-group &lt;CRG_NAME&gt; --name &lt;CR_NAME&gt; --sku &lt;VM_SKU&gt; --capacity &lt;N&gt; --location &lt;REGION&gt;</w:t>
      </w:r>
    </w:p>
    <w:p>
      <w:pPr>
        <w:pStyle w:val="CodeBlock"/>
        <w:shd w:val="clear" w:fill="F4F6F8"/>
        <w:rPr/>
      </w:pPr>
      <w:r>
        <w:rPr>
          <w:rFonts w:cs="Consolas"/>
          <w:b w:val="false"/>
          <w:i w:val="false"/>
          <w:color w:val="1A1A1A"/>
          <w:sz w:val="17"/>
        </w:rPr>
        <w:t>az capacity reservation update --resource-group &lt;RG&gt; --capacity-reservation-group &lt;CRG_NAME&gt; --name &lt;CR_NAME&gt; --capacity &lt;N&gt;</w:t>
      </w:r>
    </w:p>
    <w:p>
      <w:pPr>
        <w:pStyle w:val="CodeBlock"/>
        <w:shd w:val="clear" w:fill="F4F6F8"/>
        <w:rPr/>
      </w:pPr>
      <w:r>
        <w:rPr>
          <w:rFonts w:cs="Consolas"/>
          <w:b w:val="false"/>
          <w:i w:val="false"/>
          <w:color w:val="1A1A1A"/>
          <w:sz w:val="17"/>
        </w:rPr>
        <w:t>az capacity reservation delete --resource-group &lt;RG&gt; --capacity-reservation-group &lt;CRG_NAME&gt; --name &lt;CR_NAME&gt; --yes</w:t>
      </w:r>
    </w:p>
    <w:p>
      <w:pPr>
        <w:pStyle w:val="Heading2"/>
        <w:rPr/>
      </w:pPr>
      <w:bookmarkStart w:id="76" w:name="__RefHeading___Toc21544_693750392"/>
      <w:bookmarkEnd w:id="76"/>
      <w:r>
        <w:rPr/>
        <w:t>VM associate / disassociate</w:t>
      </w:r>
    </w:p>
    <w:p>
      <w:pPr>
        <w:pStyle w:val="CodeBlock"/>
        <w:shd w:val="clear" w:fill="F4F6F8"/>
        <w:rPr/>
      </w:pPr>
      <w:r>
        <w:rPr>
          <w:rFonts w:cs="Consolas"/>
          <w:b w:val="false"/>
          <w:i w:val="false"/>
          <w:color w:val="1A1A1A"/>
          <w:sz w:val="17"/>
        </w:rPr>
        <w:t>az vm create ... --capacity-reservation-group &lt;CRG_RESOURCE_ID&gt;</w:t>
      </w:r>
    </w:p>
    <w:p>
      <w:pPr>
        <w:pStyle w:val="CodeBlock"/>
        <w:shd w:val="clear" w:fill="F4F6F8"/>
        <w:rPr/>
      </w:pPr>
      <w:r>
        <w:rPr>
          <w:rFonts w:cs="Consolas"/>
          <w:b w:val="false"/>
          <w:i w:val="false"/>
          <w:color w:val="1A1A1A"/>
          <w:sz w:val="17"/>
        </w:rPr>
        <w:t>az vm show --resource-group &lt;RG&gt; --name &lt;VM&gt; --query capacityReservation -o json</w:t>
      </w:r>
    </w:p>
    <w:p>
      <w:pPr>
        <w:pStyle w:val="CodeBlock"/>
        <w:shd w:val="clear" w:fill="F4F6F8"/>
        <w:rPr/>
      </w:pPr>
      <w:r>
        <w:rPr>
          <w:rFonts w:cs="Consolas"/>
          <w:b w:val="false"/>
          <w:i w:val="false"/>
          <w:color w:val="1A1A1A"/>
          <w:sz w:val="17"/>
        </w:rPr>
        <w:t>az vm deallocate --resource-group &lt;RG&gt; --name &lt;VM&gt;</w:t>
      </w:r>
    </w:p>
    <w:p>
      <w:pPr>
        <w:pStyle w:val="CodeBlock"/>
        <w:shd w:val="clear" w:fill="F4F6F8"/>
        <w:rPr/>
      </w:pPr>
      <w:r>
        <w:rPr>
          <w:rFonts w:cs="Consolas"/>
          <w:b w:val="false"/>
          <w:i w:val="false"/>
          <w:color w:val="1A1A1A"/>
          <w:sz w:val="17"/>
        </w:rPr>
        <w:t>az vm update --resource-group &lt;RG&gt; --name &lt;VM&gt; --set capacityReservation.capacityReservationGroup=null</w:t>
      </w:r>
    </w:p>
    <w:p>
      <w:pPr>
        <w:pStyle w:val="Heading2"/>
        <w:rPr/>
      </w:pPr>
      <w:bookmarkStart w:id="77" w:name="__RefHeading___Toc21546_693750392"/>
      <w:bookmarkEnd w:id="77"/>
      <w:r>
        <w:rPr/>
        <w:t>Sharing profile (REST)</w:t>
      </w:r>
    </w:p>
    <w:p>
      <w:pPr>
        <w:pStyle w:val="CodeBlock"/>
        <w:shd w:val="clear" w:fill="F4F6F8"/>
        <w:rPr/>
      </w:pPr>
      <w:r>
        <w:rPr>
          <w:rFonts w:cs="Consolas"/>
          <w:b w:val="false"/>
          <w:i w:val="false"/>
          <w:color w:val="1A1A1A"/>
          <w:sz w:val="17"/>
        </w:rPr>
        <w:t>az rest --method PATCH --url 'https://management.azure.com/subscriptions/&lt;SUB&gt;/resourceGroups/&lt;RG&gt;/providers/Microsoft.Compute/capacityReservationGroups/&lt;CRG&gt;?api-version=2024-03-01' --body '{"properties":{"sharingProfile":{"subscriptionIds":[{"id":"/subscriptions/&lt;CONSUMER_SUB&gt;"}]}}}'</w:t>
      </w:r>
    </w:p>
    <w:p>
      <w:pPr>
        <w:pStyle w:val="CodeBlock"/>
        <w:shd w:val="clear" w:fill="F4F6F8"/>
        <w:rPr/>
      </w:pPr>
      <w:r>
        <w:rPr>
          <w:rFonts w:cs="Consolas"/>
          <w:b w:val="false"/>
          <w:i w:val="false"/>
          <w:color w:val="1A1A1A"/>
          <w:sz w:val="17"/>
        </w:rPr>
        <w:t>az rest --method GET --url 'https://management.azure.com/subscriptions/&lt;SUB&gt;/resourceGroups/&lt;RG&gt;/providers/Microsoft.Compute/capacityReservationGroups/&lt;CRG&gt;?api-version=2024-03-01' --query properties.sharingProfile</w:t>
      </w:r>
    </w:p>
    <w:p>
      <w:pPr>
        <w:pStyle w:val="Heading2"/>
        <w:rPr/>
      </w:pPr>
      <w:bookmarkStart w:id="78" w:name="__RefHeading___Toc21548_693750392"/>
      <w:bookmarkEnd w:id="78"/>
      <w:r>
        <w:rPr/>
        <w:t>Zone mapping</w:t>
      </w:r>
    </w:p>
    <w:p>
      <w:pPr>
        <w:pStyle w:val="CodeBlock"/>
        <w:shd w:val="clear" w:fill="F4F6F8"/>
        <w:rPr/>
      </w:pPr>
      <w:r>
        <w:rPr>
          <w:rFonts w:cs="Consolas"/>
          <w:b w:val="false"/>
          <w:i w:val="false"/>
          <w:color w:val="1A1A1A"/>
          <w:sz w:val="17"/>
        </w:rPr>
        <w:t>az rest --method GET --url 'https://management.azure.com/subscriptions/&lt;SUB&gt;/locations?api-version=2022-12-01' --query "[?name=='&lt;REGION&gt;'].availabilityZoneMappings"</w:t>
      </w:r>
    </w:p>
    <w:p>
      <w:pPr>
        <w:pStyle w:val="Heading2"/>
        <w:rPr/>
      </w:pPr>
      <w:bookmarkStart w:id="79" w:name="__RefHeading___Toc21550_693750392"/>
      <w:bookmarkEnd w:id="79"/>
      <w:r>
        <w:rPr/>
        <w:t>ARG query</w:t>
      </w:r>
    </w:p>
    <w:p>
      <w:pPr>
        <w:pStyle w:val="CodeBlock"/>
        <w:shd w:val="clear" w:fill="F4F6F8"/>
        <w:rPr/>
      </w:pPr>
      <w:r>
        <w:rPr>
          <w:rFonts w:cs="Consolas"/>
          <w:b w:val="false"/>
          <w:i w:val="false"/>
          <w:color w:val="1A1A1A"/>
          <w:sz w:val="17"/>
        </w:rPr>
        <w:t>az graph query -q "Resources | where type =~ 'microsoft.compute/capacityreservationgroups' | project id, name, location" -o json</w:t>
      </w:r>
    </w:p>
    <w:p>
      <w:pPr>
        <w:pStyle w:val="Heading2"/>
        <w:rPr/>
      </w:pPr>
      <w:bookmarkStart w:id="80" w:name="__RefHeading___Toc21552_693750392"/>
      <w:bookmarkEnd w:id="80"/>
      <w:r>
        <w:rPr/>
        <w:t>Quota check</w:t>
      </w:r>
    </w:p>
    <w:p>
      <w:pPr>
        <w:pStyle w:val="CodeBlock"/>
        <w:shd w:val="clear" w:fill="F4F6F8"/>
        <w:rPr/>
      </w:pPr>
      <w:r>
        <w:rPr>
          <w:rFonts w:cs="Consolas"/>
          <w:b w:val="false"/>
          <w:i w:val="false"/>
          <w:color w:val="1A1A1A"/>
          <w:sz w:val="17"/>
        </w:rPr>
        <w:t>az vm list-usage --location &lt;REGION&gt; -o table</w:t>
      </w:r>
    </w:p>
    <w:p>
      <w:pPr>
        <w:pStyle w:val="CodeBlock"/>
        <w:shd w:val="clear" w:fill="F4F6F8"/>
        <w:rPr/>
      </w:pPr>
      <w:r>
        <w:rPr>
          <w:rFonts w:cs="Consolas"/>
          <w:b w:val="false"/>
          <w:i w:val="false"/>
          <w:color w:val="1A1A1A"/>
          <w:sz w:val="17"/>
        </w:rPr>
        <w:t>az rest --method GET --url 'https://management.azure.com/subscriptions/&lt;SUB&gt;/providers/Microsoft.Quota/groupQuotas?api-version=2025-03-01-preview'</w:t>
      </w:r>
    </w:p>
    <w:p>
      <w:pPr>
        <w:pStyle w:val="Heading2"/>
        <w:rPr/>
      </w:pPr>
      <w:bookmarkStart w:id="81" w:name="__RefHeading___Toc21554_693750392"/>
      <w:bookmarkEnd w:id="81"/>
      <w:r>
        <w:rPr/>
        <w:t>Throttle headers</w:t>
      </w:r>
    </w:p>
    <w:p>
      <w:pPr>
        <w:pStyle w:val="CodeBlock"/>
        <w:shd w:val="clear" w:fill="F4F6F8"/>
        <w:rPr/>
      </w:pPr>
      <w:r>
        <w:rPr>
          <w:rFonts w:cs="Consolas"/>
          <w:b w:val="false"/>
          <w:i w:val="false"/>
          <w:color w:val="1A1A1A"/>
          <w:sz w:val="17"/>
        </w:rPr>
        <w:t>az rest --method GET --url '&lt;RESOURCE_URL&gt;?api-version=&lt;VERSION&gt;' --verbose 2&gt;&amp;1 | grep -i x-ms-ratelimit</w:t>
      </w:r>
    </w:p>
    <w:p>
      <w:pPr>
        <w:pStyle w:val="Heading2"/>
        <w:rPr/>
      </w:pPr>
      <w:bookmarkStart w:id="82" w:name="__RefHeading___Toc21556_693750392"/>
      <w:bookmarkEnd w:id="82"/>
      <w:r>
        <w:rPr/>
        <w:t>Generic REST template</w:t>
      </w:r>
    </w:p>
    <w:p>
      <w:pPr>
        <w:pStyle w:val="CodeBlock"/>
        <w:shd w:val="clear" w:fill="F4F6F8"/>
        <w:rPr/>
      </w:pPr>
      <w:r>
        <w:rPr>
          <w:rFonts w:cs="Consolas"/>
          <w:b w:val="false"/>
          <w:i w:val="false"/>
          <w:color w:val="1A1A1A"/>
          <w:sz w:val="17"/>
        </w:rPr>
        <w:t>az rest --method &lt;GET|POST|PUT|PATCH|DELETE&gt; --url '&lt;RESOURCE_URL&gt;?api-version=&lt;VERSION&gt;' --body '&lt;JSON&gt;'</w:t>
      </w:r>
    </w:p>
    <w:p>
      <w:pPr>
        <w:pStyle w:val="Heading1"/>
        <w:rPr/>
      </w:pPr>
      <w:bookmarkStart w:id="83" w:name="__RefHeading___Toc21558_693750392"/>
      <w:bookmarkEnd w:id="83"/>
      <w:r>
        <w:rPr/>
        <w:t>Appendix B — Common Error Codes and Resolutions</w:t>
      </w:r>
    </w:p>
    <w:tbl>
      <w:tblPr>
        <w:tblStyle w:val="TableGrid"/>
        <w:tblW w:w="963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213"/>
        <w:gridCol w:w="3213"/>
        <w:gridCol w:w="3213"/>
      </w:tblGrid>
      <w:tr>
        <w:trPr>
          <w:cantSplit/>
        </w:trPr>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Error Code</w:t>
            </w:r>
          </w:p>
        </w:tc>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Meaning</w:t>
            </w:r>
          </w:p>
        </w:tc>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Resolution</w:t>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CapacityReservationGroupSharingNotEnabled</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Sharing preview not enabled for subscription or API version</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Request preview access through Microsoft; pin a supported api-version (try 2024-03-01 then 2024-03-01-preview); record version that works</w:t>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CapacityReservationGroupLimitReached</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100-consumer (or observed) limit hit on sharingProfile</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Shard CRG; update engine sharding logic; do not force additional consumers onto the same CRG</w:t>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QuotaExceeded</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Insufficient quota for SKU family or regional vCPU</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Request quota increase in Azure Portal / Quota API before retesting; re-run dual provider and consumer checks</w:t>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429 TooManyRequests</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Throttle limit hit for subscription or resource provider</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Wait Retry-After seconds; reduce test concurrency; capture x-ms-ratelimit headers; adjust adaptive throttle manager</w:t>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AuthorizationFailed</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Insufficient RBAC at the targeted scope</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Verify role assignments at correct scope (CRG resource ID, not only resource group); separate reader vs mutator identities</w:t>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ResourceGroupNotFound / ResourceNotFound</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Resource does not exist or wrong subscription context</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Verify az account show matches target subscription; confirm resource group and names</w:t>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InvalidApiVersionParameter</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API version not supported in this region/cloud for the feature</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Try alternative preview API versions; document result per region; do not assume one version works everywhere</w:t>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ZonalAllocationFailed</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 capacity available in the requested zone, or zone mapping mismatch</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Try alternative zone; re-run POC-06a zone translation; document as capacity or mapping constraint</w:t>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ZoneMappingUnavailable</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Engine/onboarding cannot resolve consumer logical zone for provider physical zone</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Block onboarding/deployment; rebuild zone_mapping_table via locations API; escalate to placement engineering</w:t>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MethodNotAllowed / 404 on Quota Groups</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Quota Groups API unavailable in scope (POC-30 fail)</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BLOCK all quota-group engineering; escalate to Quota Owner; consider fallback architecture</w:t>
            </w:r>
          </w:p>
        </w:tc>
      </w:tr>
    </w:tbl>
    <w:p>
      <w:pPr>
        <w:pStyle w:val="Normal"/>
        <w:spacing w:before="40" w:after="120"/>
        <w:rPr/>
      </w:pPr>
      <w:r>
        <w:rPr/>
      </w:r>
    </w:p>
    <w:p>
      <w:pPr>
        <w:pStyle w:val="Heading1"/>
        <w:rPr/>
      </w:pPr>
      <w:bookmarkStart w:id="84" w:name="__RefHeading___Toc21560_693750392"/>
      <w:bookmarkEnd w:id="84"/>
      <w:r>
        <w:rPr/>
        <w:t>Appendix C — Critical Design Constraints (Quick Card)</w:t>
      </w:r>
    </w:p>
    <w:p>
      <w:pPr>
        <w:pStyle w:val="Normal"/>
        <w:rPr/>
      </w:pPr>
      <w:r>
        <w:rPr>
          <w:rFonts w:eastAsia="Calibri"/>
          <w:b w:val="false"/>
          <w:i w:val="false"/>
          <w:color w:val="1A1A1A"/>
          <w:sz w:val="21"/>
        </w:rPr>
        <w:t>Carry-forward constraints from the finalized architecture. Do not weaken during testing.</w:t>
      </w:r>
    </w:p>
    <w:tbl>
      <w:tblPr>
        <w:tblStyle w:val="TableGrid"/>
        <w:tblW w:w="963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213"/>
        <w:gridCol w:w="3213"/>
        <w:gridCol w:w="3213"/>
      </w:tblGrid>
      <w:tr>
        <w:trPr>
          <w:cantSplit/>
        </w:trPr>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ID</w:t>
            </w:r>
          </w:p>
        </w:tc>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Constraint</w:t>
            </w:r>
          </w:p>
        </w:tc>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Test implication</w:t>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FC-06</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Cross-subscription logical AZ mappings differ</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POC-06a onboarding gate; zone translation mandatory</w:t>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FC-08</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VMSS reprovision via shared CRG in zone outage is Preview limitation</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POC-VMSS-DR must run before Phase 2 VMSS DR design</w:t>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FC-09</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RI discount does not auto-flow to consumer</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POC-RI-01/02 before customer cost models</w:t>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FC-11</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quota groupType enforcement is preview-only</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Do not depend on EnforcedGroup until GA + POC-30</w:t>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FC-16</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Compute baselines 250 reads/5 min; 1,200 writes/hour</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POC-THROTTLE-*; adaptive manager starting config</w:t>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FC-18</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AKS node pool CRG change requires recreation</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POC-AKS-02 documents disruption</w:t>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G-14</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Consumer credential model unresolved</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Tier 3 blocked; POC-20 must reject</w:t>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G-15</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Engine mode state machine incomplete</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DR automation blocked until implemented</w:t>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D-REG</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Prod ≠ DR ≠ NonProd regions</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PF-09/PF-10 hard fail if violated</w:t>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T3</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Tier 3 human-only in Phase 1</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 automation; VMSS Tier 3 rejected</w:t>
            </w:r>
          </w:p>
        </w:tc>
      </w:tr>
    </w:tbl>
    <w:p>
      <w:pPr>
        <w:pStyle w:val="Normal"/>
        <w:spacing w:before="40" w:after="120"/>
        <w:rPr/>
      </w:pPr>
      <w:r>
        <w:rPr/>
      </w:r>
    </w:p>
    <w:p>
      <w:pPr>
        <w:pStyle w:val="Heading1"/>
        <w:rPr/>
      </w:pPr>
      <w:bookmarkStart w:id="85" w:name="__RefHeading___Toc21562_693750392"/>
      <w:bookmarkEnd w:id="85"/>
      <w:r>
        <w:rPr/>
        <w:t>Appendix D — Cleanup Procedure</w:t>
      </w:r>
    </w:p>
    <w:p>
      <w:pPr>
        <w:pStyle w:val="Normal"/>
        <w:rPr/>
      </w:pPr>
      <w:r>
        <w:rPr>
          <w:rFonts w:eastAsia="Calibri"/>
          <w:b w:val="false"/>
          <w:i w:val="false"/>
          <w:color w:val="1A1A1A"/>
          <w:sz w:val="21"/>
        </w:rPr>
        <w:t>Run cleanup at the end of each test day unless resources are intentionally retained for a multi-day scenario. Order matters: remove associations before deleting reservations and CRGs.</w:t>
      </w:r>
    </w:p>
    <w:p>
      <w:pPr>
        <w:pStyle w:val="ListNumber"/>
        <w:numPr>
          <w:ilvl w:val="0"/>
          <w:numId w:val="9"/>
        </w:numPr>
        <w:rPr/>
      </w:pPr>
      <w:r>
        <w:rPr>
          <w:rFonts w:eastAsia="Calibri"/>
          <w:b w:val="false"/>
          <w:i w:val="false"/>
          <w:color w:val="1A1A1A"/>
          <w:sz w:val="21"/>
        </w:rPr>
        <w:t>List test VMs and deallocate: az vm list -g &lt;RG&gt; -o table then az vm deallocate --ids &lt;id&gt;</w:t>
      </w:r>
    </w:p>
    <w:p>
      <w:pPr>
        <w:pStyle w:val="ListNumber"/>
        <w:numPr>
          <w:ilvl w:val="0"/>
          <w:numId w:val="4"/>
        </w:numPr>
        <w:rPr/>
      </w:pPr>
      <w:r>
        <w:rPr>
          <w:rFonts w:eastAsia="Calibri"/>
          <w:b w:val="false"/>
          <w:i w:val="false"/>
          <w:color w:val="1A1A1A"/>
          <w:sz w:val="21"/>
        </w:rPr>
        <w:t>Disassociate VMs from CRGs (POC-05 pattern).</w:t>
      </w:r>
    </w:p>
    <w:p>
      <w:pPr>
        <w:pStyle w:val="ListNumber"/>
        <w:numPr>
          <w:ilvl w:val="0"/>
          <w:numId w:val="4"/>
        </w:numPr>
        <w:rPr/>
      </w:pPr>
      <w:r>
        <w:rPr>
          <w:rFonts w:eastAsia="Calibri"/>
          <w:b w:val="false"/>
          <w:i w:val="false"/>
          <w:color w:val="1A1A1A"/>
          <w:sz w:val="21"/>
        </w:rPr>
        <w:t>Delete test VMs: az vm delete --resource-group &lt;RG&gt; --name &lt;VM&gt; --yes</w:t>
      </w:r>
    </w:p>
    <w:p>
      <w:pPr>
        <w:pStyle w:val="ListNumber"/>
        <w:numPr>
          <w:ilvl w:val="0"/>
          <w:numId w:val="4"/>
        </w:numPr>
        <w:rPr/>
      </w:pPr>
      <w:r>
        <w:rPr>
          <w:rFonts w:eastAsia="Calibri"/>
          <w:b w:val="false"/>
          <w:i w:val="false"/>
          <w:color w:val="1A1A1A"/>
          <w:sz w:val="21"/>
        </w:rPr>
        <w:t>Delete test VMSS / AKS node pools created solely for POC.</w:t>
      </w:r>
    </w:p>
    <w:p>
      <w:pPr>
        <w:pStyle w:val="ListNumber"/>
        <w:numPr>
          <w:ilvl w:val="0"/>
          <w:numId w:val="4"/>
        </w:numPr>
        <w:rPr/>
      </w:pPr>
      <w:r>
        <w:rPr>
          <w:rFonts w:eastAsia="Calibri"/>
          <w:b w:val="false"/>
          <w:i w:val="false"/>
          <w:color w:val="1A1A1A"/>
          <w:sz w:val="21"/>
        </w:rPr>
        <w:t>Set Capacity Reservation capacity to 0 if required by policy, then delete: az capacity reservation delete ...</w:t>
      </w:r>
    </w:p>
    <w:p>
      <w:pPr>
        <w:pStyle w:val="ListNumber"/>
        <w:numPr>
          <w:ilvl w:val="0"/>
          <w:numId w:val="4"/>
        </w:numPr>
        <w:rPr/>
      </w:pPr>
      <w:r>
        <w:rPr>
          <w:rFonts w:eastAsia="Calibri"/>
          <w:b w:val="false"/>
          <w:i w:val="false"/>
          <w:color w:val="1A1A1A"/>
          <w:sz w:val="21"/>
        </w:rPr>
        <w:t>Clear sharingProfile consumer entries that were added only for test.</w:t>
      </w:r>
    </w:p>
    <w:p>
      <w:pPr>
        <w:pStyle w:val="ListNumber"/>
        <w:numPr>
          <w:ilvl w:val="0"/>
          <w:numId w:val="4"/>
        </w:numPr>
        <w:rPr/>
      </w:pPr>
      <w:r>
        <w:rPr>
          <w:rFonts w:eastAsia="Calibri"/>
          <w:b w:val="false"/>
          <w:i w:val="false"/>
          <w:color w:val="1A1A1A"/>
          <w:sz w:val="21"/>
        </w:rPr>
        <w:t>Delete test CRGs: az capacity reservation group delete ...</w:t>
      </w:r>
    </w:p>
    <w:p>
      <w:pPr>
        <w:pStyle w:val="ListNumber"/>
        <w:numPr>
          <w:ilvl w:val="0"/>
          <w:numId w:val="4"/>
        </w:numPr>
        <w:rPr/>
      </w:pPr>
      <w:r>
        <w:rPr>
          <w:rFonts w:eastAsia="Calibri"/>
          <w:b w:val="false"/>
          <w:i w:val="false"/>
          <w:color w:val="1A1A1A"/>
          <w:sz w:val="21"/>
        </w:rPr>
        <w:t>Remove test quota group memberships / groups if POC-30 created them and policy allows.</w:t>
      </w:r>
    </w:p>
    <w:p>
      <w:pPr>
        <w:pStyle w:val="ListNumber"/>
        <w:numPr>
          <w:ilvl w:val="0"/>
          <w:numId w:val="4"/>
        </w:numPr>
        <w:rPr/>
      </w:pPr>
      <w:r>
        <w:rPr>
          <w:rFonts w:eastAsia="Calibri"/>
          <w:b w:val="false"/>
          <w:i w:val="false"/>
          <w:color w:val="1A1A1A"/>
          <w:sz w:val="21"/>
        </w:rPr>
        <w:t>Verify with ARG and ARM that no orphaned test resources remain.</w:t>
      </w:r>
    </w:p>
    <w:p>
      <w:pPr>
        <w:pStyle w:val="ListNumber"/>
        <w:numPr>
          <w:ilvl w:val="0"/>
          <w:numId w:val="4"/>
        </w:numPr>
        <w:rPr/>
      </w:pPr>
      <w:r>
        <w:rPr>
          <w:rFonts w:eastAsia="Calibri"/>
          <w:b w:val="false"/>
          <w:i w:val="false"/>
          <w:color w:val="1A1A1A"/>
          <w:sz w:val="21"/>
        </w:rPr>
        <w:t>Attach cleanup evidence (commands + timestamps) to the daily execution log.</w:t>
      </w:r>
    </w:p>
    <w:p>
      <w:pPr>
        <w:pStyle w:val="Heading1"/>
        <w:rPr/>
      </w:pPr>
      <w:bookmarkStart w:id="86" w:name="__RefHeading___Toc21564_693750392"/>
      <w:bookmarkEnd w:id="86"/>
      <w:r>
        <w:rPr/>
        <w:t>Appendix E — Sign-Off Record</w:t>
      </w:r>
    </w:p>
    <w:p>
      <w:pPr>
        <w:pStyle w:val="Normal"/>
        <w:rPr/>
      </w:pPr>
      <w:r>
        <w:rPr>
          <w:rFonts w:eastAsia="Calibri"/>
          <w:b w:val="false"/>
          <w:i w:val="false"/>
          <w:color w:val="1A1A1A"/>
          <w:sz w:val="21"/>
        </w:rPr>
        <w:t>Final workbook closure signatures after all applicable phase gates for the current programme stage.</w:t>
      </w:r>
    </w:p>
    <w:tbl>
      <w:tblPr>
        <w:tblStyle w:val="TableGrid"/>
        <w:tblW w:w="964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28"/>
        <w:gridCol w:w="1928"/>
        <w:gridCol w:w="1928"/>
        <w:gridCol w:w="1928"/>
        <w:gridCol w:w="1928"/>
      </w:tblGrid>
      <w:tr>
        <w:trPr>
          <w:cantSplit/>
        </w:trPr>
        <w:tc>
          <w:tcPr>
            <w:tcW w:w="1928"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Role</w:t>
            </w:r>
          </w:p>
        </w:tc>
        <w:tc>
          <w:tcPr>
            <w:tcW w:w="1928"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Name</w:t>
            </w:r>
          </w:p>
        </w:tc>
        <w:tc>
          <w:tcPr>
            <w:tcW w:w="1928"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Signature</w:t>
            </w:r>
          </w:p>
        </w:tc>
        <w:tc>
          <w:tcPr>
            <w:tcW w:w="1928"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Date</w:t>
            </w:r>
          </w:p>
        </w:tc>
        <w:tc>
          <w:tcPr>
            <w:tcW w:w="1928"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Stage (P1 / P2 / Prod)</w:t>
            </w:r>
          </w:p>
        </w:tc>
      </w:tr>
      <w:tr>
        <w:trPr>
          <w:cantSplit/>
        </w:trPr>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Test Lead</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Capacity Architect</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Security</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DR Owner</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Quota Owner</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Product Owner</w:t>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928"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Design Review Council</w:t>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928"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1"/>
        <w:rPr/>
      </w:pPr>
      <w:bookmarkStart w:id="87" w:name="__RefHeading___Toc21566_693750392"/>
      <w:bookmarkEnd w:id="87"/>
      <w:r>
        <w:rPr/>
        <w:t>Appendix F — Daily Execution Log Templates</w:t>
      </w:r>
    </w:p>
    <w:p>
      <w:pPr>
        <w:pStyle w:val="Normal"/>
        <w:rPr/>
      </w:pPr>
      <w:r>
        <w:rPr>
          <w:rFonts w:eastAsia="Calibri"/>
          <w:b w:val="false"/>
          <w:i w:val="false"/>
          <w:color w:val="1A1A1A"/>
          <w:sz w:val="21"/>
        </w:rPr>
        <w:t>Use one block per test day. Attach CLI transcripts and request IDs to the evidence store referenced below.</w:t>
      </w:r>
    </w:p>
    <w:p>
      <w:pPr>
        <w:pStyle w:val="Heading2"/>
        <w:rPr/>
      </w:pPr>
      <w:bookmarkStart w:id="88" w:name="__RefHeading___Toc21568_693750392"/>
      <w:bookmarkEnd w:id="88"/>
      <w:r>
        <w:rPr/>
        <w:t>Day 1 log</w:t>
      </w:r>
    </w:p>
    <w:tbl>
      <w:tblPr>
        <w:tblStyle w:val="TableGrid"/>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cantSplit/>
        </w:trPr>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Field</w:t>
            </w:r>
          </w:p>
        </w:tc>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Entry</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Date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Engineer(s)</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Subscription context(s)</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POCs planned</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POCs completed (Pass/Fail/Blocked)</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Blockers raised (IDs)</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Resources created (names)</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Resources deleted / cleanup done (Y/N)</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Evidence location (path / ticket)</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Notes for next day</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2"/>
        <w:rPr/>
      </w:pPr>
      <w:bookmarkStart w:id="89" w:name="__RefHeading___Toc21570_693750392"/>
      <w:bookmarkEnd w:id="89"/>
      <w:r>
        <w:rPr/>
        <w:t>Day 2 log</w:t>
      </w:r>
    </w:p>
    <w:tbl>
      <w:tblPr>
        <w:tblStyle w:val="TableGrid"/>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cantSplit/>
        </w:trPr>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Field</w:t>
            </w:r>
          </w:p>
        </w:tc>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Entry</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Date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Engineer(s)</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Subscription context(s)</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POCs planned</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POCs completed (Pass/Fail/Blocked)</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Blockers raised (IDs)</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Resources created (names)</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Resources deleted / cleanup done (Y/N)</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Evidence location (path / ticket)</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Notes for next day</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2"/>
        <w:rPr/>
      </w:pPr>
      <w:bookmarkStart w:id="90" w:name="__RefHeading___Toc21572_693750392"/>
      <w:bookmarkEnd w:id="90"/>
      <w:r>
        <w:rPr/>
        <w:t>Day 3 log</w:t>
      </w:r>
    </w:p>
    <w:tbl>
      <w:tblPr>
        <w:tblStyle w:val="TableGrid"/>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cantSplit/>
        </w:trPr>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Field</w:t>
            </w:r>
          </w:p>
        </w:tc>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Entry</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Date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Engineer(s)</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Subscription context(s)</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POCs planned</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POCs completed (Pass/Fail/Blocked)</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Blockers raised (IDs)</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Resources created (names)</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Resources deleted / cleanup done (Y/N)</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Evidence location (path / ticket)</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Notes for next day</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2"/>
        <w:rPr/>
      </w:pPr>
      <w:bookmarkStart w:id="91" w:name="__RefHeading___Toc21574_693750392"/>
      <w:bookmarkEnd w:id="91"/>
      <w:r>
        <w:rPr/>
        <w:t>Day 4 log</w:t>
      </w:r>
    </w:p>
    <w:tbl>
      <w:tblPr>
        <w:tblStyle w:val="TableGrid"/>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cantSplit/>
        </w:trPr>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Field</w:t>
            </w:r>
          </w:p>
        </w:tc>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Entry</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Date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Engineer(s)</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Subscription context(s)</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POCs planned</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POCs completed (Pass/Fail/Blocked)</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Blockers raised (IDs)</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Resources created (names)</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Resources deleted / cleanup done (Y/N)</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Evidence location (path / ticket)</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Notes for next day</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2"/>
        <w:rPr/>
      </w:pPr>
      <w:bookmarkStart w:id="92" w:name="__RefHeading___Toc21576_693750392"/>
      <w:bookmarkEnd w:id="92"/>
      <w:r>
        <w:rPr/>
        <w:t>Day 5 log</w:t>
      </w:r>
    </w:p>
    <w:tbl>
      <w:tblPr>
        <w:tblStyle w:val="TableGrid"/>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cantSplit/>
        </w:trPr>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Field</w:t>
            </w:r>
          </w:p>
        </w:tc>
        <w:tc>
          <w:tcPr>
            <w:tcW w:w="4819"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Entry</w:t>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Date</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Engineer(s)</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Subscription context(s)</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POCs planned</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POCs completed (Pass/Fail/Blocked)</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Blockers raised (IDs)</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Resources created (names)</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Resources deleted / cleanup done (Y/N)</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Evidence location (path / ticket)</w:t>
            </w:r>
          </w:p>
        </w:tc>
        <w:tc>
          <w:tcPr>
            <w:tcW w:w="4819"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Notes for next day</w:t>
            </w:r>
          </w:p>
        </w:tc>
        <w:tc>
          <w:tcPr>
            <w:tcW w:w="4819"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120"/>
        <w:rPr/>
      </w:pPr>
      <w:r>
        <w:rPr/>
      </w:r>
    </w:p>
    <w:p>
      <w:pPr>
        <w:pStyle w:val="Heading1"/>
        <w:rPr/>
      </w:pPr>
      <w:bookmarkStart w:id="93" w:name="__RefHeading___Toc21578_693750392"/>
      <w:bookmarkEnd w:id="93"/>
      <w:r>
        <w:rPr/>
        <w:t>Appendix G — Evidence Classification Guide</w:t>
      </w:r>
    </w:p>
    <w:p>
      <w:pPr>
        <w:pStyle w:val="Normal"/>
        <w:rPr/>
      </w:pPr>
      <w:r>
        <w:rPr>
          <w:rFonts w:eastAsia="Calibri"/>
          <w:b w:val="false"/>
          <w:i w:val="false"/>
          <w:color w:val="1A1A1A"/>
          <w:sz w:val="21"/>
        </w:rPr>
        <w:t>Every POC result must be classified so programme reporting does not overstate platform guarantees (architecture evidence hierarchy).</w:t>
      </w:r>
    </w:p>
    <w:tbl>
      <w:tblPr>
        <w:tblStyle w:val="TableGrid"/>
        <w:tblW w:w="963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213"/>
        <w:gridCol w:w="3213"/>
        <w:gridCol w:w="3213"/>
      </w:tblGrid>
      <w:tr>
        <w:trPr>
          <w:cantSplit/>
        </w:trPr>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Classification</w:t>
            </w:r>
          </w:p>
        </w:tc>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When to use</w:t>
            </w:r>
          </w:p>
        </w:tc>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May support</w:t>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Documented</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Official Microsoft behaviour with claim-level source support</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Design decisions citing platform guarantees</w:t>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Observed</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Executed POC with retained logs for a specific API version, region, SKU, zone</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Internal tested conclusion — not a Microsoft commitment</w:t>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Assumed</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Workbook expected result not yet executed, or design hypothesis</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Planning only; cannot close production gates alone</w:t>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Derived</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Logical consequence of the approved design or formulas</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Internal consistency checks</w:t>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Judgement</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Council recommendation or risk disposition</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Governance decisions, not platform facts</w:t>
            </w:r>
          </w:p>
        </w:tc>
      </w:tr>
    </w:tbl>
    <w:p>
      <w:pPr>
        <w:pStyle w:val="Normal"/>
        <w:spacing w:before="40" w:after="120"/>
        <w:rPr/>
      </w:pPr>
      <w:r>
        <w:rPr/>
      </w:r>
    </w:p>
    <w:p>
      <w:pPr>
        <w:pStyle w:val="Normal"/>
        <w:rPr/>
      </w:pPr>
      <w:r>
        <w:rPr>
          <w:rFonts w:eastAsia="Calibri"/>
          <w:b w:val="false"/>
          <w:i/>
          <w:color w:val="555555"/>
          <w:sz w:val="20"/>
        </w:rPr>
        <w:t>Preview features (CRG Sharing, Quota Groups, groupType) must never be labelled Documented as GA behaviour. POC observations of preview APIs are Observed only.</w:t>
      </w:r>
    </w:p>
    <w:p>
      <w:pPr>
        <w:pStyle w:val="Heading1"/>
        <w:rPr/>
      </w:pPr>
      <w:bookmarkStart w:id="94" w:name="__RefHeading___Toc21580_693750392"/>
      <w:bookmarkEnd w:id="94"/>
      <w:r>
        <w:rPr/>
        <w:t>Appendix H — Related Architecture References</w:t>
      </w:r>
    </w:p>
    <w:p>
      <w:pPr>
        <w:pStyle w:val="Normal"/>
        <w:rPr/>
      </w:pPr>
      <w:r>
        <w:rPr>
          <w:rFonts w:eastAsia="Calibri"/>
          <w:b w:val="false"/>
          <w:i w:val="false"/>
          <w:color w:val="1A1A1A"/>
          <w:sz w:val="21"/>
        </w:rPr>
        <w:t>Cross-references into the finalized production-readiness and architecture document.</w:t>
      </w:r>
    </w:p>
    <w:tbl>
      <w:tblPr>
        <w:tblStyle w:val="TableGrid"/>
        <w:tblW w:w="963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213"/>
        <w:gridCol w:w="3213"/>
        <w:gridCol w:w="3213"/>
      </w:tblGrid>
      <w:tr>
        <w:trPr>
          <w:cantSplit/>
        </w:trPr>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Topic</w:t>
            </w:r>
          </w:p>
        </w:tc>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Architecture section</w:t>
            </w:r>
          </w:p>
        </w:tc>
        <w:tc>
          <w:tcPr>
            <w:tcW w:w="3213" w:type="dxa"/>
            <w:tcBorders>
              <w:top w:val="single" w:sz="4" w:space="0" w:color="0B3D5C"/>
              <w:start w:val="single" w:sz="4" w:space="0" w:color="0B3D5C"/>
              <w:bottom w:val="single" w:sz="4" w:space="0" w:color="0B3D5C"/>
              <w:end w:val="single" w:sz="4" w:space="0" w:color="0B3D5C"/>
            </w:tcBorders>
            <w:shd w:fill="0B3D5C"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i w:val="false"/>
                <w:color w:val="FFFFFF"/>
                <w:kern w:val="0"/>
                <w:sz w:val="18"/>
                <w:szCs w:val="22"/>
                <w:lang w:val="en-US" w:eastAsia="en-US" w:bidi="ar-SA"/>
              </w:rPr>
              <w:t>Workbook coverage</w:t>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Executive decision / pilot scope</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§1, §16, §18</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Phase gates §6</w:t>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Evidence hierarchy</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§2</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Appendix G</w:t>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Assumption matrix A-01…A-20</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§8</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§8</w:t>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FC-06 zone alignment</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§5</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POC-06a</w:t>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FC-08 VMSS shared CRG zone outage</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§6</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POC-VMSS-DR</w:t>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FC-09 RI discount scope</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§38</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POC-RI-01/02</w:t>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FC-11 groupType preview</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§26</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POC-30</w:t>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FC-16 Compute throttle baselines</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§7</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POC-THROTTLE-*</w:t>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FC-18 AKS node disruption</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§6, §33</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POC-AKS-02</w:t>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G-14 credentials</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§11, §36, §39</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POC-20, blocker log</w:t>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G-15 engine mode</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§29, §39</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POC-18, Phase 2 gates</w:t>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Tier escalation</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§32</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POC-18/19/20</w:t>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Production entry gates PG-01…PG-10</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§17</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§6.4</w:t>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Risk register R-01…R-44</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§40</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Blocker log + residual risk acceptance</w:t>
            </w:r>
          </w:p>
        </w:tc>
      </w:tr>
      <w:tr>
        <w:trPr>
          <w:cantSplit/>
        </w:trPr>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Runbooks A–E</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§41</w:t>
            </w:r>
          </w:p>
        </w:tc>
        <w:tc>
          <w:tcPr>
            <w:tcW w:w="3213" w:type="dxa"/>
            <w:tcBorders>
              <w:top w:val="single" w:sz="4" w:space="0" w:color="CCCCCC"/>
              <w:start w:val="single" w:sz="4" w:space="0" w:color="CCCCCC"/>
              <w:bottom w:val="single" w:sz="4" w:space="0" w:color="CCCCCC"/>
              <w:end w:val="single" w:sz="4" w:space="0" w:color="CCCCCC"/>
            </w:tcBorders>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Operational companion (not duplicated here)</w:t>
            </w:r>
          </w:p>
        </w:tc>
      </w:tr>
      <w:tr>
        <w:trPr>
          <w:cantSplit/>
        </w:trPr>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POC validation plan</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§42</w:t>
            </w:r>
          </w:p>
        </w:tc>
        <w:tc>
          <w:tcPr>
            <w:tcW w:w="3213" w:type="dxa"/>
            <w:tcBorders>
              <w:top w:val="single" w:sz="4" w:space="0" w:color="CCCCCC"/>
              <w:start w:val="single" w:sz="4" w:space="0" w:color="CCCCCC"/>
              <w:bottom w:val="single" w:sz="4" w:space="0" w:color="CCCCCC"/>
              <w:end w:val="single" w:sz="4" w:space="0" w:color="CCCCCC"/>
            </w:tcBorders>
            <w:shd w:fill="E8F1F5" w:val="clear"/>
          </w:tcPr>
          <w:p>
            <w:pPr>
              <w:pStyle w:val="Normal"/>
              <w:widowControl/>
              <w:suppressAutoHyphens w:val="true"/>
              <w:spacing w:lineRule="auto" w:line="252" w:before="40" w:after="40"/>
              <w:jc w:val="start"/>
              <w:rPr>
                <w:rFonts w:eastAsia="ＭＳ 明朝" w:cs=""/>
                <w:kern w:val="0"/>
                <w:szCs w:val="22"/>
                <w:lang w:val="en-US" w:eastAsia="en-US" w:bidi="ar-SA"/>
              </w:rPr>
            </w:pPr>
            <w:r>
              <w:rPr>
                <w:rFonts w:eastAsia="Calibri" w:cs=""/>
                <w:b w:val="false"/>
                <w:i w:val="false"/>
                <w:color w:val="1A1A1A"/>
                <w:kern w:val="0"/>
                <w:sz w:val="17"/>
                <w:szCs w:val="22"/>
                <w:lang w:val="en-US" w:eastAsia="en-US" w:bidi="ar-SA"/>
              </w:rPr>
              <w:t>This workbook (authoritative execution form)</w:t>
            </w:r>
          </w:p>
        </w:tc>
      </w:tr>
    </w:tbl>
    <w:p>
      <w:pPr>
        <w:pStyle w:val="Normal"/>
        <w:spacing w:before="40" w:after="12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720" w:top="1134" w:footer="72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Consolas">
    <w:charset w:val="01" w:characterSet="utf-8"/>
    <w:family w:val="roman"/>
    <w:pitch w:val="variable"/>
  </w:font>
  <w:font w:name="Calibri Light">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Calibri"/>
        <w:b w:val="false"/>
        <w:i w:val="false"/>
        <w:color w:val="555555"/>
        <w:sz w:val="17"/>
      </w:rPr>
      <w:t xml:space="preserve">Confidential — Internal Engineering Validation  ·  Page </w:t>
    </w:r>
    <w:r>
      <w:rPr/>
      <w:fldChar w:fldCharType="begin"/>
    </w:r>
    <w:r>
      <w:rPr/>
      <w:instrText xml:space="preserve"> PAGE </w:instrText>
    </w:r>
    <w:r>
      <w:rPr/>
      <w:fldChar w:fldCharType="separate"/>
    </w:r>
    <w:r>
      <w:rPr/>
      <w:t>61</w:t>
    </w:r>
    <w:r>
      <w:rPr/>
      <w:fldChar w:fldCharType="end"/>
    </w:r>
    <w:r>
      <w:rPr>
        <w:rFonts w:eastAsia="Calibri"/>
        <w:b w:val="false"/>
        <w:i w:val="false"/>
        <w:color w:val="555555"/>
        <w:sz w:val="17"/>
      </w:rPr>
      <w:t xml:space="preserve"> of </w:t>
    </w:r>
    <w:r>
      <w:rPr/>
      <w:fldChar w:fldCharType="begin"/>
    </w:r>
    <w:r>
      <w:rPr/>
      <w:instrText xml:space="preserve"> NUMPAGES </w:instrText>
    </w:r>
    <w:r>
      <w:rPr/>
      <w:fldChar w:fldCharType="separate"/>
    </w:r>
    <w:r>
      <w:rPr/>
      <w:t>61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Calibri"/>
        <w:b w:val="false"/>
        <w:i w:val="false"/>
        <w:color w:val="555555"/>
        <w:sz w:val="17"/>
      </w:rPr>
      <w:t xml:space="preserve">Confidential — Internal Engineering Validation  ·  Page </w:t>
    </w:r>
    <w:r>
      <w:rPr/>
      <w:fldChar w:fldCharType="begin"/>
    </w:r>
    <w:r>
      <w:rPr/>
      <w:instrText xml:space="preserve"> PAGE </w:instrText>
    </w:r>
    <w:r>
      <w:rPr/>
      <w:fldChar w:fldCharType="separate"/>
    </w:r>
    <w:r>
      <w:rPr/>
      <w:t>61</w:t>
    </w:r>
    <w:r>
      <w:rPr/>
      <w:fldChar w:fldCharType="end"/>
    </w:r>
    <w:r>
      <w:rPr>
        <w:rFonts w:eastAsia="Calibri"/>
        <w:b w:val="false"/>
        <w:i w:val="false"/>
        <w:color w:val="555555"/>
        <w:sz w:val="17"/>
      </w:rPr>
      <w:t xml:space="preserve"> of </w:t>
    </w:r>
    <w:r>
      <w:rPr/>
      <w:fldChar w:fldCharType="begin"/>
    </w:r>
    <w:r>
      <w:rPr/>
      <w:instrText xml:space="preserve"> NUMPAGES </w:instrText>
    </w:r>
    <w:r>
      <w:rPr/>
      <w:fldChar w:fldCharType="separate"/>
    </w:r>
    <w:r>
      <w:rPr/>
      <w:t>61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4" w:color="0B3D5C"/>
      </w:pBdr>
      <w:jc w:val="start"/>
      <w:rPr/>
    </w:pPr>
    <w:r>
      <w:rPr>
        <w:rFonts w:eastAsia="Calibri"/>
        <w:b/>
        <w:i w:val="false"/>
        <w:color w:val="0B3D5C"/>
        <w:sz w:val="18"/>
      </w:rPr>
      <w:t>ACRME — POC Test Workbook v2</w:t>
    </w:r>
    <w:r>
      <w:rPr>
        <w:rFonts w:eastAsia="Calibri"/>
        <w:b w:val="false"/>
        <w:i w:val="false"/>
        <w:color w:val="555555"/>
        <w:sz w:val="18"/>
      </w:rPr>
      <w:t xml:space="preserve">  |  Finalized Design Validation  |  v2.0</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4" w:color="0B3D5C"/>
      </w:pBdr>
      <w:jc w:val="start"/>
      <w:rPr/>
    </w:pPr>
    <w:r>
      <w:rPr>
        <w:rFonts w:eastAsia="Calibri"/>
        <w:b/>
        <w:i w:val="false"/>
        <w:color w:val="0B3D5C"/>
        <w:sz w:val="18"/>
      </w:rPr>
      <w:t>ACRME — POC Test Workbook v2</w:t>
    </w:r>
    <w:r>
      <w:rPr>
        <w:rFonts w:eastAsia="Calibri"/>
        <w:b w:val="false"/>
        <w:i w:val="false"/>
        <w:color w:val="555555"/>
        <w:sz w:val="18"/>
      </w:rPr>
      <w:t xml:space="preserve">  |  Finalized Design Validation  |  v2.0</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4"/>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83" w:before="0" w:after="160"/>
      <w:jc w:val="start"/>
    </w:pPr>
    <w:rPr>
      <w:rFonts w:ascii="Calibri" w:hAnsi="Calibri" w:eastAsia="ＭＳ 明朝" w:cs=""/>
      <w:color w:val="1A1A1A"/>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pBdr>
        <w:bottom w:val="single" w:sz="12" w:space="4" w:color="0B3D5C"/>
      </w:pBdr>
      <w:spacing w:before="360" w:after="160"/>
      <w:outlineLvl w:val="0"/>
    </w:pPr>
    <w:rPr>
      <w:rFonts w:ascii="Calibri" w:hAnsi="Calibri" w:eastAsia="" w:cs="" w:asciiTheme="majorHAnsi" w:cstheme="majorBidi" w:eastAsiaTheme="majorEastAsia" w:hAnsiTheme="majorHAnsi"/>
      <w:b/>
      <w:bCs/>
      <w:color w:val="0B3D5C"/>
      <w:sz w:val="32"/>
      <w:szCs w:val="28"/>
    </w:rPr>
  </w:style>
  <w:style w:type="paragraph" w:styleId="Heading2">
    <w:name w:val="heading 2"/>
    <w:basedOn w:val="Normal"/>
    <w:next w:val="Normal"/>
    <w:link w:val="Heading2Char"/>
    <w:uiPriority w:val="9"/>
    <w:unhideWhenUsed/>
    <w:qFormat/>
    <w:rsid w:val="00fc693f"/>
    <w:pPr>
      <w:keepNext w:val="true"/>
      <w:keepLines/>
      <w:spacing w:before="280" w:after="120"/>
      <w:outlineLvl w:val="1"/>
    </w:pPr>
    <w:rPr>
      <w:rFonts w:ascii="Calibri" w:hAnsi="Calibri" w:eastAsia="" w:cs="" w:asciiTheme="majorHAnsi" w:cstheme="majorBidi" w:eastAsiaTheme="majorEastAsia" w:hAnsiTheme="majorHAnsi"/>
      <w:b/>
      <w:bCs/>
      <w:color w:val="1F6F8B"/>
      <w:sz w:val="26"/>
      <w:szCs w:val="26"/>
    </w:rPr>
  </w:style>
  <w:style w:type="paragraph" w:styleId="Heading3">
    <w:name w:val="heading 3"/>
    <w:basedOn w:val="Normal"/>
    <w:next w:val="Normal"/>
    <w:link w:val="Heading3Char"/>
    <w:uiPriority w:val="9"/>
    <w:unhideWhenUsed/>
    <w:qFormat/>
    <w:rsid w:val="00fc693f"/>
    <w:pPr>
      <w:keepNext w:val="true"/>
      <w:keepLines/>
      <w:spacing w:before="240" w:after="80"/>
      <w:outlineLvl w:val="2"/>
    </w:pPr>
    <w:rPr>
      <w:rFonts w:ascii="Calibri" w:hAnsi="Calibri" w:eastAsia="" w:cs="" w:asciiTheme="majorHAnsi" w:cstheme="majorBidi" w:eastAsiaTheme="majorEastAsia" w:hAnsiTheme="majorHAnsi"/>
      <w:b/>
      <w:bCs/>
      <w:color w:val="0B3D5C"/>
      <w:sz w:val="23"/>
    </w:rPr>
  </w:style>
  <w:style w:type="paragraph" w:styleId="Heading4">
    <w:name w:val="heading 4"/>
    <w:basedOn w:val="Normal"/>
    <w:next w:val="Normal"/>
    <w:link w:val="Heading4Char"/>
    <w:uiPriority w:val="9"/>
    <w:semiHidden/>
    <w:unhideWhenUsed/>
    <w:qFormat/>
    <w:rsid w:val="00fc693f"/>
    <w:pPr>
      <w:keepNext w:val="true"/>
      <w:keepLines/>
      <w:spacing w:before="160" w:after="60"/>
      <w:outlineLvl w:val="3"/>
    </w:pPr>
    <w:rPr>
      <w:rFonts w:ascii="Calibri" w:hAnsi="Calibri" w:eastAsia="" w:cs="" w:asciiTheme="majorHAnsi" w:cstheme="majorBidi" w:eastAsiaTheme="majorEastAsia" w:hAnsiTheme="majorHAnsi"/>
      <w:b/>
      <w:bCs/>
      <w:i/>
      <w:iCs/>
      <w:color w:val="555555"/>
      <w:sz w:val="2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Noto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6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120"/>
      <w:contextualSpacing/>
    </w:pPr>
    <w:rPr>
      <w:rFonts w:ascii="Calibri" w:hAnsi="Calibri" w:eastAsia="" w:cs="" w:asciiTheme="majorHAnsi" w:cstheme="majorBidi" w:eastAsiaTheme="majorEastAsia" w:hAnsiTheme="majorHAnsi"/>
      <w:b w:val="false"/>
      <w:color w:val="0B3D5C"/>
      <w:spacing w:val="5"/>
      <w:kern w:val="2"/>
      <w:sz w:val="56"/>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6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60"/>
      <w:ind w:hanging="360" w:start="720"/>
      <w:contextualSpacing/>
    </w:pPr>
    <w:rPr/>
  </w:style>
  <w:style w:type="paragraph" w:styleId="List3">
    <w:name w:val="List 3"/>
    <w:basedOn w:val="Normal"/>
    <w:uiPriority w:val="99"/>
    <w:unhideWhenUsed/>
    <w:qFormat/>
    <w:rsid w:val="00326f90"/>
    <w:pPr>
      <w:spacing w:before="0" w:after="160"/>
      <w:ind w:hanging="360" w:start="1080"/>
      <w:contextualSpacing/>
    </w:pPr>
    <w:rPr/>
  </w:style>
  <w:style w:type="paragraph" w:styleId="ListBullet">
    <w:name w:val="List Bullet"/>
    <w:basedOn w:val="Normal"/>
    <w:uiPriority w:val="99"/>
    <w:unhideWhenUsed/>
    <w:rsid w:val="00326f90"/>
    <w:pPr>
      <w:numPr>
        <w:ilvl w:val="0"/>
        <w:numId w:val="1"/>
      </w:numPr>
      <w:spacing w:before="0" w:after="160"/>
      <w:contextualSpacing/>
    </w:pPr>
    <w:rPr/>
  </w:style>
  <w:style w:type="paragraph" w:styleId="ListBullet2">
    <w:name w:val="List Bullet 2"/>
    <w:basedOn w:val="Normal"/>
    <w:uiPriority w:val="99"/>
    <w:unhideWhenUsed/>
    <w:rsid w:val="00326f90"/>
    <w:pPr>
      <w:numPr>
        <w:ilvl w:val="0"/>
        <w:numId w:val="2"/>
      </w:numPr>
      <w:spacing w:before="0" w:after="160"/>
      <w:contextualSpacing/>
    </w:pPr>
    <w:rPr/>
  </w:style>
  <w:style w:type="paragraph" w:styleId="ListBullet3">
    <w:name w:val="List Bullet 3"/>
    <w:basedOn w:val="Normal"/>
    <w:uiPriority w:val="99"/>
    <w:unhideWhenUsed/>
    <w:rsid w:val="00326f90"/>
    <w:pPr>
      <w:numPr>
        <w:ilvl w:val="0"/>
        <w:numId w:val="3"/>
      </w:numPr>
      <w:spacing w:before="0" w:after="160"/>
      <w:contextualSpacing/>
    </w:pPr>
    <w:rPr/>
  </w:style>
  <w:style w:type="paragraph" w:styleId="ListNumber">
    <w:name w:val="List Number"/>
    <w:basedOn w:val="Normal"/>
    <w:uiPriority w:val="99"/>
    <w:unhideWhenUsed/>
    <w:rsid w:val="00326f90"/>
    <w:pPr>
      <w:numPr>
        <w:ilvl w:val="0"/>
        <w:numId w:val="4"/>
      </w:numPr>
      <w:spacing w:before="0" w:after="160"/>
      <w:contextualSpacing/>
    </w:pPr>
    <w:rPr/>
  </w:style>
  <w:style w:type="paragraph" w:styleId="ListNumber2">
    <w:name w:val="List Number 2"/>
    <w:basedOn w:val="Normal"/>
    <w:uiPriority w:val="99"/>
    <w:unhideWhenUsed/>
    <w:rsid w:val="0029639d"/>
    <w:pPr>
      <w:numPr>
        <w:ilvl w:val="0"/>
        <w:numId w:val="5"/>
      </w:numPr>
      <w:spacing w:before="0" w:after="160"/>
      <w:contextualSpacing/>
    </w:pPr>
    <w:rPr/>
  </w:style>
  <w:style w:type="paragraph" w:styleId="ListNumber3">
    <w:name w:val="List Number 3"/>
    <w:basedOn w:val="Normal"/>
    <w:uiPriority w:val="99"/>
    <w:unhideWhenUsed/>
    <w:rsid w:val="0029639d"/>
    <w:pPr>
      <w:numPr>
        <w:ilvl w:val="0"/>
        <w:numId w:val="6"/>
      </w:numPr>
      <w:spacing w:before="0" w:after="16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CodeBlock" w:customStyle="1">
    <w:name w:val="CodeBlock"/>
    <w:qFormat/>
    <w:pPr>
      <w:widowControl/>
      <w:suppressAutoHyphens w:val="true"/>
      <w:bidi w:val="0"/>
      <w:spacing w:lineRule="auto" w:line="252" w:before="40" w:after="40"/>
      <w:ind w:start="170"/>
      <w:jc w:val="start"/>
    </w:pPr>
    <w:rPr>
      <w:rFonts w:ascii="Consolas" w:hAnsi="Consolas" w:eastAsia="ＭＳ 明朝" w:cs=""/>
      <w:color w:val="1A1A1A"/>
      <w:kern w:val="0"/>
      <w:sz w:val="17"/>
      <w:szCs w:val="22"/>
      <w:lang w:val="en-US" w:eastAsia="en-US" w:bidi="ar-SA"/>
    </w:rPr>
  </w:style>
  <w:style w:type="paragraph" w:styleId="MetaLine" w:customStyle="1">
    <w:name w:val="MetaLine"/>
    <w:qFormat/>
    <w:pPr>
      <w:widowControl/>
      <w:suppressAutoHyphens w:val="true"/>
      <w:bidi w:val="0"/>
      <w:spacing w:lineRule="auto" w:line="276" w:before="0" w:after="40"/>
      <w:jc w:val="start"/>
    </w:pPr>
    <w:rPr>
      <w:rFonts w:ascii="Calibri" w:hAnsi="Calibri" w:eastAsia="ＭＳ 明朝" w:cs=""/>
      <w:color w:val="555555"/>
      <w:kern w:val="0"/>
      <w:sz w:val="22"/>
      <w:szCs w:val="22"/>
      <w:lang w:val="en-US" w:eastAsia="en-US" w:bidi="ar-SA"/>
    </w:rPr>
  </w:style>
  <w:style w:type="paragraph" w:styleId="TOC1">
    <w:name w:val="toc 1"/>
    <w:basedOn w:val="Index"/>
    <w:pPr>
      <w:tabs>
        <w:tab w:val="clear" w:pos="720"/>
        <w:tab w:val="right" w:pos="9638" w:leader="dot"/>
      </w:tabs>
      <w:ind w:hanging="0" w:start="0"/>
    </w:pPr>
    <w:rPr/>
  </w:style>
  <w:style w:type="paragraph" w:styleId="TOC2">
    <w:name w:val="toc 2"/>
    <w:basedOn w:val="Index"/>
    <w:pPr>
      <w:tabs>
        <w:tab w:val="clear" w:pos="720"/>
        <w:tab w:val="right" w:pos="9355" w:leader="dot"/>
      </w:tabs>
      <w:ind w:hanging="0" w:start="283"/>
    </w:pPr>
    <w:rPr/>
  </w:style>
  <w:style w:type="paragraph" w:styleId="TOC3">
    <w:name w:val="toc 3"/>
    <w:basedOn w:val="Index"/>
    <w:pPr>
      <w:tabs>
        <w:tab w:val="clear" w:pos="720"/>
        <w:tab w:val="right" w:pos="9071" w:leader="dot"/>
      </w:tabs>
      <w:ind w:hanging="0" w:start="567"/>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LibreOffice/26.2.3.2$Linux_X86_64 LibreOffice_project/70e089b17412e4cb7773e41413306b17a2328c34</Application>
  <AppVersion>15.0000</AppVersion>
  <Pages>61</Pages>
  <Words>12121</Words>
  <Characters>73327</Characters>
  <CharactersWithSpaces>82539</CharactersWithSpaces>
  <Paragraphs>2706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2026-08-21T16:12:30Z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