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E1B4B"/>
          <w:sz w:val="44"/>
        </w:rPr>
        <w:t>OpsHeal: Autonomous Incident Triage &amp; Zero-Downtime Hotfix Swarm</w:t>
      </w:r>
    </w:p>
    <w:p>
      <w:pPr>
        <w:spacing w:before="0" w:after="280"/>
      </w:pPr>
      <w:r>
        <w:rPr>
          <w:i/>
          <w:color w:val="4F46E5"/>
          <w:sz w:val="24"/>
        </w:rPr>
        <w:t>Executive Project Proposal &amp; Technical Specification | IBM Bob 2.0 Hackathon LabLab.ai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color w:val="0F172A"/>
                <w:sz w:val="20"/>
              </w:rPr>
              <w:t>Project Name</w:t>
            </w:r>
          </w:p>
        </w:tc>
        <w:tc>
          <w:tcPr>
            <w:tcW w:type="dxa" w:w="6768"/>
            <w:shd w:val="clear" w:color="auto" w:fill="F8FAFC"/>
          </w:tcPr>
          <w:p>
            <w:pPr>
              <w:spacing w:before="60" w:after="60"/>
            </w:pPr>
            <w:r>
              <w:rPr>
                <w:color w:val="334155"/>
                <w:sz w:val="20"/>
              </w:rPr>
              <w:t>OpsHeal (IBM Bob 2.0 Multi-Agent Swarm)</w:t>
            </w:r>
          </w:p>
        </w:tc>
      </w:tr>
      <w:tr>
        <w:tc>
          <w:tcPr>
            <w:tcW w:type="dxa" w:w="2592"/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color w:val="0F172A"/>
                <w:sz w:val="20"/>
              </w:rPr>
              <w:t>Hackathon</w:t>
            </w:r>
          </w:p>
        </w:tc>
        <w:tc>
          <w:tcPr>
            <w:tcW w:type="dxa" w:w="6768"/>
            <w:shd w:val="clear" w:color="auto" w:fill="F8FAFC"/>
          </w:tcPr>
          <w:p>
            <w:pPr>
              <w:spacing w:before="60" w:after="60"/>
            </w:pPr>
            <w:r>
              <w:rPr>
                <w:color w:val="334155"/>
                <w:sz w:val="20"/>
              </w:rPr>
              <w:t>IBM Bob 2.0 AI Hackathon (LabLab.ai) | Track: AI-Assisted Development</w:t>
            </w:r>
          </w:p>
        </w:tc>
      </w:tr>
      <w:tr>
        <w:tc>
          <w:tcPr>
            <w:tcW w:type="dxa" w:w="2592"/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color w:val="0F172A"/>
                <w:sz w:val="20"/>
              </w:rPr>
              <w:t>Primary Impact</w:t>
            </w:r>
          </w:p>
        </w:tc>
        <w:tc>
          <w:tcPr>
            <w:tcW w:type="dxa" w:w="6768"/>
            <w:shd w:val="clear" w:color="auto" w:fill="F8FAFC"/>
          </w:tcPr>
          <w:p>
            <w:pPr>
              <w:spacing w:before="60" w:after="60"/>
            </w:pPr>
            <w:r>
              <w:rPr>
                <w:color w:val="334155"/>
                <w:sz w:val="20"/>
              </w:rPr>
              <w:t>Mean Time to Recovery (MTTR) reduced from 210 min to 48 sec (99.6% reduction)</w:t>
            </w:r>
          </w:p>
        </w:tc>
      </w:tr>
      <w:tr>
        <w:tc>
          <w:tcPr>
            <w:tcW w:type="dxa" w:w="2592"/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color w:val="0F172A"/>
                <w:sz w:val="20"/>
              </w:rPr>
              <w:t>Quantified ROI</w:t>
            </w:r>
          </w:p>
        </w:tc>
        <w:tc>
          <w:tcPr>
            <w:tcW w:type="dxa" w:w="6768"/>
            <w:shd w:val="clear" w:color="auto" w:fill="F8FAFC"/>
          </w:tcPr>
          <w:p>
            <w:pPr>
              <w:spacing w:before="60" w:after="60"/>
            </w:pPr>
            <w:r>
              <w:rPr>
                <w:color w:val="334155"/>
                <w:sz w:val="20"/>
              </w:rPr>
              <w:t>$1,171,520 net downtime cost savings per enterprise incident ($0.00 financial slippage)</w:t>
            </w:r>
          </w:p>
        </w:tc>
      </w:tr>
    </w:tbl>
    <w:p>
      <w:pPr>
        <w:spacing w:after="160"/>
      </w:pPr>
    </w:p>
    <w:p>
      <w:pPr>
        <w:pStyle w:val="Heading1"/>
      </w:pPr>
      <w:r>
        <w:t>1. Executive Summary</w:t>
      </w:r>
    </w:p>
    <w:p>
      <w:pPr>
        <w:spacing w:after="160"/>
      </w:pPr>
      <w:r>
        <w:t>Every enterprise financial and payment microservice faces a recurring vulnerability: third-party vendors (such as Stripe, Adyen, and GlobalPay) regularly release unannounced API contract updates. These include field renames (e.g., customer_id to account_ref), hierarchical nesting, migration to minor currency units (e.g., amount_cents), or dirty localized currency strings ($12,450.75). When unpatched ingestion routers crash with unhandled KeyErrors, revenue capture halts and in-flight customer orders are diverted to Dead-Letter Queues (DLQs).</w:t>
      </w:r>
    </w:p>
    <w:p>
      <w:pPr>
        <w:spacing w:after="160"/>
      </w:pPr>
      <w:r>
        <w:t>Traditional incident resolution requires high-stress manual war rooms: paging on-call SREs, DBAs, and developers at 3 AM. Cross-team triage, vendor RFC documentation reviews, schema migration safety checks, adapter coding, and manual DLQ database replays average 3.5 hours (210 minutes). At enterprise downtime benchmarks of $5,600 per minute, a single incident inflicts over $1,176,000 in lost merchant revenue, SLA fines, and emergency overhead.</w:t>
      </w:r>
    </w:p>
    <w:p>
      <w:pPr>
        <w:spacing w:after="240"/>
      </w:pPr>
      <w:r>
        <w:t>OpsHeal is an autonomous SRE self-healing runtime powered by the IBM Bob 2.0 Agent Core. Target users are platform engineers, DevOps teams, and SREs managing high-throughput transaction infrastructure. Instead of generating passive chat advice, OpsHeal executes an autonomous 6-stage agent swarm directly on production microservices: analyzing crash telemetry, running online non-blocking SQLite WAL migrations with 0 table locks, synthesizing in-memory polymorphic Anti-Corruption Layers, verifying shadow canary probes with SHA-256 anti-double-spend guardrails, and draining trapped DLQs with 100% exact cent parity. Mean Time to Recovery is cut from 210 minutes to 48 seconds—saving $1,171,520 per incident with zero human intervention.</w:t>
      </w:r>
    </w:p>
    <w:p>
      <w:pPr>
        <w:pStyle w:val="Heading1"/>
      </w:pPr>
      <w:r>
        <w:t>2. Problem Statement &amp; Enterprise Pain Point</w:t>
      </w:r>
    </w:p>
    <w:p>
      <w:pPr>
        <w:pStyle w:val="ListBullet"/>
        <w:spacing w:after="80"/>
      </w:pPr>
      <w:r>
        <w:rPr>
          <w:b/>
          <w:color w:val="0F172A"/>
        </w:rPr>
        <w:t xml:space="preserve">The Velocity of 3rd-Party APIs: </w:t>
      </w:r>
      <w:r>
        <w:rPr>
          <w:color w:val="334155"/>
        </w:rPr>
        <w:t>External API providers update schemas without honoring deprecation timelines, breaking downstream enterprise systems.</w:t>
      </w:r>
    </w:p>
    <w:p>
      <w:pPr>
        <w:pStyle w:val="ListBullet"/>
        <w:spacing w:after="80"/>
      </w:pPr>
      <w:r>
        <w:rPr>
          <w:b/>
          <w:color w:val="0F172A"/>
        </w:rPr>
        <w:t xml:space="preserve">Cascading Ingestion Failures: </w:t>
      </w:r>
      <w:r>
        <w:rPr>
          <w:color w:val="334155"/>
        </w:rPr>
        <w:t>A single renamed parameter causes an unhandled KeyError on HTTP POST /v1/webhooks/payment, returning HTTP 500 and trapping transactions in DLQs.</w:t>
      </w:r>
    </w:p>
    <w:p>
      <w:pPr>
        <w:pStyle w:val="ListBullet"/>
        <w:spacing w:after="80"/>
      </w:pPr>
      <w:r>
        <w:rPr>
          <w:b/>
          <w:color w:val="0F172A"/>
        </w:rPr>
        <w:t xml:space="preserve">Human War Room Inertia: </w:t>
      </w:r>
      <w:r>
        <w:rPr>
          <w:color w:val="334155"/>
        </w:rPr>
        <w:t>Assembling on-call SREs, conducting manual diffing against vendor RFC specs, negotiating database migration windows, and writing adapters takes 3.5 hours on average.</w:t>
      </w:r>
    </w:p>
    <w:p>
      <w:pPr>
        <w:pStyle w:val="ListBullet"/>
        <w:spacing w:after="80"/>
      </w:pPr>
      <w:r>
        <w:rPr>
          <w:b/>
          <w:color w:val="0F172A"/>
        </w:rPr>
        <w:t xml:space="preserve">Astronomical Downtime Cost: </w:t>
      </w:r>
      <w:r>
        <w:rPr>
          <w:color w:val="334155"/>
        </w:rPr>
        <w:t>According to Gartner and the Ponemon Institute, downtime costs financial institutions and large e-commerce platforms an average of $5,600/minute ($336,000/hour).</w:t>
      </w:r>
    </w:p>
    <w:p>
      <w:pPr>
        <w:pStyle w:val="ListBullet"/>
        <w:spacing w:after="80"/>
      </w:pPr>
      <w:r>
        <w:rPr>
          <w:b/>
          <w:color w:val="0F172A"/>
        </w:rPr>
        <w:t xml:space="preserve">Double-Charge Risks: </w:t>
      </w:r>
      <w:r>
        <w:rPr>
          <w:color w:val="334155"/>
        </w:rPr>
        <w:t>Manual DLQ replays without deterministic idempotency tokens frequently result in accidental double-billing, customer disputes, and chargebacks.</w:t>
      </w:r>
    </w:p>
    <w:p>
      <w:pPr>
        <w:spacing w:after="160"/>
      </w:pPr>
    </w:p>
    <w:p>
      <w:pPr>
        <w:pStyle w:val="Heading1"/>
      </w:pPr>
      <w:r>
        <w:t>3. Proposed Solution: The IBM Bob 2.0 Multi-Agent Swarm</w:t>
      </w:r>
    </w:p>
    <w:p>
      <w:pPr>
        <w:spacing w:after="120"/>
      </w:pPr>
      <w:r>
        <w:t>OpsHeal structures IBM Bob 2.0 into 6 specialized autonomous subagents that execute synchronously to remediate the outage:</w:t>
      </w:r>
    </w:p>
    <w:p>
      <w:pPr>
        <w:pStyle w:val="ListBullet"/>
        <w:spacing w:after="80"/>
      </w:pPr>
      <w:r>
        <w:rPr>
          <w:b/>
          <w:color w:val="4338CA"/>
        </w:rPr>
        <w:t xml:space="preserve">1. Bob-Triage (Document &amp; Telemetry RCA): </w:t>
      </w:r>
      <w:r>
        <w:rPr>
          <w:color w:val="334155"/>
        </w:rPr>
        <w:t>Ingests the live exception traceback and parses the vendor's RFC 8414 OpenAPI spec. Automatically detects semantic renames (customer_id -&gt; account_ref, client_id, payer_id) and hierarchical structural changes.</w:t>
      </w:r>
    </w:p>
    <w:p>
      <w:pPr>
        <w:pStyle w:val="ListBullet"/>
        <w:spacing w:after="80"/>
      </w:pPr>
      <w:r>
        <w:rPr>
          <w:b/>
          <w:color w:val="4338CA"/>
        </w:rPr>
        <w:t xml:space="preserve">2. Bob-DBA (Zero-Downtime WAL Migration): </w:t>
      </w:r>
      <w:r>
        <w:rPr>
          <w:color w:val="334155"/>
        </w:rPr>
        <w:t>Evaluates production database lock contention. Dispatches an online SQLite WAL ALTER TABLE query adding fee_amount and idempotency_token columns with zero table locks and zero interruption to active reads/writes.</w:t>
      </w:r>
    </w:p>
    <w:p>
      <w:pPr>
        <w:pStyle w:val="ListBullet"/>
        <w:spacing w:after="80"/>
      </w:pPr>
      <w:r>
        <w:rPr>
          <w:b/>
          <w:color w:val="4338CA"/>
        </w:rPr>
        <w:t xml:space="preserve">3. Bob-Adapter (Polymorphic Contract Engine): </w:t>
      </w:r>
      <w:r>
        <w:rPr>
          <w:color w:val="334155"/>
        </w:rPr>
        <w:t>Synthesizes an in-memory Anti-Corruption Layer (services/contract_adapter.py). Resolves aliases, coerces minor units (amount_cents / 100), strips currency symbols ($12,450.75 -&gt; 12450.75), and extracts nested data.</w:t>
      </w:r>
    </w:p>
    <w:p>
      <w:pPr>
        <w:pStyle w:val="ListBullet"/>
        <w:spacing w:after="80"/>
      </w:pPr>
      <w:r>
        <w:rPr>
          <w:b/>
          <w:color w:val="4338CA"/>
        </w:rPr>
        <w:t xml:space="preserve">4. Bob-Canary (Safety Gate &amp; Anti-Double-Spend): </w:t>
      </w:r>
      <w:r>
        <w:rPr>
          <w:color w:val="334155"/>
        </w:rPr>
        <w:t>Dispatches 5 synthetic shadow validation probes to verify 0.0% regression. Enforces cryptographic SHA-256 idempotency checks to guarantee that replayed webhooks never double-charge customers.</w:t>
      </w:r>
    </w:p>
    <w:p>
      <w:pPr>
        <w:pStyle w:val="ListBullet"/>
        <w:spacing w:after="80"/>
      </w:pPr>
      <w:r>
        <w:rPr>
          <w:b/>
          <w:color w:val="4338CA"/>
        </w:rPr>
        <w:t xml:space="preserve">5. Bob-Drainer (Resilient DLQ Replay): </w:t>
      </w:r>
      <w:r>
        <w:rPr>
          <w:color w:val="334155"/>
        </w:rPr>
        <w:t>Iterates through the Dead-Letter Queue atomically, passing each quarantined transaction through the healed adapter and inserting it into the ledger. Reconciles exactly 15 / 15 transactions ($69,000.00 / $69,000.00).</w:t>
      </w:r>
    </w:p>
    <w:p>
      <w:pPr>
        <w:pStyle w:val="ListBullet"/>
        <w:spacing w:after="80"/>
      </w:pPr>
      <w:r>
        <w:rPr>
          <w:b/>
          <w:color w:val="4338CA"/>
        </w:rPr>
        <w:t xml:space="preserve">6. Bob-Release (Hotfix PR &amp; Audit Sign-Off): </w:t>
      </w:r>
      <w:r>
        <w:rPr>
          <w:color w:val="334155"/>
        </w:rPr>
        <w:t>Packages runtime code changes into Pull Request #882 (hotfix/payment-gateway-v2-adapter), generating complete compliance audit trails and executive post-mortem reports.</w:t>
      </w:r>
    </w:p>
    <w:p>
      <w:pPr>
        <w:spacing w:after="160"/>
      </w:pPr>
    </w:p>
    <w:p>
      <w:pPr>
        <w:pStyle w:val="Heading1"/>
      </w:pPr>
      <w:r>
        <w:t>4. Financial ROI &amp; Enterprise Impact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1B4B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Incident Phase</w:t>
            </w:r>
          </w:p>
        </w:tc>
        <w:tc>
          <w:tcPr>
            <w:tcW w:type="dxa" w:w="2340"/>
            <w:shd w:val="clear" w:color="auto" w:fill="1E1B4B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Traditional War Room</w:t>
            </w:r>
          </w:p>
        </w:tc>
        <w:tc>
          <w:tcPr>
            <w:tcW w:type="dxa" w:w="2340"/>
            <w:shd w:val="clear" w:color="auto" w:fill="1E1B4B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OpsHeal Swarm</w:t>
            </w:r>
          </w:p>
        </w:tc>
        <w:tc>
          <w:tcPr>
            <w:tcW w:type="dxa" w:w="2340"/>
            <w:shd w:val="clear" w:color="auto" w:fill="1E1B4B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Efficiency Gain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pPr>
              <w:spacing w:before="60" w:after="60"/>
            </w:pPr>
            <w:r>
              <w:rPr>
                <w:b/>
                <w:sz w:val="18"/>
              </w:rPr>
              <w:t>Incident Detection &amp; Paging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before="60" w:after="60"/>
            </w:pPr>
            <w:r>
              <w:rPr>
                <w:sz w:val="18"/>
              </w:rPr>
              <w:t>15 minutes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before="60" w:after="60"/>
            </w:pPr>
            <w:r>
              <w:rPr>
                <w:b/>
                <w:color w:val="059669"/>
                <w:sz w:val="18"/>
              </w:rPr>
              <w:t>3 seconds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before="60" w:after="60"/>
            </w:pPr>
            <w:r>
              <w:rPr>
                <w:sz w:val="18"/>
              </w:rPr>
              <w:t>300x faster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sz w:val="18"/>
              </w:rPr>
              <w:t>War Room Assembly &amp; Bridge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25 minutes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color w:val="059669"/>
                <w:sz w:val="18"/>
              </w:rPr>
              <w:t>0 seconds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Eliminated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pPr>
              <w:spacing w:before="60" w:after="60"/>
            </w:pPr>
            <w:r>
              <w:rPr>
                <w:b/>
                <w:sz w:val="18"/>
              </w:rPr>
              <w:t>RCA &amp; Spec Diffing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before="60" w:after="60"/>
            </w:pPr>
            <w:r>
              <w:rPr>
                <w:sz w:val="18"/>
              </w:rPr>
              <w:t>45 minutes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before="60" w:after="60"/>
            </w:pPr>
            <w:r>
              <w:rPr>
                <w:b/>
                <w:color w:val="059669"/>
                <w:sz w:val="18"/>
              </w:rPr>
              <w:t>12 seconds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before="60" w:after="60"/>
            </w:pPr>
            <w:r>
              <w:rPr>
                <w:sz w:val="18"/>
              </w:rPr>
              <w:t>225x faster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sz w:val="18"/>
              </w:rPr>
              <w:t>DBA Review &amp; Schema Migration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40 minutes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color w:val="059669"/>
                <w:sz w:val="18"/>
              </w:rPr>
              <w:t>8 seconds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300x faster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pPr>
              <w:spacing w:before="60" w:after="60"/>
            </w:pPr>
            <w:r>
              <w:rPr>
                <w:b/>
                <w:sz w:val="18"/>
              </w:rPr>
              <w:t>Adapter Coding &amp; Test Runs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before="60" w:after="60"/>
            </w:pPr>
            <w:r>
              <w:rPr>
                <w:sz w:val="18"/>
              </w:rPr>
              <w:t>50 minutes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before="60" w:after="60"/>
            </w:pPr>
            <w:r>
              <w:rPr>
                <w:b/>
                <w:color w:val="059669"/>
                <w:sz w:val="18"/>
              </w:rPr>
              <w:t>10 seconds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before="60" w:after="60"/>
            </w:pPr>
            <w:r>
              <w:rPr>
                <w:sz w:val="18"/>
              </w:rPr>
              <w:t>300x faster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sz w:val="18"/>
              </w:rPr>
              <w:t>Canary Testing &amp; DLQ Flush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35 minutes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color w:val="059669"/>
                <w:sz w:val="18"/>
              </w:rPr>
              <w:t>15 seconds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140x faster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pPr>
              <w:spacing w:before="60" w:after="60"/>
            </w:pPr>
            <w:r>
              <w:rPr>
                <w:b/>
                <w:sz w:val="18"/>
              </w:rPr>
              <w:t>Total Mean Time to Recovery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before="60" w:after="60"/>
            </w:pPr>
            <w:r>
              <w:rPr>
                <w:b/>
                <w:color w:val="DC2626"/>
                <w:sz w:val="18"/>
              </w:rPr>
              <w:t>210 min (3.5 hrs)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before="60" w:after="60"/>
            </w:pPr>
            <w:r>
              <w:rPr>
                <w:b/>
                <w:color w:val="059669"/>
                <w:sz w:val="18"/>
              </w:rPr>
              <w:t>48 seconds</w:t>
            </w:r>
          </w:p>
        </w:tc>
        <w:tc>
          <w:tcPr>
            <w:tcW w:type="dxa" w:w="2340"/>
            <w:shd w:val="clear" w:color="auto" w:fill="F8FAFC"/>
          </w:tcPr>
          <w:p>
            <w:pPr>
              <w:spacing w:before="60" w:after="60"/>
            </w:pPr>
            <w:r>
              <w:rPr>
                <w:b/>
                <w:sz w:val="18"/>
              </w:rPr>
              <w:t>99.6% Reduction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2FF"/>
          </w:tcPr>
          <w:p>
            <w:pPr>
              <w:spacing w:before="120" w:after="120"/>
            </w:pPr>
            <w:r>
              <w:rPr>
                <w:b/>
                <w:color w:val="1E1B4B"/>
                <w:sz w:val="21"/>
              </w:rPr>
              <w:t>Economic Summary (@ $5,600 / minute enterprise downtime cost):</w:t>
              <w:br/>
            </w:r>
            <w:r>
              <w:rPr>
                <w:sz w:val="20"/>
              </w:rPr>
              <w:t>• Traditional 3.5-hour Outage Cost: $1,176,000.00</w:t>
              <w:br/>
              <w:t>• OpsHeal 48-second Outage Cost: $4,480.00</w:t>
              <w:br/>
              <w:t xml:space="preserve">• Net Direct Savings per Incident: </w:t>
            </w:r>
            <w:r>
              <w:rPr>
                <w:b/>
                <w:color w:val="059669"/>
              </w:rPr>
              <w:t>$1,171,520.00 (99.6% incident cost eliminated) + 0 double charges.</w:t>
            </w:r>
          </w:p>
        </w:tc>
      </w:tr>
    </w:tbl>
    <w:p>
      <w:pPr>
        <w:spacing w:after="200"/>
      </w:pPr>
    </w:p>
    <w:p>
      <w:pPr>
        <w:pStyle w:val="Heading1"/>
      </w:pPr>
      <w:r>
        <w:t>5. Verification &amp; Mathematical Invariants</w:t>
      </w:r>
    </w:p>
    <w:p>
      <w:pPr>
        <w:spacing w:after="80"/>
      </w:pPr>
      <w:r>
        <w:t>To guarantee enterprise safety, OpsHeal enforces strict invariants verified through an automated 21-test pytest suite:</w:t>
      </w:r>
    </w:p>
    <w:p>
      <w:pPr>
        <w:pStyle w:val="ListBullet"/>
        <w:spacing w:after="80"/>
      </w:pPr>
      <w:r>
        <w:rPr>
          <w:b/>
        </w:rPr>
        <w:t xml:space="preserve">Cent-Exact Ledger Parity: </w:t>
      </w:r>
      <w:r>
        <w:t>Trapped volume ($69,000.00 across 15 DLQ transactions) matches settled ledger volume ($69,000.00) with exactly $0.00 financial slippage.</w:t>
      </w:r>
    </w:p>
    <w:p>
      <w:pPr>
        <w:pStyle w:val="ListBullet"/>
        <w:spacing w:after="80"/>
      </w:pPr>
      <w:r>
        <w:rPr>
          <w:b/>
        </w:rPr>
        <w:t xml:space="preserve">Anti-Double-Spend Protection: </w:t>
      </w:r>
      <w:r>
        <w:t>Every transaction is deduplicated using unique cryptographic SHA-256 idempotency tokens. Replayed payloads receive cached 200 responses without creating duplicate records.</w:t>
      </w:r>
    </w:p>
    <w:p>
      <w:pPr>
        <w:pStyle w:val="ListBullet"/>
        <w:spacing w:after="80"/>
      </w:pPr>
      <w:r>
        <w:rPr>
          <w:b/>
        </w:rPr>
        <w:t xml:space="preserve">Full Test Coverage: </w:t>
      </w:r>
      <w:r>
        <w:t>21 / 21 automated unit and integration tests passing in 1.89 seconds, covering malformed JSON, multi-currency coercion, SQLite WAL schema migrations, and DLQ race conditions.</w:t>
      </w:r>
    </w:p>
    <w:p>
      <w:pPr>
        <w:spacing w:after="160"/>
      </w:pPr>
    </w:p>
    <w:p>
      <w:pPr>
        <w:pStyle w:val="Heading1"/>
      </w:pPr>
      <w:r>
        <w:t>6. Prototype Readiness &amp; Mentor Review</w:t>
      </w:r>
    </w:p>
    <w:p>
      <w:pPr>
        <w:spacing w:after="280"/>
      </w:pPr>
      <w:r>
        <w:t>OpsHeal is fully implemented and running locally via FastAPI and uvicorn on port 8000. The interactive War Room UI allows mentors and judges to trigger real SEV-1 outages, inspect crashing HTTP 500 error tracebacks, execute the 6-agent IBM Bob swarm, and verify instant polymorphic recovery to HTTP 200 OK. We submit this proposal for mentor evaluation and look forward to receiving the 'OK, GO' approval.</w:t>
      </w:r>
    </w:p>
    <w:p>
      <w:r>
        <w:rPr>
          <w:i/>
          <w:color w:val="64748B"/>
          <w:sz w:val="20"/>
        </w:rPr>
        <w:t>Submitted by the OpsHeal Team | IBM Bob 2.0 Hackathon LabLab.ai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1B4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