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120"/>
        <w:jc w:val="center"/>
      </w:pPr>
      <w:r>
        <w:rPr>
          <w:rFonts w:ascii="Arial" w:cs="Arial" w:eastAsia="Arial" w:hAnsi="Arial"/>
          <w:b/>
          <w:bCs/>
          <w:color w:val="1F4E8C"/>
          <w:sz w:val="72"/>
          <w:szCs w:val="72"/>
        </w:rPr>
        <w:t xml:space="preserve">CENTENE FORECASTING</w:t>
      </w:r>
    </w:p>
    <w:p>
      <w:pPr>
        <w:spacing w:after="200"/>
        <w:jc w:val="center"/>
      </w:pPr>
      <w:r>
        <w:rPr>
          <w:rFonts w:ascii="Arial" w:cs="Arial" w:eastAsia="Arial" w:hAnsi="Arial"/>
          <w:color w:val="2E75B6"/>
          <w:sz w:val="48"/>
          <w:szCs w:val="48"/>
        </w:rPr>
        <w:t xml:space="preserve">User Manual</w:t>
      </w:r>
    </w:p>
    <w:p>
      <w:pPr>
        <w:pBdr>
          <w:bottom w:val="single" w:color="2E75B6" w:sz="6" w:space="1"/>
        </w:pBdr>
        <w:spacing w:after="80"/>
      </w:pPr>
    </w:p>
    <w:p>
      <w:pPr>
        <w:spacing w:after="100"/>
      </w:pPr>
    </w:p>
    <w:p>
      <w:pPr>
        <w:spacing w:after="2000"/>
        <w:jc w:val="center"/>
      </w:pPr>
      <w:r>
        <w:rPr>
          <w:rFonts w:ascii="Arial" w:cs="Arial" w:eastAsia="Arial" w:hAnsi="Arial"/>
          <w:i/>
          <w:iCs/>
          <w:color w:val="595959"/>
          <w:sz w:val="24"/>
          <w:szCs w:val="24"/>
        </w:rPr>
        <w:t xml:space="preserve">Workforce Capacity Planning Portal</w:t>
      </w:r>
    </w:p>
    <w:p>
      <w:pPr>
        <w:spacing w:after="1400"/>
      </w:pPr>
    </w:p>
    <w:p>
      <w:pPr>
        <w:spacing w:after="80"/>
        <w:jc w:val="center"/>
      </w:pPr>
      <w:r>
        <w:rPr>
          <w:rFonts w:ascii="Arial" w:cs="Arial" w:eastAsia="Arial" w:hAnsi="Arial"/>
          <w:color w:val="595959"/>
          <w:sz w:val="20"/>
          <w:szCs w:val="20"/>
        </w:rPr>
        <w:t xml:space="preserve">Version 1.0  •  May 2026</w:t>
      </w:r>
    </w:p>
    <w:p>
      <w:pPr>
        <w:jc w:val="center"/>
      </w:pPr>
      <w:r>
        <w:rPr>
          <w:rFonts w:ascii="Arial" w:cs="Arial" w:eastAsia="Arial" w:hAnsi="Arial"/>
          <w:color w:val="595959"/>
          <w:sz w:val="20"/>
          <w:szCs w:val="20"/>
        </w:rPr>
        <w:t xml:space="preserve">Delivery Analytics Team  •  NTT Data</w:t>
      </w:r>
    </w:p>
    <w:p>
      <w:r>
        <w:br w:type="page"/>
      </w:r>
    </w:p>
    <w:p>
      <w:pPr>
        <w:sectPr>
          <w:pgSz w:w="12240" w:h="15840" w:orient="portrait"/>
          <w:pgMar w:top="1440" w:right="1440" w:bottom="1440" w:left="1440" w:header="708" w:footer="708" w:gutter="0"/>
          <w:pgNumType/>
          <w:docGrid w:linePitch="360"/>
        </w:sectPr>
      </w:pPr>
    </w:p>
    <w:p>
      <w:pPr>
        <w:pStyle w:val="Heading1"/>
        <w:shd w:fill="1F4E8C" w:val="clear"/>
        <w:spacing w:after="160" w:before="0"/>
        <w:ind w:left="120" w:right="120"/>
      </w:pPr>
      <w:r>
        <w:rPr>
          <w:rFonts w:ascii="Arial" w:cs="Arial" w:eastAsia="Arial" w:hAnsi="Arial"/>
          <w:b/>
          <w:bCs/>
          <w:color w:val="FFFFFF"/>
          <w:sz w:val="28"/>
          <w:szCs w:val="28"/>
        </w:rPr>
        <w:t xml:space="preserve">Table of Contents</w:t>
      </w:r>
    </w:p>
    <w:p>
      <w:pPr>
        <w:spacing w:after="80"/>
      </w:pP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hd w:fill="1F4E8C" w:val="clear"/>
        <w:spacing w:after="140" w:before="280"/>
        <w:ind w:left="120" w:right="120"/>
      </w:pPr>
      <w:r>
        <w:rPr>
          <w:rFonts w:ascii="Arial" w:cs="Arial" w:eastAsia="Arial" w:hAnsi="Arial"/>
          <w:b/>
          <w:bCs/>
          <w:color w:val="FFFFFF"/>
          <w:sz w:val="28"/>
          <w:szCs w:val="28"/>
        </w:rPr>
        <w:t xml:space="preserve">1. Overview</w:t>
      </w:r>
    </w:p>
    <w:p>
      <w:pPr>
        <w:pStyle w:val="Heading2"/>
        <w:pBdr>
          <w:bottom w:val="single" w:color="2E75B6" w:sz="4" w:space="1"/>
        </w:pBdr>
        <w:spacing w:after="100" w:before="200"/>
      </w:pPr>
      <w:r>
        <w:rPr>
          <w:rFonts w:ascii="Arial" w:cs="Arial" w:eastAsia="Arial" w:hAnsi="Arial"/>
          <w:b/>
          <w:bCs/>
          <w:color w:val="2E75B6"/>
          <w:sz w:val="24"/>
          <w:szCs w:val="24"/>
        </w:rPr>
        <w:t xml:space="preserve">1.1  What Is This Application?</w:t>
      </w:r>
    </w:p>
    <w:p>
      <w:pPr>
        <w:spacing w:after="80"/>
        <w:jc w:val="both"/>
      </w:pPr>
      <w:r>
        <w:rPr>
          <w:rFonts w:ascii="Arial" w:cs="Arial" w:eastAsia="Arial" w:hAnsi="Arial"/>
          <w:color w:val="212121"/>
          <w:sz w:val="20"/>
          <w:szCs w:val="20"/>
        </w:rPr>
        <w:t xml:space="preserve">The Centene Forecasting Portal is a web-based workforce capacity planning tool used by NTT Data to match staffing supply against client forecast demand. It ingests forecast data — the projected volume of claims or cases per period — alongside a live resource roster, then calculates how many agents (FTEs) are required to meet that demand and highlights any gaps.</w:t>
      </w:r>
    </w:p>
    <w:p>
      <w:pPr>
        <w:spacing w:after="40"/>
      </w:pPr>
    </w:p>
    <w:p>
      <w:pPr>
        <w:spacing w:after="80"/>
        <w:jc w:val="both"/>
      </w:pPr>
      <w:r>
        <w:rPr>
          <w:rFonts w:ascii="Arial" w:cs="Arial" w:eastAsia="Arial" w:hAnsi="Arial"/>
          <w:color w:val="212121"/>
          <w:sz w:val="20"/>
          <w:szCs w:val="20"/>
        </w:rPr>
        <w:t xml:space="preserve">The portal supports the full planning cycle:</w:t>
      </w:r>
    </w:p>
    <w:p>
      <w:pPr>
        <w:pStyle w:val="ListParagraph"/>
        <w:numPr>
          <w:ilvl w:val="0"/>
          <w:numId w:val="2"/>
        </w:numPr>
        <w:spacing w:after="60"/>
      </w:pPr>
      <w:r>
        <w:rPr>
          <w:rFonts w:ascii="Arial" w:cs="Arial" w:eastAsia="Arial" w:hAnsi="Arial"/>
          <w:color w:val="212121"/>
          <w:sz w:val="20"/>
          <w:szCs w:val="20"/>
        </w:rPr>
        <w:t xml:space="preserve">Uploading forecast and roster source files.</w:t>
      </w:r>
    </w:p>
    <w:p>
      <w:pPr>
        <w:pStyle w:val="ListParagraph"/>
        <w:numPr>
          <w:ilvl w:val="0"/>
          <w:numId w:val="2"/>
        </w:numPr>
        <w:spacing w:after="60"/>
      </w:pPr>
      <w:r>
        <w:rPr>
          <w:rFonts w:ascii="Arial" w:cs="Arial" w:eastAsia="Arial" w:hAnsi="Arial"/>
          <w:color w:val="212121"/>
          <w:sz w:val="20"/>
          <w:szCs w:val="20"/>
        </w:rPr>
        <w:t xml:space="preserve">Configuring month-level capacity parameters (working days, occupancy, shrinkage, hours).</w:t>
      </w:r>
    </w:p>
    <w:p>
      <w:pPr>
        <w:pStyle w:val="ListParagraph"/>
        <w:numPr>
          <w:ilvl w:val="0"/>
          <w:numId w:val="2"/>
        </w:numPr>
        <w:spacing w:after="60"/>
      </w:pPr>
      <w:r>
        <w:rPr>
          <w:rFonts w:ascii="Arial" w:cs="Arial" w:eastAsia="Arial" w:hAnsi="Arial"/>
          <w:color w:val="212121"/>
          <w:sz w:val="20"/>
          <w:szCs w:val="20"/>
        </w:rPr>
        <w:t xml:space="preserve">Running the allocation engine to assign agents to forecast rows.</w:t>
      </w:r>
    </w:p>
    <w:p>
      <w:pPr>
        <w:pStyle w:val="ListParagraph"/>
        <w:numPr>
          <w:ilvl w:val="0"/>
          <w:numId w:val="2"/>
        </w:numPr>
        <w:spacing w:after="60"/>
      </w:pPr>
      <w:r>
        <w:rPr>
          <w:rFonts w:ascii="Arial" w:cs="Arial" w:eastAsia="Arial" w:hAnsi="Arial"/>
          <w:color w:val="212121"/>
          <w:sz w:val="20"/>
          <w:szCs w:val="20"/>
        </w:rPr>
        <w:t xml:space="preserve">Reviewing allocation results and making targeted adjustments.</w:t>
      </w:r>
    </w:p>
    <w:p>
      <w:pPr>
        <w:pStyle w:val="ListParagraph"/>
        <w:numPr>
          <w:ilvl w:val="0"/>
          <w:numId w:val="2"/>
        </w:numPr>
        <w:spacing w:after="60"/>
      </w:pPr>
      <w:r>
        <w:rPr>
          <w:rFonts w:ascii="Arial" w:cs="Arial" w:eastAsia="Arial" w:hAnsi="Arial"/>
          <w:color w:val="212121"/>
          <w:sz w:val="20"/>
          <w:szCs w:val="20"/>
        </w:rPr>
        <w:t xml:space="preserve">Monitoring execution health and auditing all changes.</w:t>
      </w:r>
    </w:p>
    <w:p>
      <w:pPr>
        <w:pStyle w:val="ListParagraph"/>
        <w:numPr>
          <w:ilvl w:val="0"/>
          <w:numId w:val="2"/>
        </w:numPr>
        <w:spacing w:after="60"/>
      </w:pPr>
      <w:r>
        <w:rPr>
          <w:rFonts w:ascii="Arial" w:cs="Arial" w:eastAsia="Arial" w:hAnsi="Arial"/>
          <w:color w:val="212121"/>
          <w:sz w:val="20"/>
          <w:szCs w:val="20"/>
        </w:rPr>
        <w:t xml:space="preserve">Reporting via an executive-level hierarchical dashboard and Power BI.</w:t>
      </w:r>
    </w:p>
    <w:p>
      <w:pPr>
        <w:spacing w:after="40"/>
      </w:pPr>
    </w:p>
    <w:p>
      <w:pPr>
        <w:pStyle w:val="Heading2"/>
        <w:pBdr>
          <w:bottom w:val="single" w:color="2E75B6" w:sz="4" w:space="1"/>
        </w:pBdr>
        <w:spacing w:after="100" w:before="200"/>
      </w:pPr>
      <w:r>
        <w:rPr>
          <w:rFonts w:ascii="Arial" w:cs="Arial" w:eastAsia="Arial" w:hAnsi="Arial"/>
          <w:b/>
          <w:bCs/>
          <w:color w:val="2E75B6"/>
          <w:sz w:val="24"/>
          <w:szCs w:val="24"/>
        </w:rPr>
        <w:t xml:space="preserve">1.2  Who Is This Manual For?</w:t>
      </w:r>
    </w:p>
    <w:p>
      <w:pPr>
        <w:spacing w:after="80"/>
        <w:jc w:val="both"/>
      </w:pPr>
      <w:r>
        <w:rPr>
          <w:rFonts w:ascii="Arial" w:cs="Arial" w:eastAsia="Arial" w:hAnsi="Arial"/>
          <w:color w:val="212121"/>
          <w:sz w:val="20"/>
          <w:szCs w:val="20"/>
        </w:rPr>
        <w:t xml:space="preserve">This manual is for all portal users. All users have Edit permission — you can view data, adjust allocations, update configuration values, and download reports. Administration tasks such as bulk configuration and user provisioning are handled by the Delivery Analytics team.</w:t>
      </w:r>
    </w:p>
    <w:p>
      <w:pPr>
        <w:spacing w:after="40"/>
      </w:pPr>
    </w:p>
    <w:p>
      <w:pPr>
        <w:pStyle w:val="Heading2"/>
        <w:pBdr>
          <w:bottom w:val="single" w:color="2E75B6" w:sz="4" w:space="1"/>
        </w:pBdr>
        <w:spacing w:after="100" w:before="200"/>
      </w:pPr>
      <w:r>
        <w:rPr>
          <w:rFonts w:ascii="Arial" w:cs="Arial" w:eastAsia="Arial" w:hAnsi="Arial"/>
          <w:b/>
          <w:bCs/>
          <w:color w:val="2E75B6"/>
          <w:sz w:val="24"/>
          <w:szCs w:val="24"/>
        </w:rPr>
        <w:t xml:space="preserve">1.3  Key Concepts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Term</w:t>
            </w:r>
          </w:p>
        </w:tc>
        <w:tc>
          <w:tcPr>
            <w:tcW w:type="dxa" w:w="676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Definition</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FTE</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Full-Time Equivalent — a standard unit representing one full-time agent.</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Forecast (CF)</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Client Forecast — the projected volume of cases for a given period.</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Capacity</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Calculated output an FTE can deliver given working days, occupancy, shrinkage, and target CPH.</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Capacity Gap</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Difference between client forecast demand and available capacity. Negative = shortfall; positive = surplus.</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CPH</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Cases Per Hour — the throughput rate used to convert FTE capacity into case volume.</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LOB</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Line of Business — a platform + market + locality combination (e.g. Amisys Medicaid Domestic).</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Bench</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Agents available in the roster but not yet allocated to any forecast row.</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Allocation Run</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An execution of the algorithm that matches roster agents to forecast demand rows.</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Report Month</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The reference month for which a forecast file was uploaded. Forecast columns cover the following six months.</w:t>
            </w:r>
          </w:p>
        </w:tc>
      </w:tr>
    </w:tbl>
    <w:p>
      <w:pPr>
        <w:pStyle w:val="Heading1"/>
        <w:shd w:fill="1F4E8C" w:val="clear"/>
        <w:spacing w:after="140" w:before="280"/>
        <w:ind w:left="120" w:right="120"/>
      </w:pPr>
      <w:r>
        <w:rPr>
          <w:rFonts w:ascii="Arial" w:cs="Arial" w:eastAsia="Arial" w:hAnsi="Arial"/>
          <w:b/>
          <w:bCs/>
          <w:color w:val="FFFFFF"/>
          <w:sz w:val="28"/>
          <w:szCs w:val="28"/>
        </w:rPr>
        <w:t xml:space="preserve">2. Getting Started</w:t>
      </w:r>
    </w:p>
    <w:p>
      <w:pPr>
        <w:pStyle w:val="Heading2"/>
        <w:pBdr>
          <w:bottom w:val="single" w:color="2E75B6" w:sz="4" w:space="1"/>
        </w:pBdr>
        <w:spacing w:after="100" w:before="200"/>
      </w:pPr>
      <w:r>
        <w:rPr>
          <w:rFonts w:ascii="Arial" w:cs="Arial" w:eastAsia="Arial" w:hAnsi="Arial"/>
          <w:b/>
          <w:bCs/>
          <w:color w:val="2E75B6"/>
          <w:sz w:val="24"/>
          <w:szCs w:val="24"/>
        </w:rPr>
        <w:t xml:space="preserve">2.1  Accessing the Portal</w:t>
      </w:r>
    </w:p>
    <w:p>
      <w:pPr>
        <w:spacing w:after="80"/>
        <w:jc w:val="both"/>
      </w:pPr>
      <w:r>
        <w:rPr>
          <w:rFonts w:ascii="Arial" w:cs="Arial" w:eastAsia="Arial" w:hAnsi="Arial"/>
          <w:color w:val="212121"/>
          <w:sz w:val="20"/>
          <w:szCs w:val="20"/>
        </w:rPr>
        <w:t xml:space="preserve">Open your web browser and navigate to the portal URL provided by the Delivery Analytics team. The login page will appear automatically.</w:t>
      </w:r>
    </w:p>
    <w:p>
      <w:pPr>
        <w:pStyle w:val="Heading2"/>
        <w:pBdr>
          <w:bottom w:val="single" w:color="2E75B6" w:sz="4" w:space="1"/>
        </w:pBdr>
        <w:spacing w:after="100" w:before="200"/>
      </w:pPr>
      <w:r>
        <w:rPr>
          <w:rFonts w:ascii="Arial" w:cs="Arial" w:eastAsia="Arial" w:hAnsi="Arial"/>
          <w:b/>
          <w:bCs/>
          <w:color w:val="2E75B6"/>
          <w:sz w:val="24"/>
          <w:szCs w:val="24"/>
        </w:rPr>
        <w:t xml:space="preserve">2.2  Logging In</w:t>
      </w:r>
    </w:p>
    <w:p>
      <w:pPr>
        <w:spacing w:after="80"/>
        <w:jc w:val="both"/>
      </w:pPr>
      <w:r>
        <w:rPr>
          <w:rFonts w:ascii="Arial" w:cs="Arial" w:eastAsia="Arial" w:hAnsi="Arial"/>
          <w:color w:val="212121"/>
          <w:sz w:val="20"/>
          <w:szCs w:val="20"/>
        </w:rPr>
        <w:t xml:space="preserve">Authentication uses your NTT Data corporate credentials — the same username and password you use to access other NTT Data systems.</w:t>
      </w:r>
    </w:p>
    <w:p>
      <w:pPr>
        <w:spacing w:after="40"/>
      </w:pPr>
    </w:p>
    <w:p>
      <w:pPr>
        <w:pStyle w:val="ListParagraph"/>
        <w:numPr>
          <w:ilvl w:val="0"/>
          <w:numId w:val="3"/>
        </w:numPr>
        <w:spacing w:after="60"/>
      </w:pPr>
      <w:r>
        <w:rPr>
          <w:rFonts w:ascii="Arial" w:cs="Arial" w:eastAsia="Arial" w:hAnsi="Arial"/>
          <w:color w:val="212121"/>
          <w:sz w:val="20"/>
          <w:szCs w:val="20"/>
        </w:rPr>
        <w:t xml:space="preserve">Enter your NTT Data username (portal ID) in the Username field.</w:t>
      </w:r>
    </w:p>
    <w:p>
      <w:pPr>
        <w:pStyle w:val="ListParagraph"/>
        <w:numPr>
          <w:ilvl w:val="0"/>
          <w:numId w:val="3"/>
        </w:numPr>
        <w:spacing w:after="60"/>
      </w:pPr>
      <w:r>
        <w:rPr>
          <w:rFonts w:ascii="Arial" w:cs="Arial" w:eastAsia="Arial" w:hAnsi="Arial"/>
          <w:color w:val="212121"/>
          <w:sz w:val="20"/>
          <w:szCs w:val="20"/>
        </w:rPr>
        <w:t xml:space="preserve">Enter your NTT Data password.</w:t>
      </w:r>
    </w:p>
    <w:p>
      <w:pPr>
        <w:pStyle w:val="ListParagraph"/>
        <w:numPr>
          <w:ilvl w:val="0"/>
          <w:numId w:val="3"/>
        </w:numPr>
        <w:spacing w:after="60"/>
      </w:pPr>
      <w:r>
        <w:rPr>
          <w:rFonts w:ascii="Arial" w:cs="Arial" w:eastAsia="Arial" w:hAnsi="Arial"/>
          <w:color w:val="212121"/>
          <w:sz w:val="20"/>
          <w:szCs w:val="20"/>
        </w:rPr>
        <w:t xml:space="preserve">Click Log In.</w:t>
      </w:r>
    </w:p>
    <w:p>
      <w:pPr>
        <w:spacing w:after="40"/>
      </w:pPr>
    </w:p>
    <w:p>
      <w:pPr>
        <w:spacing w:after="100" w:before="40"/>
        <w:ind w:left="360"/>
      </w:pPr>
      <w:r>
        <w:rPr>
          <w:rFonts w:ascii="Arial" w:cs="Arial" w:eastAsia="Arial" w:hAnsi="Arial"/>
          <w:b/>
          <w:bCs/>
          <w:color w:val="FFFFFF"/>
          <w:sz w:val="18"/>
          <w:szCs w:val="18"/>
          <w:shd w:fill="B45309" w:val="clear"/>
        </w:rPr>
        <w:t xml:space="preserve">  NOTE  </w:t>
      </w:r>
      <w:r>
        <w:rPr>
          <w:rFonts w:ascii="Arial" w:cs="Arial" w:eastAsia="Arial" w:hAnsi="Arial"/>
          <w:color w:val="B45309"/>
          <w:sz w:val="18"/>
          <w:szCs w:val="18"/>
        </w:rPr>
        <w:t xml:space="preserve">  Your account must be assigned to a user group by the Delivery Analytics team before you can access the portal. If you receive a permission error after logging in, contact your administrator.</w:t>
      </w:r>
    </w:p>
    <w:p>
      <w:pPr>
        <w:pStyle w:val="Heading2"/>
        <w:pBdr>
          <w:bottom w:val="single" w:color="2E75B6" w:sz="4" w:space="1"/>
        </w:pBdr>
        <w:spacing w:after="100" w:before="200"/>
      </w:pPr>
      <w:r>
        <w:rPr>
          <w:rFonts w:ascii="Arial" w:cs="Arial" w:eastAsia="Arial" w:hAnsi="Arial"/>
          <w:b/>
          <w:bCs/>
          <w:color w:val="2E75B6"/>
          <w:sz w:val="24"/>
          <w:szCs w:val="24"/>
        </w:rPr>
        <w:t xml:space="preserve">2.3  Setting Your Timezone</w:t>
      </w:r>
    </w:p>
    <w:p>
      <w:pPr>
        <w:spacing w:after="80"/>
        <w:jc w:val="both"/>
      </w:pPr>
      <w:r>
        <w:rPr>
          <w:rFonts w:ascii="Arial" w:cs="Arial" w:eastAsia="Arial" w:hAnsi="Arial"/>
          <w:color w:val="212121"/>
          <w:sz w:val="20"/>
          <w:szCs w:val="20"/>
        </w:rPr>
        <w:t xml:space="preserve">All timestamps in the portal are displayed in your configured timezone. On first login, the system will prompt you to select one. You can change it at any time by clicking the clock icon in the top navigation bar and selecting your preferred timezone.</w:t>
      </w:r>
    </w:p>
    <w:p>
      <w:pPr>
        <w:pStyle w:val="Heading2"/>
        <w:pBdr>
          <w:bottom w:val="single" w:color="2E75B6" w:sz="4" w:space="1"/>
        </w:pBdr>
        <w:spacing w:after="100" w:before="200"/>
      </w:pPr>
      <w:r>
        <w:rPr>
          <w:rFonts w:ascii="Arial" w:cs="Arial" w:eastAsia="Arial" w:hAnsi="Arial"/>
          <w:b/>
          <w:bCs/>
          <w:color w:val="2E75B6"/>
          <w:sz w:val="24"/>
          <w:szCs w:val="24"/>
        </w:rPr>
        <w:t xml:space="preserve">2.4  Navigation</w:t>
      </w:r>
    </w:p>
    <w:p>
      <w:pPr>
        <w:spacing w:after="80"/>
        <w:jc w:val="both"/>
      </w:pPr>
      <w:r>
        <w:rPr>
          <w:rFonts w:ascii="Arial" w:cs="Arial" w:eastAsia="Arial" w:hAnsi="Arial"/>
          <w:color w:val="212121"/>
          <w:sz w:val="20"/>
          <w:szCs w:val="20"/>
        </w:rPr>
        <w:t xml:space="preserve">The left-hand sidebar is your primary navigation. It is visible on all pages and collapses or expands using the toggle button (hamburger icon) at the top-left of the screen.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Sidebar Item</w:t>
            </w:r>
          </w:p>
        </w:tc>
        <w:tc>
          <w:tcPr>
            <w:tcW w:type="dxa" w:w="676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What It Does</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Data Upload Hub</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Upload forecast, roster, and other source files into the system.</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Configuration</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Manage month-level capacity parameters and target CPH values.</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Edit Data</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Run bench allocation, adjust CPH values, and reallocate forecast demand.</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Data Hub</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Browse and download raw forecast, roster, and actuals data tables.</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Executive View</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Hierarchical capacity dashboard across all planning categories.</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Power BI Dashboard</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Opens the Claims Capacity report in Power BI (opens in a new browser tab).</w:t>
            </w:r>
          </w:p>
        </w:tc>
      </w:tr>
    </w:tbl>
    <w:p>
      <w:pPr>
        <w:spacing w:after="60"/>
      </w:pPr>
    </w:p>
    <w:p>
      <w:pPr>
        <w:spacing w:after="80"/>
        <w:jc w:val="both"/>
      </w:pPr>
      <w:r>
        <w:rPr>
          <w:rFonts w:ascii="Arial" w:cs="Arial" w:eastAsia="Arial" w:hAnsi="Arial"/>
          <w:color w:val="212121"/>
          <w:sz w:val="20"/>
          <w:szCs w:val="20"/>
        </w:rPr>
        <w:t xml:space="preserve">The top navigation bar contains the timezone display and change link (top-left) and the user menu (top-right, showing your name) from which you can log out.</w:t>
      </w:r>
    </w:p>
    <w:p>
      <w:pPr>
        <w:spacing w:after="40"/>
      </w:pPr>
    </w:p>
    <w:p>
      <w:pPr>
        <w:spacing w:after="100" w:before="40"/>
        <w:ind w:left="360"/>
      </w:pPr>
      <w:r>
        <w:rPr>
          <w:rFonts w:ascii="Arial" w:cs="Arial" w:eastAsia="Arial" w:hAnsi="Arial"/>
          <w:b/>
          <w:bCs/>
          <w:color w:val="FFFFFF"/>
          <w:sz w:val="18"/>
          <w:szCs w:val="18"/>
          <w:shd w:fill="1D7044" w:val="clear"/>
        </w:rPr>
        <w:t xml:space="preserve">  TIP  </w:t>
      </w:r>
      <w:r>
        <w:rPr>
          <w:rFonts w:ascii="Arial" w:cs="Arial" w:eastAsia="Arial" w:hAnsi="Arial"/>
          <w:color w:val="1D7044"/>
          <w:sz w:val="18"/>
          <w:szCs w:val="18"/>
        </w:rPr>
        <w:t xml:space="preserve">  Use the sidebar collapse toggle to gain extra screen space when reviewing wide tables.</w:t>
      </w:r>
    </w:p>
    <w:p>
      <w:pPr>
        <w:pStyle w:val="Heading1"/>
        <w:shd w:fill="1F4E8C" w:val="clear"/>
        <w:spacing w:after="140" w:before="280"/>
        <w:ind w:left="120" w:right="120"/>
      </w:pPr>
      <w:r>
        <w:rPr>
          <w:rFonts w:ascii="Arial" w:cs="Arial" w:eastAsia="Arial" w:hAnsi="Arial"/>
          <w:b/>
          <w:bCs/>
          <w:color w:val="FFFFFF"/>
          <w:sz w:val="28"/>
          <w:szCs w:val="28"/>
        </w:rPr>
        <w:t xml:space="preserve">3. Data Upload Hub</w:t>
      </w:r>
    </w:p>
    <w:p>
      <w:pPr>
        <w:spacing w:after="80"/>
        <w:jc w:val="both"/>
      </w:pPr>
      <w:r>
        <w:rPr>
          <w:rFonts w:ascii="Arial" w:cs="Arial" w:eastAsia="Arial" w:hAnsi="Arial"/>
          <w:color w:val="212121"/>
          <w:sz w:val="20"/>
          <w:szCs w:val="20"/>
        </w:rPr>
        <w:t xml:space="preserve">The Data Upload Hub is the entry point for all source data. Navigate there by clicking Data Upload Hub in the sidebar.</w:t>
      </w:r>
    </w:p>
    <w:p>
      <w:pPr>
        <w:pStyle w:val="Heading2"/>
        <w:pBdr>
          <w:bottom w:val="single" w:color="2E75B6" w:sz="4" w:space="1"/>
        </w:pBdr>
        <w:spacing w:after="100" w:before="200"/>
      </w:pPr>
      <w:r>
        <w:rPr>
          <w:rFonts w:ascii="Arial" w:cs="Arial" w:eastAsia="Arial" w:hAnsi="Arial"/>
          <w:b/>
          <w:bCs/>
          <w:color w:val="2E75B6"/>
          <w:sz w:val="24"/>
          <w:szCs w:val="24"/>
        </w:rPr>
        <w:t xml:space="preserve">3.1  Supported File Types</w:t>
      </w:r>
    </w:p>
    <w:p>
      <w:pPr>
        <w:spacing w:after="80"/>
        <w:jc w:val="both"/>
      </w:pPr>
      <w:r>
        <w:rPr>
          <w:rFonts w:ascii="Arial" w:cs="Arial" w:eastAsia="Arial" w:hAnsi="Arial"/>
          <w:color w:val="212121"/>
          <w:sz w:val="20"/>
          <w:szCs w:val="20"/>
        </w:rPr>
        <w:t xml:space="preserve">The portal accepts CSV (.csv) and Excel (.xlsx) files. Each upload corresponds to a specific data source: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Upload Type</w:t>
            </w:r>
          </w:p>
        </w:tc>
        <w:tc>
          <w:tcPr>
            <w:tcW w:type="dxa" w:w="676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Description</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Forecast File</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Monthly client forecast figures exported from the client system. Contains six months of projected case volumes.</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Roster File</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The full agent roster including skills, state eligibility, and FTE availability.</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Altered Forecast</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 manually adjusted version of the forecast to reflect revised demand assumptions.</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Prod Team Roster</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Production team roster used for domestic capacity calculations.</w:t>
            </w:r>
          </w:p>
        </w:tc>
      </w:tr>
    </w:tbl>
    <w:p>
      <w:pPr>
        <w:spacing w:after="40"/>
      </w:pPr>
    </w:p>
    <w:p>
      <w:pPr>
        <w:pStyle w:val="Heading2"/>
        <w:pBdr>
          <w:bottom w:val="single" w:color="2E75B6" w:sz="4" w:space="1"/>
        </w:pBdr>
        <w:spacing w:after="100" w:before="200"/>
      </w:pPr>
      <w:r>
        <w:rPr>
          <w:rFonts w:ascii="Arial" w:cs="Arial" w:eastAsia="Arial" w:hAnsi="Arial"/>
          <w:b/>
          <w:bCs/>
          <w:color w:val="2E75B6"/>
          <w:sz w:val="24"/>
          <w:szCs w:val="24"/>
        </w:rPr>
        <w:t xml:space="preserve">3.2  Uploading a File</w:t>
      </w:r>
    </w:p>
    <w:p>
      <w:pPr>
        <w:pStyle w:val="ListParagraph"/>
        <w:numPr>
          <w:ilvl w:val="0"/>
          <w:numId w:val="3"/>
        </w:numPr>
        <w:spacing w:after="60"/>
      </w:pPr>
      <w:r>
        <w:rPr>
          <w:rFonts w:ascii="Arial" w:cs="Arial" w:eastAsia="Arial" w:hAnsi="Arial"/>
          <w:color w:val="212121"/>
          <w:sz w:val="20"/>
          <w:szCs w:val="20"/>
        </w:rPr>
        <w:t xml:space="preserve">In the sidebar, click Data Upload Hub.</w:t>
      </w:r>
    </w:p>
    <w:p>
      <w:pPr>
        <w:pStyle w:val="ListParagraph"/>
        <w:numPr>
          <w:ilvl w:val="0"/>
          <w:numId w:val="3"/>
        </w:numPr>
        <w:spacing w:after="60"/>
      </w:pPr>
      <w:r>
        <w:rPr>
          <w:rFonts w:ascii="Arial" w:cs="Arial" w:eastAsia="Arial" w:hAnsi="Arial"/>
          <w:color w:val="212121"/>
          <w:sz w:val="20"/>
          <w:szCs w:val="20"/>
        </w:rPr>
        <w:t xml:space="preserve">Click the file input field and select your CSV or XLSX file (or drag and drop it onto the field).</w:t>
      </w:r>
    </w:p>
    <w:p>
      <w:pPr>
        <w:pStyle w:val="ListParagraph"/>
        <w:numPr>
          <w:ilvl w:val="0"/>
          <w:numId w:val="3"/>
        </w:numPr>
        <w:spacing w:after="60"/>
      </w:pPr>
      <w:r>
        <w:rPr>
          <w:rFonts w:ascii="Arial" w:cs="Arial" w:eastAsia="Arial" w:hAnsi="Arial"/>
          <w:color w:val="212121"/>
          <w:sz w:val="20"/>
          <w:szCs w:val="20"/>
        </w:rPr>
        <w:t xml:space="preserve">Click Upload.</w:t>
      </w:r>
    </w:p>
    <w:p>
      <w:pPr>
        <w:pStyle w:val="ListParagraph"/>
        <w:numPr>
          <w:ilvl w:val="0"/>
          <w:numId w:val="3"/>
        </w:numPr>
        <w:spacing w:after="60"/>
      </w:pPr>
      <w:r>
        <w:rPr>
          <w:rFonts w:ascii="Arial" w:cs="Arial" w:eastAsia="Arial" w:hAnsi="Arial"/>
          <w:color w:val="212121"/>
          <w:sz w:val="20"/>
          <w:szCs w:val="20"/>
        </w:rPr>
        <w:t xml:space="preserve">A progress bar will appear and update in real time as the file is processed in the background.</w:t>
      </w:r>
    </w:p>
    <w:p>
      <w:pPr>
        <w:pStyle w:val="ListParagraph"/>
        <w:numPr>
          <w:ilvl w:val="0"/>
          <w:numId w:val="3"/>
        </w:numPr>
        <w:spacing w:after="60"/>
      </w:pPr>
      <w:r>
        <w:rPr>
          <w:rFonts w:ascii="Arial" w:cs="Arial" w:eastAsia="Arial" w:hAnsi="Arial"/>
          <w:color w:val="212121"/>
          <w:sz w:val="20"/>
          <w:szCs w:val="20"/>
        </w:rPr>
        <w:t xml:space="preserve">When the progress bar reaches 100%, the upload is complete and data is immediately available across all views.</w:t>
      </w:r>
    </w:p>
    <w:p>
      <w:pPr>
        <w:spacing w:after="40"/>
      </w:pPr>
    </w:p>
    <w:p>
      <w:pPr>
        <w:spacing w:after="100" w:before="40"/>
        <w:ind w:left="360"/>
      </w:pPr>
      <w:r>
        <w:rPr>
          <w:rFonts w:ascii="Arial" w:cs="Arial" w:eastAsia="Arial" w:hAnsi="Arial"/>
          <w:b/>
          <w:bCs/>
          <w:color w:val="FFFFFF"/>
          <w:sz w:val="18"/>
          <w:szCs w:val="18"/>
          <w:shd w:fill="B45309" w:val="clear"/>
        </w:rPr>
        <w:t xml:space="preserve">  NOTE  </w:t>
      </w:r>
      <w:r>
        <w:rPr>
          <w:rFonts w:ascii="Arial" w:cs="Arial" w:eastAsia="Arial" w:hAnsi="Arial"/>
          <w:color w:val="B45309"/>
          <w:sz w:val="18"/>
          <w:szCs w:val="18"/>
        </w:rPr>
        <w:t xml:space="preserve">  Large files may take several minutes to process. Do not navigate away or refresh the page while the progress bar is active.</w:t>
      </w:r>
    </w:p>
    <w:p>
      <w:pPr>
        <w:spacing w:after="20"/>
      </w:pPr>
    </w:p>
    <w:p>
      <w:pPr>
        <w:spacing w:after="100" w:before="40"/>
        <w:ind w:left="360"/>
      </w:pPr>
      <w:r>
        <w:rPr>
          <w:rFonts w:ascii="Arial" w:cs="Arial" w:eastAsia="Arial" w:hAnsi="Arial"/>
          <w:b/>
          <w:bCs/>
          <w:color w:val="FFFFFF"/>
          <w:sz w:val="18"/>
          <w:szCs w:val="18"/>
          <w:shd w:fill="1D7044" w:val="clear"/>
        </w:rPr>
        <w:t xml:space="preserve">  TIP  </w:t>
      </w:r>
      <w:r>
        <w:rPr>
          <w:rFonts w:ascii="Arial" w:cs="Arial" w:eastAsia="Arial" w:hAnsi="Arial"/>
          <w:color w:val="1D7044"/>
          <w:sz w:val="18"/>
          <w:szCs w:val="18"/>
        </w:rPr>
        <w:t xml:space="preserve">  After a successful upload, the system automatically clears the relevant data cache. There is no need to manually refresh other pages.</w:t>
      </w:r>
    </w:p>
    <w:p>
      <w:pPr>
        <w:spacing w:after="40"/>
      </w:pPr>
    </w:p>
    <w:p>
      <w:pPr>
        <w:spacing w:after="80"/>
        <w:jc w:val="both"/>
      </w:pPr>
      <w:r>
        <w:rPr>
          <w:rFonts w:ascii="Arial" w:cs="Arial" w:eastAsia="Arial" w:hAnsi="Arial"/>
          <w:color w:val="212121"/>
          <w:sz w:val="20"/>
          <w:szCs w:val="20"/>
        </w:rPr>
        <w:t xml:space="preserve">If an upload fails, an error message will appear below the progress bar. Common causes include an incorrect file format, a missing required column, or a sheet name mismatch in Excel files (expected format: Dec'2024). Correct the file and retry.</w:t>
      </w:r>
    </w:p>
    <w:p>
      <w:pPr>
        <w:pStyle w:val="Heading1"/>
        <w:shd w:fill="1F4E8C" w:val="clear"/>
        <w:spacing w:after="140" w:before="280"/>
        <w:ind w:left="120" w:right="120"/>
      </w:pPr>
      <w:r>
        <w:rPr>
          <w:rFonts w:ascii="Arial" w:cs="Arial" w:eastAsia="Arial" w:hAnsi="Arial"/>
          <w:b/>
          <w:bCs/>
          <w:color w:val="FFFFFF"/>
          <w:sz w:val="28"/>
          <w:szCs w:val="28"/>
        </w:rPr>
        <w:t xml:space="preserve">4. Configuration</w:t>
      </w:r>
    </w:p>
    <w:p>
      <w:pPr>
        <w:spacing w:after="80"/>
        <w:jc w:val="both"/>
      </w:pPr>
      <w:r>
        <w:rPr>
          <w:rFonts w:ascii="Arial" w:cs="Arial" w:eastAsia="Arial" w:hAnsi="Arial"/>
          <w:color w:val="212121"/>
          <w:sz w:val="20"/>
          <w:szCs w:val="20"/>
        </w:rPr>
        <w:t xml:space="preserve">The Configuration page allows you to set the capacity parameters used by the allocation engine. Navigate there by clicking Configuration in the sidebar. The page is organised into two tabs.</w:t>
      </w:r>
    </w:p>
    <w:p>
      <w:pPr>
        <w:pStyle w:val="Heading2"/>
        <w:pBdr>
          <w:bottom w:val="single" w:color="2E75B6" w:sz="4" w:space="1"/>
        </w:pBdr>
        <w:spacing w:after="100" w:before="200"/>
      </w:pPr>
      <w:r>
        <w:rPr>
          <w:rFonts w:ascii="Arial" w:cs="Arial" w:eastAsia="Arial" w:hAnsi="Arial"/>
          <w:b/>
          <w:bCs/>
          <w:color w:val="2E75B6"/>
          <w:sz w:val="24"/>
          <w:szCs w:val="24"/>
        </w:rPr>
        <w:t xml:space="preserve">4.1  Month Configuration Tab</w:t>
      </w:r>
    </w:p>
    <w:p>
      <w:pPr>
        <w:spacing w:after="80"/>
        <w:jc w:val="both"/>
      </w:pPr>
      <w:r>
        <w:rPr>
          <w:rFonts w:ascii="Arial" w:cs="Arial" w:eastAsia="Arial" w:hAnsi="Arial"/>
          <w:color w:val="212121"/>
          <w:sz w:val="20"/>
          <w:szCs w:val="20"/>
        </w:rPr>
        <w:t xml:space="preserve">Month Configuration defines how the allocation engine calculates agent capacity for each period. The capacity formula is:</w:t>
      </w:r>
    </w:p>
    <w:p>
      <w:pPr>
        <w:spacing w:after="40"/>
      </w:pPr>
    </w:p>
    <w:p>
      <w:pPr>
        <w:shd w:fill="EEF4FB" w:val="clear"/>
        <w:spacing w:after="120" w:before="80"/>
        <w:ind w:left="200" w:right="200"/>
        <w:jc w:val="center"/>
      </w:pPr>
      <w:r>
        <w:rPr>
          <w:rFonts w:ascii="Courier New" w:cs="Courier New" w:eastAsia="Courier New" w:hAnsi="Courier New"/>
          <w:b/>
          <w:bCs/>
          <w:color w:val="1F4E8C"/>
          <w:sz w:val="20"/>
          <w:szCs w:val="20"/>
        </w:rPr>
        <w:t xml:space="preserve">Capacity  =  FTE × Working Days × Work Hours × Occupancy × (1 − Shrinkage) × CPH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Parameter</w:t>
            </w:r>
          </w:p>
        </w:tc>
        <w:tc>
          <w:tcPr>
            <w:tcW w:type="dxa" w:w="676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Description</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Working Days</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Number of business days in the month for this work type.</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Occupancy</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Proportion of time agents spend on productive case work (e.g. 0.95 = 95%).</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Shrinkage</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Proportion of time lost to breaks, training, absence, etc. (e.g. 0.10 = 10%).</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Work Hours</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Contractual daily shift length in hours (e.g. 9).</w:t>
            </w:r>
          </w:p>
        </w:tc>
      </w:tr>
    </w:tbl>
    <w:p>
      <w:pPr>
        <w:spacing w:after="40"/>
      </w:pPr>
    </w:p>
    <w:p>
      <w:pPr>
        <w:pStyle w:val="Heading3"/>
        <w:spacing w:after="60" w:before="160"/>
      </w:pPr>
      <w:r>
        <w:rPr>
          <w:rFonts w:ascii="Arial" w:cs="Arial" w:eastAsia="Arial" w:hAnsi="Arial"/>
          <w:b/>
          <w:bCs/>
          <w:color w:val="212121"/>
          <w:sz w:val="22"/>
          <w:szCs w:val="22"/>
        </w:rPr>
        <w:t xml:space="preserve">Viewing Configurations</w:t>
      </w:r>
    </w:p>
    <w:p>
      <w:pPr>
        <w:spacing w:after="80"/>
        <w:jc w:val="both"/>
      </w:pPr>
      <w:r>
        <w:rPr>
          <w:rFonts w:ascii="Arial" w:cs="Arial" w:eastAsia="Arial" w:hAnsi="Arial"/>
          <w:color w:val="212121"/>
          <w:sz w:val="20"/>
          <w:szCs w:val="20"/>
        </w:rPr>
        <w:t xml:space="preserve">Click Configuration in the sidebar to open the page. On the Month Configuration tab, use the Year, Month, and Work Type filters, then click Apply to narrow the table. Click Clear to reset all filters.</w:t>
      </w:r>
    </w:p>
    <w:p>
      <w:pPr>
        <w:pStyle w:val="Heading3"/>
        <w:spacing w:after="60" w:before="160"/>
      </w:pPr>
      <w:r>
        <w:rPr>
          <w:rFonts w:ascii="Arial" w:cs="Arial" w:eastAsia="Arial" w:hAnsi="Arial"/>
          <w:b/>
          <w:bCs/>
          <w:color w:val="212121"/>
          <w:sz w:val="22"/>
          <w:szCs w:val="22"/>
        </w:rPr>
        <w:t xml:space="preserve">Adding or Editing a Configuration</w:t>
      </w:r>
    </w:p>
    <w:p>
      <w:pPr>
        <w:pStyle w:val="ListParagraph"/>
        <w:numPr>
          <w:ilvl w:val="0"/>
          <w:numId w:val="3"/>
        </w:numPr>
        <w:spacing w:after="60"/>
      </w:pPr>
      <w:r>
        <w:rPr>
          <w:rFonts w:ascii="Arial" w:cs="Arial" w:eastAsia="Arial" w:hAnsi="Arial"/>
          <w:color w:val="212121"/>
          <w:sz w:val="20"/>
          <w:szCs w:val="20"/>
        </w:rPr>
        <w:t xml:space="preserve">Click Add New to open a form for a single configuration entry.</w:t>
      </w:r>
    </w:p>
    <w:p>
      <w:pPr>
        <w:pStyle w:val="ListParagraph"/>
        <w:numPr>
          <w:ilvl w:val="0"/>
          <w:numId w:val="3"/>
        </w:numPr>
        <w:spacing w:after="60"/>
      </w:pPr>
      <w:r>
        <w:rPr>
          <w:rFonts w:ascii="Arial" w:cs="Arial" w:eastAsia="Arial" w:hAnsi="Arial"/>
          <w:color w:val="212121"/>
          <w:sz w:val="20"/>
          <w:szCs w:val="20"/>
        </w:rPr>
        <w:t xml:space="preserve">Fill in Month, Year, Work Type, and the four capacity parameters.</w:t>
      </w:r>
    </w:p>
    <w:p>
      <w:pPr>
        <w:pStyle w:val="ListParagraph"/>
        <w:numPr>
          <w:ilvl w:val="0"/>
          <w:numId w:val="3"/>
        </w:numPr>
        <w:spacing w:after="60"/>
      </w:pPr>
      <w:r>
        <w:rPr>
          <w:rFonts w:ascii="Arial" w:cs="Arial" w:eastAsia="Arial" w:hAnsi="Arial"/>
          <w:color w:val="212121"/>
          <w:sz w:val="20"/>
          <w:szCs w:val="20"/>
        </w:rPr>
        <w:t xml:space="preserve">Click Save. The entry appears immediately in the table.</w:t>
      </w:r>
    </w:p>
    <w:p>
      <w:pPr>
        <w:pStyle w:val="ListParagraph"/>
        <w:numPr>
          <w:ilvl w:val="0"/>
          <w:numId w:val="3"/>
        </w:numPr>
        <w:spacing w:after="60"/>
      </w:pPr>
      <w:r>
        <w:rPr>
          <w:rFonts w:ascii="Arial" w:cs="Arial" w:eastAsia="Arial" w:hAnsi="Arial"/>
          <w:color w:val="212121"/>
          <w:sz w:val="20"/>
          <w:szCs w:val="20"/>
        </w:rPr>
        <w:t xml:space="preserve">To edit an existing row, click the edit icon (pencil) in the Actions column, adjust the values, then click Save.</w:t>
      </w:r>
    </w:p>
    <w:p>
      <w:pPr>
        <w:pStyle w:val="ListParagraph"/>
        <w:numPr>
          <w:ilvl w:val="0"/>
          <w:numId w:val="3"/>
        </w:numPr>
        <w:spacing w:after="60"/>
      </w:pPr>
      <w:r>
        <w:rPr>
          <w:rFonts w:ascii="Arial" w:cs="Arial" w:eastAsia="Arial" w:hAnsi="Arial"/>
          <w:color w:val="212121"/>
          <w:sz w:val="20"/>
          <w:szCs w:val="20"/>
        </w:rPr>
        <w:t xml:space="preserve">To delete a row, click the delete icon (trash) and confirm the dialog.</w:t>
      </w:r>
    </w:p>
    <w:p>
      <w:pPr>
        <w:spacing w:after="40"/>
      </w:pPr>
    </w:p>
    <w:p>
      <w:pPr>
        <w:spacing w:after="100" w:before="40"/>
        <w:ind w:left="360"/>
      </w:pPr>
      <w:r>
        <w:rPr>
          <w:rFonts w:ascii="Arial" w:cs="Arial" w:eastAsia="Arial" w:hAnsi="Arial"/>
          <w:b/>
          <w:bCs/>
          <w:color w:val="FFFFFF"/>
          <w:sz w:val="18"/>
          <w:szCs w:val="18"/>
          <w:shd w:fill="B45309" w:val="clear"/>
        </w:rPr>
        <w:t xml:space="preserve">  NOTE  </w:t>
      </w:r>
      <w:r>
        <w:rPr>
          <w:rFonts w:ascii="Arial" w:cs="Arial" w:eastAsia="Arial" w:hAnsi="Arial"/>
          <w:color w:val="B45309"/>
          <w:sz w:val="18"/>
          <w:szCs w:val="18"/>
        </w:rPr>
        <w:t xml:space="preserve">  Bulk configuration changes (spanning multiple months or years) are managed by the Delivery Analytics team via scripts. Contact them for large-scale updates.</w:t>
      </w:r>
    </w:p>
    <w:p>
      <w:pPr>
        <w:pStyle w:val="Heading2"/>
        <w:pBdr>
          <w:bottom w:val="single" w:color="2E75B6" w:sz="4" w:space="1"/>
        </w:pBdr>
        <w:spacing w:after="100" w:before="200"/>
      </w:pPr>
      <w:r>
        <w:rPr>
          <w:rFonts w:ascii="Arial" w:cs="Arial" w:eastAsia="Arial" w:hAnsi="Arial"/>
          <w:b/>
          <w:bCs/>
          <w:color w:val="2E75B6"/>
          <w:sz w:val="24"/>
          <w:szCs w:val="24"/>
        </w:rPr>
        <w:t xml:space="preserve">4.2  Target CPH Configuration Tab</w:t>
      </w:r>
    </w:p>
    <w:p>
      <w:pPr>
        <w:spacing w:after="80"/>
        <w:jc w:val="both"/>
      </w:pPr>
      <w:r>
        <w:rPr>
          <w:rFonts w:ascii="Arial" w:cs="Arial" w:eastAsia="Arial" w:hAnsi="Arial"/>
          <w:color w:val="212121"/>
          <w:sz w:val="20"/>
          <w:szCs w:val="20"/>
        </w:rPr>
        <w:t xml:space="preserve">Target CPH (Cases Per Hour) sets the throughput benchmark for each LOB and case type combination. Increasing CPH reduces the FTE requirement for a given forecast volume.</w:t>
      </w:r>
    </w:p>
    <w:p>
      <w:pPr>
        <w:spacing w:after="40"/>
      </w:pPr>
    </w:p>
    <w:p>
      <w:pPr>
        <w:pStyle w:val="ListParagraph"/>
        <w:numPr>
          <w:ilvl w:val="0"/>
          <w:numId w:val="3"/>
        </w:numPr>
        <w:spacing w:after="60"/>
      </w:pPr>
      <w:r>
        <w:rPr>
          <w:rFonts w:ascii="Arial" w:cs="Arial" w:eastAsia="Arial" w:hAnsi="Arial"/>
          <w:color w:val="212121"/>
          <w:sz w:val="20"/>
          <w:szCs w:val="20"/>
        </w:rPr>
        <w:t xml:space="preserve">Click the Target CPH Configuration tab.</w:t>
      </w:r>
    </w:p>
    <w:p>
      <w:pPr>
        <w:pStyle w:val="ListParagraph"/>
        <w:numPr>
          <w:ilvl w:val="0"/>
          <w:numId w:val="3"/>
        </w:numPr>
        <w:spacing w:after="60"/>
      </w:pPr>
      <w:r>
        <w:rPr>
          <w:rFonts w:ascii="Arial" w:cs="Arial" w:eastAsia="Arial" w:hAnsi="Arial"/>
          <w:color w:val="212121"/>
          <w:sz w:val="20"/>
          <w:szCs w:val="20"/>
        </w:rPr>
        <w:t xml:space="preserve">Use the filters to locate the LOB or case type you need to adjust.</w:t>
      </w:r>
    </w:p>
    <w:p>
      <w:pPr>
        <w:pStyle w:val="ListParagraph"/>
        <w:numPr>
          <w:ilvl w:val="0"/>
          <w:numId w:val="3"/>
        </w:numPr>
        <w:spacing w:after="60"/>
      </w:pPr>
      <w:r>
        <w:rPr>
          <w:rFonts w:ascii="Arial" w:cs="Arial" w:eastAsia="Arial" w:hAnsi="Arial"/>
          <w:color w:val="212121"/>
          <w:sz w:val="20"/>
          <w:szCs w:val="20"/>
        </w:rPr>
        <w:t xml:space="preserve">Click Add New or the edit icon on an existing row.</w:t>
      </w:r>
    </w:p>
    <w:p>
      <w:pPr>
        <w:pStyle w:val="ListParagraph"/>
        <w:numPr>
          <w:ilvl w:val="0"/>
          <w:numId w:val="3"/>
        </w:numPr>
        <w:spacing w:after="60"/>
      </w:pPr>
      <w:r>
        <w:rPr>
          <w:rFonts w:ascii="Arial" w:cs="Arial" w:eastAsia="Arial" w:hAnsi="Arial"/>
          <w:color w:val="212121"/>
          <w:sz w:val="20"/>
          <w:szCs w:val="20"/>
        </w:rPr>
        <w:t xml:space="preserve">Enter the new CPH value and click Save.</w:t>
      </w:r>
    </w:p>
    <w:p>
      <w:pPr>
        <w:spacing w:after="40"/>
      </w:pPr>
    </w:p>
    <w:p>
      <w:pPr>
        <w:spacing w:after="100" w:before="40"/>
        <w:ind w:left="360"/>
      </w:pPr>
      <w:r>
        <w:rPr>
          <w:rFonts w:ascii="Arial" w:cs="Arial" w:eastAsia="Arial" w:hAnsi="Arial"/>
          <w:b/>
          <w:bCs/>
          <w:color w:val="FFFFFF"/>
          <w:sz w:val="18"/>
          <w:szCs w:val="18"/>
          <w:shd w:fill="1D7044" w:val="clear"/>
        </w:rPr>
        <w:t xml:space="preserve">  TIP  </w:t>
      </w:r>
      <w:r>
        <w:rPr>
          <w:rFonts w:ascii="Arial" w:cs="Arial" w:eastAsia="Arial" w:hAnsi="Arial"/>
          <w:color w:val="1D7044"/>
          <w:sz w:val="18"/>
          <w:szCs w:val="18"/>
        </w:rPr>
        <w:t xml:space="preserve">  Use the Validate Data button on either tab to check for missing or inconsistent entries before running an allocation.</w:t>
      </w:r>
    </w:p>
    <w:p>
      <w:pPr>
        <w:pStyle w:val="Heading1"/>
        <w:shd w:fill="1F4E8C" w:val="clear"/>
        <w:spacing w:after="140" w:before="280"/>
        <w:ind w:left="120" w:right="120"/>
      </w:pPr>
      <w:r>
        <w:rPr>
          <w:rFonts w:ascii="Arial" w:cs="Arial" w:eastAsia="Arial" w:hAnsi="Arial"/>
          <w:b/>
          <w:bCs/>
          <w:color w:val="FFFFFF"/>
          <w:sz w:val="28"/>
          <w:szCs w:val="28"/>
        </w:rPr>
        <w:t xml:space="preserve">5. Edit Data</w:t>
      </w:r>
    </w:p>
    <w:p>
      <w:pPr>
        <w:spacing w:after="80"/>
        <w:jc w:val="both"/>
      </w:pPr>
      <w:r>
        <w:rPr>
          <w:rFonts w:ascii="Arial" w:cs="Arial" w:eastAsia="Arial" w:hAnsi="Arial"/>
          <w:color w:val="212121"/>
          <w:sz w:val="20"/>
          <w:szCs w:val="20"/>
        </w:rPr>
        <w:t xml:space="preserve">The Edit Data page is where allocation adjustments are made and tracked. Navigate there by clicking Edit Data in the sidebar. The page contains four tabs: Bench Allocation, Target CPH, Forecast Reallocation, and History Log.</w:t>
      </w:r>
    </w:p>
    <w:p>
      <w:pPr>
        <w:pStyle w:val="Heading2"/>
        <w:pBdr>
          <w:bottom w:val="single" w:color="2E75B6" w:sz="4" w:space="1"/>
        </w:pBdr>
        <w:spacing w:after="100" w:before="200"/>
      </w:pPr>
      <w:r>
        <w:rPr>
          <w:rFonts w:ascii="Arial" w:cs="Arial" w:eastAsia="Arial" w:hAnsi="Arial"/>
          <w:b/>
          <w:bCs/>
          <w:color w:val="2E75B6"/>
          <w:sz w:val="24"/>
          <w:szCs w:val="24"/>
        </w:rPr>
        <w:t xml:space="preserve">5.1  Bench Allocation Tab</w:t>
      </w:r>
    </w:p>
    <w:p>
      <w:pPr>
        <w:spacing w:after="80"/>
        <w:jc w:val="both"/>
      </w:pPr>
      <w:r>
        <w:rPr>
          <w:rFonts w:ascii="Arial" w:cs="Arial" w:eastAsia="Arial" w:hAnsi="Arial"/>
          <w:color w:val="212121"/>
          <w:sz w:val="20"/>
          <w:szCs w:val="20"/>
        </w:rPr>
        <w:t xml:space="preserve">Bench Allocation redistributes agents who remain unallocated after the primary allocation run. These bench agents are automatically identified and distributed proportionally across forecast rows that have a capacity shortfall.</w:t>
      </w:r>
    </w:p>
    <w:p>
      <w:pPr>
        <w:pStyle w:val="Heading3"/>
        <w:spacing w:after="60" w:before="160"/>
      </w:pPr>
      <w:r>
        <w:rPr>
          <w:rFonts w:ascii="Arial" w:cs="Arial" w:eastAsia="Arial" w:hAnsi="Arial"/>
          <w:b/>
          <w:bCs/>
          <w:color w:val="212121"/>
          <w:sz w:val="22"/>
          <w:szCs w:val="22"/>
        </w:rPr>
        <w:t xml:space="preserve">Running a Bench Allocation</w:t>
      </w:r>
    </w:p>
    <w:p>
      <w:pPr>
        <w:pStyle w:val="ListParagraph"/>
        <w:numPr>
          <w:ilvl w:val="0"/>
          <w:numId w:val="3"/>
        </w:numPr>
        <w:spacing w:after="60"/>
      </w:pPr>
      <w:r>
        <w:rPr>
          <w:rFonts w:ascii="Arial" w:cs="Arial" w:eastAsia="Arial" w:hAnsi="Arial"/>
          <w:color w:val="212121"/>
          <w:sz w:val="20"/>
          <w:szCs w:val="20"/>
        </w:rPr>
        <w:t xml:space="preserve">On the Bench Allocation tab, open the Select Allocation Report dropdown and choose the report month.</w:t>
      </w:r>
    </w:p>
    <w:p>
      <w:pPr>
        <w:pStyle w:val="ListParagraph"/>
        <w:numPr>
          <w:ilvl w:val="0"/>
          <w:numId w:val="3"/>
        </w:numPr>
        <w:spacing w:after="60"/>
      </w:pPr>
      <w:r>
        <w:rPr>
          <w:rFonts w:ascii="Arial" w:cs="Arial" w:eastAsia="Arial" w:hAnsi="Arial"/>
          <w:color w:val="212121"/>
          <w:sz w:val="20"/>
          <w:szCs w:val="20"/>
        </w:rPr>
        <w:t xml:space="preserve">Click Run Allocation. The system calculates which bench agents can be reallocated and displays a preview table showing only rows that will change.</w:t>
      </w:r>
    </w:p>
    <w:p>
      <w:pPr>
        <w:pStyle w:val="ListParagraph"/>
        <w:numPr>
          <w:ilvl w:val="0"/>
          <w:numId w:val="3"/>
        </w:numPr>
        <w:spacing w:after="60"/>
      </w:pPr>
      <w:r>
        <w:rPr>
          <w:rFonts w:ascii="Arial" w:cs="Arial" w:eastAsia="Arial" w:hAnsi="Arial"/>
          <w:color w:val="212121"/>
          <w:sz w:val="20"/>
          <w:szCs w:val="20"/>
        </w:rPr>
        <w:t xml:space="preserve">Review the preview. Use the LOB and State filters within the preview to focus on specific segments.</w:t>
      </w:r>
    </w:p>
    <w:p>
      <w:pPr>
        <w:pStyle w:val="ListParagraph"/>
        <w:numPr>
          <w:ilvl w:val="0"/>
          <w:numId w:val="3"/>
        </w:numPr>
        <w:spacing w:after="60"/>
      </w:pPr>
      <w:r>
        <w:rPr>
          <w:rFonts w:ascii="Arial" w:cs="Arial" w:eastAsia="Arial" w:hAnsi="Arial"/>
          <w:color w:val="212121"/>
          <w:sz w:val="20"/>
          <w:szCs w:val="20"/>
        </w:rPr>
        <w:t xml:space="preserve">If the changes look correct, click Apply Changes. A confirmation dialog will appear.</w:t>
      </w:r>
    </w:p>
    <w:p>
      <w:pPr>
        <w:pStyle w:val="ListParagraph"/>
        <w:numPr>
          <w:ilvl w:val="0"/>
          <w:numId w:val="3"/>
        </w:numPr>
        <w:spacing w:after="60"/>
      </w:pPr>
      <w:r>
        <w:rPr>
          <w:rFonts w:ascii="Arial" w:cs="Arial" w:eastAsia="Arial" w:hAnsi="Arial"/>
          <w:color w:val="212121"/>
          <w:sz w:val="20"/>
          <w:szCs w:val="20"/>
        </w:rPr>
        <w:t xml:space="preserve">Confirm to commit. A success notification confirms the update, and results are saved to the history log automatically.</w:t>
      </w:r>
    </w:p>
    <w:p>
      <w:pPr>
        <w:spacing w:after="40"/>
      </w:pPr>
    </w:p>
    <w:p>
      <w:pPr>
        <w:spacing w:after="100" w:before="40"/>
        <w:ind w:left="360"/>
      </w:pPr>
      <w:r>
        <w:rPr>
          <w:rFonts w:ascii="Arial" w:cs="Arial" w:eastAsia="Arial" w:hAnsi="Arial"/>
          <w:b/>
          <w:bCs/>
          <w:color w:val="FFFFFF"/>
          <w:sz w:val="18"/>
          <w:szCs w:val="18"/>
          <w:shd w:fill="1D7044" w:val="clear"/>
        </w:rPr>
        <w:t xml:space="preserve">  TIP  </w:t>
      </w:r>
      <w:r>
        <w:rPr>
          <w:rFonts w:ascii="Arial" w:cs="Arial" w:eastAsia="Arial" w:hAnsi="Arial"/>
          <w:color w:val="1D7044"/>
          <w:sz w:val="18"/>
          <w:szCs w:val="18"/>
        </w:rPr>
        <w:t xml:space="preserve">  The preview shows only modified rows. If the preview is empty, all bench agents are already optimally allocated for this report period — no action is required.</w:t>
      </w:r>
    </w:p>
    <w:p>
      <w:pPr>
        <w:pStyle w:val="Heading2"/>
        <w:pBdr>
          <w:bottom w:val="single" w:color="2E75B6" w:sz="4" w:space="1"/>
        </w:pBdr>
        <w:spacing w:after="100" w:before="200"/>
      </w:pPr>
      <w:r>
        <w:rPr>
          <w:rFonts w:ascii="Arial" w:cs="Arial" w:eastAsia="Arial" w:hAnsi="Arial"/>
          <w:b/>
          <w:bCs/>
          <w:color w:val="2E75B6"/>
          <w:sz w:val="24"/>
          <w:szCs w:val="24"/>
        </w:rPr>
        <w:t xml:space="preserve">5.2  Target CPH Tab</w:t>
      </w:r>
    </w:p>
    <w:p>
      <w:pPr>
        <w:spacing w:after="80"/>
        <w:jc w:val="both"/>
      </w:pPr>
      <w:r>
        <w:rPr>
          <w:rFonts w:ascii="Arial" w:cs="Arial" w:eastAsia="Arial" w:hAnsi="Arial"/>
          <w:color w:val="212121"/>
          <w:sz w:val="20"/>
          <w:szCs w:val="20"/>
        </w:rPr>
        <w:t xml:space="preserve">This tab lets you preview the impact of a CPH change on FTE requirements before committing it. Use it to model what-if scenarios without altering the live configuration.</w:t>
      </w:r>
    </w:p>
    <w:p>
      <w:pPr>
        <w:spacing w:after="40"/>
      </w:pPr>
    </w:p>
    <w:p>
      <w:pPr>
        <w:pStyle w:val="ListParagraph"/>
        <w:numPr>
          <w:ilvl w:val="0"/>
          <w:numId w:val="3"/>
        </w:numPr>
        <w:spacing w:after="60"/>
      </w:pPr>
      <w:r>
        <w:rPr>
          <w:rFonts w:ascii="Arial" w:cs="Arial" w:eastAsia="Arial" w:hAnsi="Arial"/>
          <w:color w:val="212121"/>
          <w:sz w:val="20"/>
          <w:szCs w:val="20"/>
        </w:rPr>
        <w:t xml:space="preserve">Select an Allocation Report from the dropdown.</w:t>
      </w:r>
    </w:p>
    <w:p>
      <w:pPr>
        <w:pStyle w:val="ListParagraph"/>
        <w:numPr>
          <w:ilvl w:val="0"/>
          <w:numId w:val="3"/>
        </w:numPr>
        <w:spacing w:after="60"/>
      </w:pPr>
      <w:r>
        <w:rPr>
          <w:rFonts w:ascii="Arial" w:cs="Arial" w:eastAsia="Arial" w:hAnsi="Arial"/>
          <w:color w:val="212121"/>
          <w:sz w:val="20"/>
          <w:szCs w:val="20"/>
        </w:rPr>
        <w:t xml:space="preserve">Locate the LOB and case type row you want to model.</w:t>
      </w:r>
    </w:p>
    <w:p>
      <w:pPr>
        <w:pStyle w:val="ListParagraph"/>
        <w:numPr>
          <w:ilvl w:val="0"/>
          <w:numId w:val="3"/>
        </w:numPr>
        <w:spacing w:after="60"/>
      </w:pPr>
      <w:r>
        <w:rPr>
          <w:rFonts w:ascii="Arial" w:cs="Arial" w:eastAsia="Arial" w:hAnsi="Arial"/>
          <w:color w:val="212121"/>
          <w:sz w:val="20"/>
          <w:szCs w:val="20"/>
        </w:rPr>
        <w:t xml:space="preserve">Enter a new CPH value and click Preview. The table updates to show revised FTE Required and Capacity Gap figures.</w:t>
      </w:r>
    </w:p>
    <w:p>
      <w:pPr>
        <w:pStyle w:val="ListParagraph"/>
        <w:numPr>
          <w:ilvl w:val="0"/>
          <w:numId w:val="3"/>
        </w:numPr>
        <w:spacing w:after="60"/>
      </w:pPr>
      <w:r>
        <w:rPr>
          <w:rFonts w:ascii="Arial" w:cs="Arial" w:eastAsia="Arial" w:hAnsi="Arial"/>
          <w:color w:val="212121"/>
          <w:sz w:val="20"/>
          <w:szCs w:val="20"/>
        </w:rPr>
        <w:t xml:space="preserve">If you want to apply the change permanently, click Update CPH.</w:t>
      </w:r>
    </w:p>
    <w:p>
      <w:pPr>
        <w:pStyle w:val="Heading2"/>
        <w:pBdr>
          <w:bottom w:val="single" w:color="2E75B6" w:sz="4" w:space="1"/>
        </w:pBdr>
        <w:spacing w:after="100" w:before="200"/>
      </w:pPr>
      <w:r>
        <w:rPr>
          <w:rFonts w:ascii="Arial" w:cs="Arial" w:eastAsia="Arial" w:hAnsi="Arial"/>
          <w:b/>
          <w:bCs/>
          <w:color w:val="2E75B6"/>
          <w:sz w:val="24"/>
          <w:szCs w:val="24"/>
        </w:rPr>
        <w:t xml:space="preserve">5.3  Forecast Reallocation Tab</w:t>
      </w:r>
    </w:p>
    <w:p>
      <w:pPr>
        <w:spacing w:after="80"/>
        <w:jc w:val="both"/>
      </w:pPr>
      <w:r>
        <w:rPr>
          <w:rFonts w:ascii="Arial" w:cs="Arial" w:eastAsia="Arial" w:hAnsi="Arial"/>
          <w:color w:val="212121"/>
          <w:sz w:val="20"/>
          <w:szCs w:val="20"/>
        </w:rPr>
        <w:t xml:space="preserve">Forecast Reallocation allows you to move forecast demand between LOBs or case types for a specific month — for example, to account for a market transfer or a planning revision.</w:t>
      </w:r>
    </w:p>
    <w:p>
      <w:pPr>
        <w:spacing w:after="40"/>
      </w:pPr>
    </w:p>
    <w:p>
      <w:pPr>
        <w:pStyle w:val="ListParagraph"/>
        <w:numPr>
          <w:ilvl w:val="0"/>
          <w:numId w:val="3"/>
        </w:numPr>
        <w:spacing w:after="60"/>
      </w:pPr>
      <w:r>
        <w:rPr>
          <w:rFonts w:ascii="Arial" w:cs="Arial" w:eastAsia="Arial" w:hAnsi="Arial"/>
          <w:color w:val="212121"/>
          <w:sz w:val="20"/>
          <w:szCs w:val="20"/>
        </w:rPr>
        <w:t xml:space="preserve">Select filters (Month, Year, Platform, Market, Locality) to narrow the list of forecast rows.</w:t>
      </w:r>
    </w:p>
    <w:p>
      <w:pPr>
        <w:pStyle w:val="ListParagraph"/>
        <w:numPr>
          <w:ilvl w:val="0"/>
          <w:numId w:val="3"/>
        </w:numPr>
        <w:spacing w:after="60"/>
      </w:pPr>
      <w:r>
        <w:rPr>
          <w:rFonts w:ascii="Arial" w:cs="Arial" w:eastAsia="Arial" w:hAnsi="Arial"/>
          <w:color w:val="212121"/>
          <w:sz w:val="20"/>
          <w:szCs w:val="20"/>
        </w:rPr>
        <w:t xml:space="preserve">Click Load Data.</w:t>
      </w:r>
    </w:p>
    <w:p>
      <w:pPr>
        <w:pStyle w:val="ListParagraph"/>
        <w:numPr>
          <w:ilvl w:val="0"/>
          <w:numId w:val="3"/>
        </w:numPr>
        <w:spacing w:after="60"/>
      </w:pPr>
      <w:r>
        <w:rPr>
          <w:rFonts w:ascii="Arial" w:cs="Arial" w:eastAsia="Arial" w:hAnsi="Arial"/>
          <w:color w:val="212121"/>
          <w:sz w:val="20"/>
          <w:szCs w:val="20"/>
        </w:rPr>
        <w:t xml:space="preserve">Adjust values in the editable cells for the rows you wish to change.</w:t>
      </w:r>
    </w:p>
    <w:p>
      <w:pPr>
        <w:pStyle w:val="ListParagraph"/>
        <w:numPr>
          <w:ilvl w:val="0"/>
          <w:numId w:val="3"/>
        </w:numPr>
        <w:spacing w:after="60"/>
      </w:pPr>
      <w:r>
        <w:rPr>
          <w:rFonts w:ascii="Arial" w:cs="Arial" w:eastAsia="Arial" w:hAnsi="Arial"/>
          <w:color w:val="212121"/>
          <w:sz w:val="20"/>
          <w:szCs w:val="20"/>
        </w:rPr>
        <w:t xml:space="preserve">Click Preview Changes to review the delta before saving.</w:t>
      </w:r>
    </w:p>
    <w:p>
      <w:pPr>
        <w:pStyle w:val="ListParagraph"/>
        <w:numPr>
          <w:ilvl w:val="0"/>
          <w:numId w:val="3"/>
        </w:numPr>
        <w:spacing w:after="60"/>
      </w:pPr>
      <w:r>
        <w:rPr>
          <w:rFonts w:ascii="Arial" w:cs="Arial" w:eastAsia="Arial" w:hAnsi="Arial"/>
          <w:color w:val="212121"/>
          <w:sz w:val="20"/>
          <w:szCs w:val="20"/>
        </w:rPr>
        <w:t xml:space="preserve">Confirm and click Apply to commit the reallocation.</w:t>
      </w:r>
    </w:p>
    <w:p>
      <w:pPr>
        <w:spacing w:after="40"/>
      </w:pPr>
    </w:p>
    <w:p>
      <w:pPr>
        <w:spacing w:after="100" w:before="40"/>
        <w:ind w:left="360"/>
      </w:pPr>
      <w:r>
        <w:rPr>
          <w:rFonts w:ascii="Arial" w:cs="Arial" w:eastAsia="Arial" w:hAnsi="Arial"/>
          <w:b/>
          <w:bCs/>
          <w:color w:val="FFFFFF"/>
          <w:sz w:val="18"/>
          <w:szCs w:val="18"/>
          <w:shd w:fill="B45309" w:val="clear"/>
        </w:rPr>
        <w:t xml:space="preserve">  NOTE  </w:t>
      </w:r>
      <w:r>
        <w:rPr>
          <w:rFonts w:ascii="Arial" w:cs="Arial" w:eastAsia="Arial" w:hAnsi="Arial"/>
          <w:color w:val="B45309"/>
          <w:sz w:val="18"/>
          <w:szCs w:val="18"/>
        </w:rPr>
        <w:t xml:space="preserve">  All reallocation changes are logged in the History Log tab with the date, user, and every modified value, providing a full audit trail.</w:t>
      </w:r>
    </w:p>
    <w:p>
      <w:pPr>
        <w:pStyle w:val="Heading2"/>
        <w:pBdr>
          <w:bottom w:val="single" w:color="2E75B6" w:sz="4" w:space="1"/>
        </w:pBdr>
        <w:spacing w:after="100" w:before="200"/>
      </w:pPr>
      <w:r>
        <w:rPr>
          <w:rFonts w:ascii="Arial" w:cs="Arial" w:eastAsia="Arial" w:hAnsi="Arial"/>
          <w:b/>
          <w:bCs/>
          <w:color w:val="2E75B6"/>
          <w:sz w:val="24"/>
          <w:szCs w:val="24"/>
        </w:rPr>
        <w:t xml:space="preserve">5.4  History Log Tab</w:t>
      </w:r>
    </w:p>
    <w:p>
      <w:pPr>
        <w:spacing w:after="80"/>
        <w:jc w:val="both"/>
      </w:pPr>
      <w:r>
        <w:rPr>
          <w:rFonts w:ascii="Arial" w:cs="Arial" w:eastAsia="Arial" w:hAnsi="Arial"/>
          <w:color w:val="212121"/>
          <w:sz w:val="20"/>
          <w:szCs w:val="20"/>
        </w:rPr>
        <w:t xml:space="preserve">The History Log maintains an audit trail of every change made through the Edit Data page. Each entry records the change type, the user who made it, the timestamp, and the exact values modified.</w:t>
      </w:r>
    </w:p>
    <w:p>
      <w:pPr>
        <w:spacing w:after="40"/>
      </w:pPr>
    </w:p>
    <w:p>
      <w:pPr>
        <w:pStyle w:val="ListParagraph"/>
        <w:numPr>
          <w:ilvl w:val="0"/>
          <w:numId w:val="3"/>
        </w:numPr>
        <w:spacing w:after="60"/>
      </w:pPr>
      <w:r>
        <w:rPr>
          <w:rFonts w:ascii="Arial" w:cs="Arial" w:eastAsia="Arial" w:hAnsi="Arial"/>
          <w:color w:val="212121"/>
          <w:sz w:val="20"/>
          <w:szCs w:val="20"/>
        </w:rPr>
        <w:t xml:space="preserve">Click the History Log tab.</w:t>
      </w:r>
    </w:p>
    <w:p>
      <w:pPr>
        <w:pStyle w:val="ListParagraph"/>
        <w:numPr>
          <w:ilvl w:val="0"/>
          <w:numId w:val="3"/>
        </w:numPr>
        <w:spacing w:after="60"/>
      </w:pPr>
      <w:r>
        <w:rPr>
          <w:rFonts w:ascii="Arial" w:cs="Arial" w:eastAsia="Arial" w:hAnsi="Arial"/>
          <w:color w:val="212121"/>
          <w:sz w:val="20"/>
          <w:szCs w:val="20"/>
        </w:rPr>
        <w:t xml:space="preserve">Use the filters to narrow by month, year, or change type.</w:t>
      </w:r>
    </w:p>
    <w:p>
      <w:pPr>
        <w:pStyle w:val="ListParagraph"/>
        <w:numPr>
          <w:ilvl w:val="0"/>
          <w:numId w:val="3"/>
        </w:numPr>
        <w:spacing w:after="60"/>
      </w:pPr>
      <w:r>
        <w:rPr>
          <w:rFonts w:ascii="Arial" w:cs="Arial" w:eastAsia="Arial" w:hAnsi="Arial"/>
          <w:color w:val="212121"/>
          <w:sz w:val="20"/>
          <w:szCs w:val="20"/>
        </w:rPr>
        <w:t xml:space="preserve">Click any row to expand the detail view showing before and after values.</w:t>
      </w:r>
    </w:p>
    <w:p>
      <w:pPr>
        <w:pStyle w:val="ListParagraph"/>
        <w:numPr>
          <w:ilvl w:val="0"/>
          <w:numId w:val="3"/>
        </w:numPr>
        <w:spacing w:after="60"/>
      </w:pPr>
      <w:r>
        <w:rPr>
          <w:rFonts w:ascii="Arial" w:cs="Arial" w:eastAsia="Arial" w:hAnsi="Arial"/>
          <w:color w:val="212121"/>
          <w:sz w:val="20"/>
          <w:szCs w:val="20"/>
        </w:rPr>
        <w:t xml:space="preserve">To export an entry as an Excel file, click the Download button on that row.</w:t>
      </w:r>
    </w:p>
    <w:p>
      <w:pPr>
        <w:pStyle w:val="Heading1"/>
        <w:shd w:fill="1F4E8C" w:val="clear"/>
        <w:spacing w:after="140" w:before="280"/>
        <w:ind w:left="120" w:right="120"/>
      </w:pPr>
      <w:r>
        <w:rPr>
          <w:rFonts w:ascii="Arial" w:cs="Arial" w:eastAsia="Arial" w:hAnsi="Arial"/>
          <w:b/>
          <w:bCs/>
          <w:color w:val="FFFFFF"/>
          <w:sz w:val="28"/>
          <w:szCs w:val="28"/>
        </w:rPr>
        <w:t xml:space="preserve">6. Data Hub</w:t>
      </w:r>
    </w:p>
    <w:p>
      <w:pPr>
        <w:spacing w:after="80"/>
        <w:jc w:val="both"/>
      </w:pPr>
      <w:r>
        <w:rPr>
          <w:rFonts w:ascii="Arial" w:cs="Arial" w:eastAsia="Arial" w:hAnsi="Arial"/>
          <w:color w:val="212121"/>
          <w:sz w:val="20"/>
          <w:szCs w:val="20"/>
        </w:rPr>
        <w:t xml:space="preserve">The Data Hub provides a filtered view of the raw data tables — forecast records, roster data, and actuals. It is intended for data verification and ad-hoc review. Navigate there by clicking Data Hub in the sidebar.</w:t>
      </w:r>
    </w:p>
    <w:p>
      <w:pPr>
        <w:pStyle w:val="Heading2"/>
        <w:pBdr>
          <w:bottom w:val="single" w:color="2E75B6" w:sz="4" w:space="1"/>
        </w:pBdr>
        <w:spacing w:after="100" w:before="200"/>
      </w:pPr>
      <w:r>
        <w:rPr>
          <w:rFonts w:ascii="Arial" w:cs="Arial" w:eastAsia="Arial" w:hAnsi="Arial"/>
          <w:b/>
          <w:bCs/>
          <w:color w:val="2E75B6"/>
          <w:sz w:val="24"/>
          <w:szCs w:val="24"/>
        </w:rPr>
        <w:t xml:space="preserve">6.1  Selecting a Dataset</w:t>
      </w:r>
    </w:p>
    <w:p>
      <w:pPr>
        <w:pStyle w:val="ListParagraph"/>
        <w:numPr>
          <w:ilvl w:val="0"/>
          <w:numId w:val="3"/>
        </w:numPr>
        <w:spacing w:after="60"/>
      </w:pPr>
      <w:r>
        <w:rPr>
          <w:rFonts w:ascii="Arial" w:cs="Arial" w:eastAsia="Arial" w:hAnsi="Arial"/>
          <w:color w:val="212121"/>
          <w:sz w:val="20"/>
          <w:szCs w:val="20"/>
        </w:rPr>
        <w:t xml:space="preserve">From the Data Type dropdown, select one of: Forecast, Roster, Production Team Roster, or Actuals.</w:t>
      </w:r>
    </w:p>
    <w:p>
      <w:pPr>
        <w:pStyle w:val="ListParagraph"/>
        <w:numPr>
          <w:ilvl w:val="0"/>
          <w:numId w:val="3"/>
        </w:numPr>
        <w:spacing w:after="60"/>
      </w:pPr>
      <w:r>
        <w:rPr>
          <w:rFonts w:ascii="Arial" w:cs="Arial" w:eastAsia="Arial" w:hAnsi="Arial"/>
          <w:color w:val="212121"/>
          <w:sz w:val="20"/>
          <w:szCs w:val="20"/>
        </w:rPr>
        <w:t xml:space="preserve">Use the cascade filters to narrow results. The filters are dependent — each selection limits the options in the next dropdown:</w:t>
      </w:r>
    </w:p>
    <w:p>
      <w:pPr>
        <w:spacing w:after="30"/>
      </w:pPr>
    </w:p>
    <w:p>
      <w:pPr>
        <w:spacing w:after="80" w:before="60"/>
        <w:jc w:val="center"/>
      </w:pPr>
      <w:r>
        <w:rPr>
          <w:rFonts w:ascii="Arial" w:cs="Arial" w:eastAsia="Arial" w:hAnsi="Arial"/>
          <w:b/>
          <w:bCs/>
          <w:color w:val="2E75B6"/>
          <w:sz w:val="20"/>
          <w:szCs w:val="20"/>
        </w:rPr>
        <w:t xml:space="preserve">Year  →  Month  →  Platform  →  Market  →  Locality  →  Work Type</w:t>
      </w:r>
    </w:p>
    <w:p>
      <w:pPr>
        <w:pStyle w:val="ListParagraph"/>
        <w:numPr>
          <w:ilvl w:val="0"/>
          <w:numId w:val="3"/>
        </w:numPr>
        <w:spacing w:after="60"/>
      </w:pPr>
      <w:r>
        <w:rPr>
          <w:rFonts w:ascii="Arial" w:cs="Arial" w:eastAsia="Arial" w:hAnsi="Arial"/>
          <w:color w:val="212121"/>
          <w:sz w:val="20"/>
          <w:szCs w:val="20"/>
        </w:rPr>
        <w:t xml:space="preserve">Click Apply (or the filter button) to load the table.</w:t>
      </w:r>
    </w:p>
    <w:p>
      <w:pPr>
        <w:spacing w:after="40"/>
      </w:pPr>
    </w:p>
    <w:p>
      <w:pPr>
        <w:spacing w:after="100" w:before="40"/>
        <w:ind w:left="360"/>
      </w:pPr>
      <w:r>
        <w:rPr>
          <w:rFonts w:ascii="Arial" w:cs="Arial" w:eastAsia="Arial" w:hAnsi="Arial"/>
          <w:b/>
          <w:bCs/>
          <w:color w:val="FFFFFF"/>
          <w:sz w:val="18"/>
          <w:szCs w:val="18"/>
          <w:shd w:fill="1D7044" w:val="clear"/>
        </w:rPr>
        <w:t xml:space="preserve">  TIP  </w:t>
      </w:r>
      <w:r>
        <w:rPr>
          <w:rFonts w:ascii="Arial" w:cs="Arial" w:eastAsia="Arial" w:hAnsi="Arial"/>
          <w:color w:val="1D7044"/>
          <w:sz w:val="18"/>
          <w:szCs w:val="18"/>
        </w:rPr>
        <w:t xml:space="preserve">  Select2 searchable dropdowns are enabled on all filters. Start typing to search within long lists rather than scrolling.</w:t>
      </w:r>
    </w:p>
    <w:p>
      <w:pPr>
        <w:pStyle w:val="Heading2"/>
        <w:pBdr>
          <w:bottom w:val="single" w:color="2E75B6" w:sz="4" w:space="1"/>
        </w:pBdr>
        <w:spacing w:after="100" w:before="200"/>
      </w:pPr>
      <w:r>
        <w:rPr>
          <w:rFonts w:ascii="Arial" w:cs="Arial" w:eastAsia="Arial" w:hAnsi="Arial"/>
          <w:b/>
          <w:bCs/>
          <w:color w:val="2E75B6"/>
          <w:sz w:val="24"/>
          <w:szCs w:val="24"/>
        </w:rPr>
        <w:t xml:space="preserve">6.2  Downloading Data</w:t>
      </w:r>
    </w:p>
    <w:p>
      <w:pPr>
        <w:spacing w:after="80"/>
        <w:jc w:val="both"/>
      </w:pPr>
      <w:r>
        <w:rPr>
          <w:rFonts w:ascii="Arial" w:cs="Arial" w:eastAsia="Arial" w:hAnsi="Arial"/>
          <w:color w:val="212121"/>
          <w:sz w:val="20"/>
          <w:szCs w:val="20"/>
        </w:rPr>
        <w:t xml:space="preserve">To export the currently displayed table, click the Download Data button. The file downloads as an Excel spreadsheet containing all rows matching your active filter selections.</w:t>
      </w:r>
    </w:p>
    <w:p>
      <w:pPr>
        <w:pStyle w:val="Heading1"/>
        <w:shd w:fill="1F4E8C" w:val="clear"/>
        <w:spacing w:after="140" w:before="280"/>
        <w:ind w:left="120" w:right="120"/>
      </w:pPr>
      <w:r>
        <w:rPr>
          <w:rFonts w:ascii="Arial" w:cs="Arial" w:eastAsia="Arial" w:hAnsi="Arial"/>
          <w:b/>
          <w:bCs/>
          <w:color w:val="FFFFFF"/>
          <w:sz w:val="28"/>
          <w:szCs w:val="28"/>
        </w:rPr>
        <w:t xml:space="preserve">7. Executive View</w:t>
      </w:r>
    </w:p>
    <w:p>
      <w:pPr>
        <w:spacing w:after="80"/>
        <w:jc w:val="both"/>
      </w:pPr>
      <w:r>
        <w:rPr>
          <w:rFonts w:ascii="Arial" w:cs="Arial" w:eastAsia="Arial" w:hAnsi="Arial"/>
          <w:color w:val="212121"/>
          <w:sz w:val="20"/>
          <w:szCs w:val="20"/>
        </w:rPr>
        <w:t xml:space="preserve">The Executive View is a hierarchical capacity dashboard designed for high-level status monitoring. Navigate there by clicking Executive View in the sidebar. It aggregates forecast and capacity data into a collapsible category tree, displaying up to six months of forward-looking figures per category.</w:t>
      </w:r>
    </w:p>
    <w:p>
      <w:pPr>
        <w:pStyle w:val="Heading2"/>
        <w:pBdr>
          <w:bottom w:val="single" w:color="2E75B6" w:sz="4" w:space="1"/>
        </w:pBdr>
        <w:spacing w:after="100" w:before="200"/>
      </w:pPr>
      <w:r>
        <w:rPr>
          <w:rFonts w:ascii="Arial" w:cs="Arial" w:eastAsia="Arial" w:hAnsi="Arial"/>
          <w:b/>
          <w:bCs/>
          <w:color w:val="2E75B6"/>
          <w:sz w:val="24"/>
          <w:szCs w:val="24"/>
        </w:rPr>
        <w:t xml:space="preserve">7.1  Dashboard Metrics</w:t>
      </w:r>
    </w:p>
    <w:p>
      <w:pPr>
        <w:spacing w:after="80"/>
        <w:jc w:val="both"/>
      </w:pPr>
      <w:r>
        <w:rPr>
          <w:rFonts w:ascii="Arial" w:cs="Arial" w:eastAsia="Arial" w:hAnsi="Arial"/>
          <w:color w:val="212121"/>
          <w:sz w:val="20"/>
          <w:szCs w:val="20"/>
        </w:rPr>
        <w:t xml:space="preserve">Four metrics are shown for each category across each forecast month: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Metric</w:t>
            </w:r>
          </w:p>
        </w:tc>
        <w:tc>
          <w:tcPr>
            <w:tcW w:type="dxa" w:w="676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Description</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CF (Client Forecast)</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Total projected case volume for the period.</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HC (Head Count)</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Number of agents allocated to this category.</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Capacity</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Total case output the allocated agents can deliver.</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Gap</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Capacity minus CF. Negative = shortfall (shown in red); positive = surplus.</w:t>
            </w:r>
          </w:p>
        </w:tc>
      </w:tr>
    </w:tbl>
    <w:p>
      <w:pPr>
        <w:spacing w:after="40"/>
      </w:pPr>
    </w:p>
    <w:p>
      <w:pPr>
        <w:pStyle w:val="Heading2"/>
        <w:pBdr>
          <w:bottom w:val="single" w:color="2E75B6" w:sz="4" w:space="1"/>
        </w:pBdr>
        <w:spacing w:after="100" w:before="200"/>
      </w:pPr>
      <w:r>
        <w:rPr>
          <w:rFonts w:ascii="Arial" w:cs="Arial" w:eastAsia="Arial" w:hAnsi="Arial"/>
          <w:b/>
          <w:bCs/>
          <w:color w:val="2E75B6"/>
          <w:sz w:val="24"/>
          <w:szCs w:val="24"/>
        </w:rPr>
        <w:t xml:space="preserve">7.2  Loading the Dashboard</w:t>
      </w:r>
    </w:p>
    <w:p>
      <w:pPr>
        <w:pStyle w:val="ListParagraph"/>
        <w:numPr>
          <w:ilvl w:val="0"/>
          <w:numId w:val="3"/>
        </w:numPr>
        <w:spacing w:after="60"/>
      </w:pPr>
      <w:r>
        <w:rPr>
          <w:rFonts w:ascii="Arial" w:cs="Arial" w:eastAsia="Arial" w:hAnsi="Arial"/>
          <w:color w:val="212121"/>
          <w:sz w:val="20"/>
          <w:szCs w:val="20"/>
        </w:rPr>
        <w:t xml:space="preserve">Click Executive View in the sidebar.</w:t>
      </w:r>
    </w:p>
    <w:p>
      <w:pPr>
        <w:pStyle w:val="ListParagraph"/>
        <w:numPr>
          <w:ilvl w:val="0"/>
          <w:numId w:val="3"/>
        </w:numPr>
        <w:spacing w:after="60"/>
      </w:pPr>
      <w:r>
        <w:rPr>
          <w:rFonts w:ascii="Arial" w:cs="Arial" w:eastAsia="Arial" w:hAnsi="Arial"/>
          <w:color w:val="212121"/>
          <w:sz w:val="20"/>
          <w:szCs w:val="20"/>
        </w:rPr>
        <w:t xml:space="preserve">From the Report Month dropdown, select the report month you want to analyse.</w:t>
      </w:r>
    </w:p>
    <w:p>
      <w:pPr>
        <w:pStyle w:val="ListParagraph"/>
        <w:numPr>
          <w:ilvl w:val="0"/>
          <w:numId w:val="3"/>
        </w:numPr>
        <w:spacing w:after="60"/>
      </w:pPr>
      <w:r>
        <w:rPr>
          <w:rFonts w:ascii="Arial" w:cs="Arial" w:eastAsia="Arial" w:hAnsi="Arial"/>
          <w:color w:val="212121"/>
          <w:sz w:val="20"/>
          <w:szCs w:val="20"/>
        </w:rPr>
        <w:t xml:space="preserve">Optionally, select a specific Category from the second dropdown to focus the view.</w:t>
      </w:r>
    </w:p>
    <w:p>
      <w:pPr>
        <w:pStyle w:val="ListParagraph"/>
        <w:numPr>
          <w:ilvl w:val="0"/>
          <w:numId w:val="3"/>
        </w:numPr>
        <w:spacing w:after="60"/>
      </w:pPr>
      <w:r>
        <w:rPr>
          <w:rFonts w:ascii="Arial" w:cs="Arial" w:eastAsia="Arial" w:hAnsi="Arial"/>
          <w:color w:val="212121"/>
          <w:sz w:val="20"/>
          <w:szCs w:val="20"/>
        </w:rPr>
        <w:t xml:space="preserve">Click Apply &amp; Load Data. The summary cards and hierarchical table will appear.</w:t>
      </w:r>
    </w:p>
    <w:p>
      <w:pPr>
        <w:pStyle w:val="Heading2"/>
        <w:pBdr>
          <w:bottom w:val="single" w:color="2E75B6" w:sz="4" w:space="1"/>
        </w:pBdr>
        <w:spacing w:after="100" w:before="200"/>
      </w:pPr>
      <w:r>
        <w:rPr>
          <w:rFonts w:ascii="Arial" w:cs="Arial" w:eastAsia="Arial" w:hAnsi="Arial"/>
          <w:b/>
          <w:bCs/>
          <w:color w:val="2E75B6"/>
          <w:sz w:val="24"/>
          <w:szCs w:val="24"/>
        </w:rPr>
        <w:t xml:space="preserve">7.3  Using the Hierarchy Table</w:t>
      </w:r>
    </w:p>
    <w:p>
      <w:pPr>
        <w:pStyle w:val="ListParagraph"/>
        <w:numPr>
          <w:ilvl w:val="0"/>
          <w:numId w:val="2"/>
        </w:numPr>
        <w:spacing w:after="60"/>
      </w:pPr>
      <w:r>
        <w:rPr>
          <w:rFonts w:ascii="Arial" w:cs="Arial" w:eastAsia="Arial" w:hAnsi="Arial"/>
          <w:color w:val="212121"/>
          <w:sz w:val="20"/>
          <w:szCs w:val="20"/>
        </w:rPr>
        <w:t xml:space="preserve">Click any category row to expand or collapse its sub-categories.</w:t>
      </w:r>
    </w:p>
    <w:p>
      <w:pPr>
        <w:pStyle w:val="ListParagraph"/>
        <w:numPr>
          <w:ilvl w:val="0"/>
          <w:numId w:val="2"/>
        </w:numPr>
        <w:spacing w:after="60"/>
      </w:pPr>
      <w:r>
        <w:rPr>
          <w:rFonts w:ascii="Arial" w:cs="Arial" w:eastAsia="Arial" w:hAnsi="Arial"/>
          <w:color w:val="212121"/>
          <w:sz w:val="20"/>
          <w:szCs w:val="20"/>
        </w:rPr>
        <w:t xml:space="preserve">Use Expand All to open every level of the hierarchy simultaneously.</w:t>
      </w:r>
    </w:p>
    <w:p>
      <w:pPr>
        <w:pStyle w:val="ListParagraph"/>
        <w:numPr>
          <w:ilvl w:val="0"/>
          <w:numId w:val="2"/>
        </w:numPr>
        <w:spacing w:after="60"/>
      </w:pPr>
      <w:r>
        <w:rPr>
          <w:rFonts w:ascii="Arial" w:cs="Arial" w:eastAsia="Arial" w:hAnsi="Arial"/>
          <w:color w:val="212121"/>
          <w:sz w:val="20"/>
          <w:szCs w:val="20"/>
        </w:rPr>
        <w:t xml:space="preserve">Use Collapse All to return to the top-level summary view.</w:t>
      </w:r>
    </w:p>
    <w:p>
      <w:pPr>
        <w:pStyle w:val="ListParagraph"/>
        <w:numPr>
          <w:ilvl w:val="0"/>
          <w:numId w:val="2"/>
        </w:numPr>
        <w:spacing w:after="60"/>
      </w:pPr>
      <w:r>
        <w:rPr>
          <w:rFonts w:ascii="Arial" w:cs="Arial" w:eastAsia="Arial" w:hAnsi="Arial"/>
          <w:color w:val="212121"/>
          <w:sz w:val="20"/>
          <w:szCs w:val="20"/>
        </w:rPr>
        <w:t xml:space="preserve">The KPI summary cards at the top reflect the configured KPI month (typically the second forecast month).</w:t>
      </w:r>
    </w:p>
    <w:p>
      <w:pPr>
        <w:spacing w:after="40"/>
      </w:pPr>
    </w:p>
    <w:p>
      <w:pPr>
        <w:spacing w:after="100" w:before="40"/>
        <w:ind w:left="360"/>
      </w:pPr>
      <w:r>
        <w:rPr>
          <w:rFonts w:ascii="Arial" w:cs="Arial" w:eastAsia="Arial" w:hAnsi="Arial"/>
          <w:b/>
          <w:bCs/>
          <w:color w:val="FFFFFF"/>
          <w:sz w:val="18"/>
          <w:szCs w:val="18"/>
          <w:shd w:fill="1D7044" w:val="clear"/>
        </w:rPr>
        <w:t xml:space="preserve">  TIP  </w:t>
      </w:r>
      <w:r>
        <w:rPr>
          <w:rFonts w:ascii="Arial" w:cs="Arial" w:eastAsia="Arial" w:hAnsi="Arial"/>
          <w:color w:val="1D7044"/>
          <w:sz w:val="18"/>
          <w:szCs w:val="18"/>
        </w:rPr>
        <w:t xml:space="preserve">  A negative Gap value (in red) requires attention. Filter to that category and use the Edit Data page to investigate bench allocation or CPH settings.</w:t>
      </w:r>
    </w:p>
    <w:p>
      <w:pPr>
        <w:pStyle w:val="Heading1"/>
        <w:shd w:fill="1F4E8C" w:val="clear"/>
        <w:spacing w:after="140" w:before="280"/>
        <w:ind w:left="120" w:right="120"/>
      </w:pPr>
      <w:r>
        <w:rPr>
          <w:rFonts w:ascii="Arial" w:cs="Arial" w:eastAsia="Arial" w:hAnsi="Arial"/>
          <w:b/>
          <w:bCs/>
          <w:color w:val="FFFFFF"/>
          <w:sz w:val="28"/>
          <w:szCs w:val="28"/>
        </w:rPr>
        <w:t xml:space="preserve">8. Execution Monitoring</w:t>
      </w:r>
    </w:p>
    <w:p>
      <w:pPr>
        <w:spacing w:after="80"/>
        <w:jc w:val="both"/>
      </w:pPr>
      <w:r>
        <w:rPr>
          <w:rFonts w:ascii="Arial" w:cs="Arial" w:eastAsia="Arial" w:hAnsi="Arial"/>
          <w:color w:val="212121"/>
          <w:sz w:val="20"/>
          <w:szCs w:val="20"/>
        </w:rPr>
        <w:t xml:space="preserve">Execution Monitoring provides real-time and historical visibility into every allocation engine run. Access it after clicking Run Allocation on the Edit Data page, or review it independently for audit purposes.</w:t>
      </w:r>
    </w:p>
    <w:p>
      <w:pPr>
        <w:pStyle w:val="Heading2"/>
        <w:pBdr>
          <w:bottom w:val="single" w:color="2E75B6" w:sz="4" w:space="1"/>
        </w:pBdr>
        <w:spacing w:after="100" w:before="200"/>
      </w:pPr>
      <w:r>
        <w:rPr>
          <w:rFonts w:ascii="Arial" w:cs="Arial" w:eastAsia="Arial" w:hAnsi="Arial"/>
          <w:b/>
          <w:bCs/>
          <w:color w:val="2E75B6"/>
          <w:sz w:val="24"/>
          <w:szCs w:val="24"/>
        </w:rPr>
        <w:t xml:space="preserve">8.1  The Hero Card</w:t>
      </w:r>
    </w:p>
    <w:p>
      <w:pPr>
        <w:spacing w:after="80"/>
        <w:jc w:val="both"/>
      </w:pPr>
      <w:r>
        <w:rPr>
          <w:rFonts w:ascii="Arial" w:cs="Arial" w:eastAsia="Arial" w:hAnsi="Arial"/>
          <w:color w:val="212121"/>
          <w:sz w:val="20"/>
          <w:szCs w:val="20"/>
        </w:rPr>
        <w:t xml:space="preserve">At the top of the Execution Monitoring page, the Hero Card shows the status of the most recent allocation run. It refreshes automatically every five seconds while a run is active.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c>
          <w:tcPr>
            <w:tcW w:type="dxa" w:w="18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Status</w:t>
            </w:r>
          </w:p>
        </w:tc>
        <w:tc>
          <w:tcPr>
            <w:tcW w:type="dxa" w:w="388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Meaning</w:t>
            </w:r>
          </w:p>
        </w:tc>
        <w:tc>
          <w:tcPr>
            <w:tcW w:type="dxa" w:w="368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Recommended Action</w:t>
            </w:r>
          </w:p>
        </w:tc>
      </w:tr>
      <w:tr>
        <w:tc>
          <w:tcPr>
            <w:tcW w:type="dxa" w:w="18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In Progress</w:t>
            </w:r>
          </w:p>
        </w:tc>
        <w:tc>
          <w:tcPr>
            <w:tcW w:type="dxa" w:w="388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Allocation engine is actively running.</w:t>
            </w:r>
          </w:p>
        </w:tc>
        <w:tc>
          <w:tcPr>
            <w:tcW w:type="dxa" w:w="368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Wait — the card refreshes automatically.</w:t>
            </w:r>
          </w:p>
        </w:tc>
      </w:tr>
      <w:tr>
        <w:tc>
          <w:tcPr>
            <w:tcW w:type="dxa" w:w="18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Success</w:t>
            </w:r>
          </w:p>
        </w:tc>
        <w:tc>
          <w:tcPr>
            <w:tcW w:type="dxa" w:w="388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Run completed; all records allocated.</w:t>
            </w:r>
          </w:p>
        </w:tc>
        <w:tc>
          <w:tcPr>
            <w:tcW w:type="dxa" w:w="368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Proceed to review results in Edit Data.</w:t>
            </w:r>
          </w:p>
        </w:tc>
      </w:tr>
      <w:tr>
        <w:tc>
          <w:tcPr>
            <w:tcW w:type="dxa" w:w="18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Partial Success</w:t>
            </w:r>
          </w:p>
        </w:tc>
        <w:tc>
          <w:tcPr>
            <w:tcW w:type="dxa" w:w="388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Run completed; some records unallocated.</w:t>
            </w:r>
          </w:p>
        </w:tc>
        <w:tc>
          <w:tcPr>
            <w:tcW w:type="dxa" w:w="368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Review the execution detail for unallocated rows.</w:t>
            </w:r>
          </w:p>
        </w:tc>
      </w:tr>
      <w:tr>
        <w:tc>
          <w:tcPr>
            <w:tcW w:type="dxa" w:w="18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Failed</w:t>
            </w:r>
          </w:p>
        </w:tc>
        <w:tc>
          <w:tcPr>
            <w:tcW w:type="dxa" w:w="388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Run encountered an error and did not complete.</w:t>
            </w:r>
          </w:p>
        </w:tc>
        <w:tc>
          <w:tcPr>
            <w:tcW w:type="dxa" w:w="368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Note the error type and contact the Delivery Analytics team.</w:t>
            </w:r>
          </w:p>
        </w:tc>
      </w:tr>
    </w:tbl>
    <w:p>
      <w:pPr>
        <w:spacing w:after="40"/>
      </w:pPr>
    </w:p>
    <w:p>
      <w:pPr>
        <w:pStyle w:val="Heading2"/>
        <w:pBdr>
          <w:bottom w:val="single" w:color="2E75B6" w:sz="4" w:space="1"/>
        </w:pBdr>
        <w:spacing w:after="100" w:before="200"/>
      </w:pPr>
      <w:r>
        <w:rPr>
          <w:rFonts w:ascii="Arial" w:cs="Arial" w:eastAsia="Arial" w:hAnsi="Arial"/>
          <w:b/>
          <w:bCs/>
          <w:color w:val="2E75B6"/>
          <w:sz w:val="24"/>
          <w:szCs w:val="24"/>
        </w:rPr>
        <w:t xml:space="preserve">8.2  Filtering and KPI Cards</w:t>
      </w:r>
    </w:p>
    <w:p>
      <w:pPr>
        <w:spacing w:after="80"/>
        <w:jc w:val="both"/>
      </w:pPr>
      <w:r>
        <w:rPr>
          <w:rFonts w:ascii="Arial" w:cs="Arial" w:eastAsia="Arial" w:hAnsi="Arial"/>
          <w:color w:val="212121"/>
          <w:sz w:val="20"/>
          <w:szCs w:val="20"/>
        </w:rPr>
        <w:t xml:space="preserve">Below the Hero Card, filter the execution list by Month, Year, Status, or the username who triggered the run, then click Apply. The KPI cards below the filters summarise the filtered results: total executions, overall success rate, average run duration, and number of failures.</w:t>
      </w:r>
    </w:p>
    <w:p>
      <w:pPr>
        <w:pStyle w:val="Heading2"/>
        <w:pBdr>
          <w:bottom w:val="single" w:color="2E75B6" w:sz="4" w:space="1"/>
        </w:pBdr>
        <w:spacing w:after="100" w:before="200"/>
      </w:pPr>
      <w:r>
        <w:rPr>
          <w:rFonts w:ascii="Arial" w:cs="Arial" w:eastAsia="Arial" w:hAnsi="Arial"/>
          <w:b/>
          <w:bCs/>
          <w:color w:val="2E75B6"/>
          <w:sz w:val="24"/>
          <w:szCs w:val="24"/>
        </w:rPr>
        <w:t xml:space="preserve">8.3  Downloading Execution Reports</w:t>
      </w:r>
    </w:p>
    <w:p>
      <w:pPr>
        <w:spacing w:after="80"/>
        <w:jc w:val="both"/>
      </w:pPr>
      <w:r>
        <w:rPr>
          <w:rFonts w:ascii="Arial" w:cs="Arial" w:eastAsia="Arial" w:hAnsi="Arial"/>
          <w:color w:val="212121"/>
          <w:sz w:val="20"/>
          <w:szCs w:val="20"/>
        </w:rPr>
        <w:t xml:space="preserve">Each completed execution has three downloadable reports accessible by expanding the execution row:</w:t>
      </w:r>
    </w:p>
    <w:p>
      <w:pPr>
        <w:pStyle w:val="ListParagraph"/>
        <w:numPr>
          <w:ilvl w:val="0"/>
          <w:numId w:val="2"/>
        </w:numPr>
        <w:spacing w:after="60"/>
      </w:pPr>
      <w:r>
        <w:rPr>
          <w:rFonts w:ascii="Arial" w:cs="Arial" w:eastAsia="Arial" w:hAnsi="Arial"/>
          <w:color w:val="212121"/>
          <w:sz w:val="20"/>
          <w:szCs w:val="20"/>
        </w:rPr>
        <w:t xml:space="preserve">Bucket Summary — Distribution of agents across demand buckets.</w:t>
      </w:r>
    </w:p>
    <w:p>
      <w:pPr>
        <w:pStyle w:val="ListParagraph"/>
        <w:numPr>
          <w:ilvl w:val="0"/>
          <w:numId w:val="2"/>
        </w:numPr>
        <w:spacing w:after="60"/>
      </w:pPr>
      <w:r>
        <w:rPr>
          <w:rFonts w:ascii="Arial" w:cs="Arial" w:eastAsia="Arial" w:hAnsi="Arial"/>
          <w:color w:val="212121"/>
          <w:sz w:val="20"/>
          <w:szCs w:val="20"/>
        </w:rPr>
        <w:t xml:space="preserve">Bucket After Allocation — State of each bucket following the allocation run.</w:t>
      </w:r>
    </w:p>
    <w:p>
      <w:pPr>
        <w:pStyle w:val="ListParagraph"/>
        <w:numPr>
          <w:ilvl w:val="0"/>
          <w:numId w:val="2"/>
        </w:numPr>
        <w:spacing w:after="60"/>
      </w:pPr>
      <w:r>
        <w:rPr>
          <w:rFonts w:ascii="Arial" w:cs="Arial" w:eastAsia="Arial" w:hAnsi="Arial"/>
          <w:color w:val="212121"/>
          <w:sz w:val="20"/>
          <w:szCs w:val="20"/>
        </w:rPr>
        <w:t xml:space="preserve">Roster Allotment — Agent-level assignment detail per month.</w:t>
      </w:r>
    </w:p>
    <w:p>
      <w:pPr>
        <w:spacing w:after="40"/>
      </w:pPr>
    </w:p>
    <w:p>
      <w:pPr>
        <w:spacing w:after="80"/>
        <w:jc w:val="both"/>
      </w:pPr>
      <w:r>
        <w:rPr>
          <w:rFonts w:ascii="Arial" w:cs="Arial" w:eastAsia="Arial" w:hAnsi="Arial"/>
          <w:color w:val="212121"/>
          <w:sz w:val="20"/>
          <w:szCs w:val="20"/>
        </w:rPr>
        <w:t xml:space="preserve">To download: locate the execution in the list, click the row to expand it, then click the download button next to the desired report type.</w:t>
      </w:r>
    </w:p>
    <w:p>
      <w:pPr>
        <w:pStyle w:val="Heading1"/>
        <w:shd w:fill="1F4E8C" w:val="clear"/>
        <w:spacing w:after="140" w:before="280"/>
        <w:ind w:left="120" w:right="120"/>
      </w:pPr>
      <w:r>
        <w:rPr>
          <w:rFonts w:ascii="Arial" w:cs="Arial" w:eastAsia="Arial" w:hAnsi="Arial"/>
          <w:b/>
          <w:bCs/>
          <w:color w:val="FFFFFF"/>
          <w:sz w:val="28"/>
          <w:szCs w:val="28"/>
        </w:rPr>
        <w:t xml:space="preserve">9. AI Assistant</w:t>
      </w:r>
    </w:p>
    <w:p>
      <w:pPr>
        <w:spacing w:after="80"/>
        <w:jc w:val="both"/>
      </w:pPr>
      <w:r>
        <w:rPr>
          <w:rFonts w:ascii="Arial" w:cs="Arial" w:eastAsia="Arial" w:hAnsi="Arial"/>
          <w:color w:val="212121"/>
          <w:sz w:val="20"/>
          <w:szCs w:val="20"/>
        </w:rPr>
        <w:t xml:space="preserve">An AI Assistant is available on every page of the portal. Click the chat bubble icon at the bottom-right corner of the screen to open it. The assistant is context-aware and can answer questions, retrieve forecast data, and model CPH changes — all through natural language.</w:t>
      </w:r>
    </w:p>
    <w:p>
      <w:pPr>
        <w:pStyle w:val="Heading2"/>
        <w:pBdr>
          <w:bottom w:val="single" w:color="2E75B6" w:sz="4" w:space="1"/>
        </w:pBdr>
        <w:spacing w:after="100" w:before="200"/>
      </w:pPr>
      <w:r>
        <w:rPr>
          <w:rFonts w:ascii="Arial" w:cs="Arial" w:eastAsia="Arial" w:hAnsi="Arial"/>
          <w:b/>
          <w:bCs/>
          <w:color w:val="2E75B6"/>
          <w:sz w:val="24"/>
          <w:szCs w:val="24"/>
        </w:rPr>
        <w:t xml:space="preserve">9.1  Capabilities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Capability</w:t>
            </w:r>
          </w:p>
        </w:tc>
        <w:tc>
          <w:tcPr>
            <w:tcW w:type="dxa" w:w="676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Example Request</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Retrieve forecast data</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Show me the forecast for March 2025.</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Filter forecast data</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Show Amisys Medicaid Domestic for April 2025.</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Show capacity totals</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What are the total FTEs for Medicaid in May 2025?</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List available reports</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What report periods are available?</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Model a CPH change</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Preview the impact of changing CPH to 45 for Claims Processing.</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Show FTE breakdown</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Show FTE details for the selected row.</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Reset filters</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Show all data for March 2025.</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Clear conversation context</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Start a new chat / clear my context.</w:t>
            </w:r>
          </w:p>
        </w:tc>
      </w:tr>
    </w:tbl>
    <w:p>
      <w:pPr>
        <w:spacing w:after="40"/>
      </w:pPr>
    </w:p>
    <w:p>
      <w:pPr>
        <w:pStyle w:val="Heading2"/>
        <w:pBdr>
          <w:bottom w:val="single" w:color="2E75B6" w:sz="4" w:space="1"/>
        </w:pBdr>
        <w:spacing w:after="100" w:before="200"/>
      </w:pPr>
      <w:r>
        <w:rPr>
          <w:rFonts w:ascii="Arial" w:cs="Arial" w:eastAsia="Arial" w:hAnsi="Arial"/>
          <w:b/>
          <w:bCs/>
          <w:color w:val="2E75B6"/>
          <w:sz w:val="24"/>
          <w:szCs w:val="24"/>
        </w:rPr>
        <w:t xml:space="preserve">9.2  Best Practice Prompts</w:t>
      </w:r>
    </w:p>
    <w:p>
      <w:pPr>
        <w:spacing w:after="80"/>
        <w:jc w:val="both"/>
      </w:pPr>
      <w:r>
        <w:rPr>
          <w:rFonts w:ascii="Arial" w:cs="Arial" w:eastAsia="Arial" w:hAnsi="Arial"/>
          <w:color w:val="212121"/>
          <w:sz w:val="20"/>
          <w:szCs w:val="20"/>
        </w:rPr>
        <w:t xml:space="preserve">The assistant performs best when requests include a report month and year. Use the following patterns as a guide.</w:t>
      </w:r>
    </w:p>
    <w:p>
      <w:pPr>
        <w:pStyle w:val="Heading3"/>
        <w:spacing w:after="60" w:before="160"/>
      </w:pPr>
      <w:r>
        <w:rPr>
          <w:rFonts w:ascii="Arial" w:cs="Arial" w:eastAsia="Arial" w:hAnsi="Arial"/>
          <w:b/>
          <w:bCs/>
          <w:color w:val="212121"/>
          <w:sz w:val="22"/>
          <w:szCs w:val="22"/>
        </w:rPr>
        <w:t xml:space="preserve">Retrieving Forecast Data</w:t>
      </w:r>
    </w:p>
    <w:p>
      <w:pPr>
        <w:spacing w:after="30" w:before="60"/>
        <w:ind w:left="360"/>
      </w:pPr>
      <w:r>
        <w:rPr>
          <w:rFonts w:ascii="Arial" w:cs="Arial" w:eastAsia="Arial" w:hAnsi="Arial"/>
          <w:b/>
          <w:bCs/>
          <w:color w:val="595959"/>
          <w:sz w:val="18"/>
          <w:szCs w:val="18"/>
        </w:rPr>
        <w:t xml:space="preserve">Basic query:</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forecast for April 2025.</w:t>
      </w:r>
    </w:p>
    <w:p>
      <w:pPr>
        <w:spacing w:after="30" w:before="60"/>
        <w:ind w:left="360"/>
      </w:pPr>
      <w:r>
        <w:rPr>
          <w:rFonts w:ascii="Arial" w:cs="Arial" w:eastAsia="Arial" w:hAnsi="Arial"/>
          <w:b/>
          <w:bCs/>
          <w:color w:val="595959"/>
          <w:sz w:val="18"/>
          <w:szCs w:val="18"/>
        </w:rPr>
        <w:t xml:space="preserve">With filters:</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Facets Medicare Domestic for April 2025, California only.</w:t>
      </w:r>
    </w:p>
    <w:p>
      <w:pPr>
        <w:spacing w:after="30" w:before="60"/>
        <w:ind w:left="360"/>
      </w:pPr>
      <w:r>
        <w:rPr>
          <w:rFonts w:ascii="Arial" w:cs="Arial" w:eastAsia="Arial" w:hAnsi="Arial"/>
          <w:b/>
          <w:bCs/>
          <w:color w:val="595959"/>
          <w:sz w:val="18"/>
          <w:szCs w:val="18"/>
        </w:rPr>
        <w:t xml:space="preserve">Totals only:</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Give me totals for Amisys in March 2025.</w:t>
      </w:r>
    </w:p>
    <w:p>
      <w:pPr>
        <w:spacing w:after="30" w:before="60"/>
        <w:ind w:left="360"/>
      </w:pPr>
      <w:r>
        <w:rPr>
          <w:rFonts w:ascii="Arial" w:cs="Arial" w:eastAsia="Arial" w:hAnsi="Arial"/>
          <w:b/>
          <w:bCs/>
          <w:color w:val="595959"/>
          <w:sz w:val="18"/>
          <w:szCs w:val="18"/>
        </w:rPr>
        <w:t xml:space="preserve">Specific columns:</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May-25 and Jun-25 columns for Medicaid, April 2025 report.</w:t>
      </w:r>
    </w:p>
    <w:p>
      <w:pPr>
        <w:pStyle w:val="Heading3"/>
        <w:spacing w:after="60" w:before="160"/>
      </w:pPr>
      <w:r>
        <w:rPr>
          <w:rFonts w:ascii="Arial" w:cs="Arial" w:eastAsia="Arial" w:hAnsi="Arial"/>
          <w:b/>
          <w:bCs/>
          <w:color w:val="212121"/>
          <w:sz w:val="22"/>
          <w:szCs w:val="22"/>
        </w:rPr>
        <w:t xml:space="preserve">Capacity and Gap Analysis</w:t>
      </w:r>
    </w:p>
    <w:p>
      <w:pPr>
        <w:spacing w:after="30" w:before="60"/>
        <w:ind w:left="360"/>
      </w:pPr>
      <w:r>
        <w:rPr>
          <w:rFonts w:ascii="Arial" w:cs="Arial" w:eastAsia="Arial" w:hAnsi="Arial"/>
          <w:b/>
          <w:bCs/>
          <w:color w:val="595959"/>
          <w:sz w:val="18"/>
          <w:szCs w:val="18"/>
        </w:rPr>
        <w:t xml:space="preserve">Gap check:</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What are the capacity gaps for Medicaid in April 2025?</w:t>
      </w:r>
    </w:p>
    <w:p>
      <w:pPr>
        <w:spacing w:after="30" w:before="60"/>
        <w:ind w:left="360"/>
      </w:pPr>
      <w:r>
        <w:rPr>
          <w:rFonts w:ascii="Arial" w:cs="Arial" w:eastAsia="Arial" w:hAnsi="Arial"/>
          <w:b/>
          <w:bCs/>
          <w:color w:val="595959"/>
          <w:sz w:val="18"/>
          <w:szCs w:val="18"/>
        </w:rPr>
        <w:t xml:space="preserve">State-level:</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gaps for Texas in the March 2025 report.</w:t>
      </w:r>
    </w:p>
    <w:p>
      <w:pPr>
        <w:spacing w:after="30" w:before="60"/>
        <w:ind w:left="360"/>
      </w:pPr>
      <w:r>
        <w:rPr>
          <w:rFonts w:ascii="Arial" w:cs="Arial" w:eastAsia="Arial" w:hAnsi="Arial"/>
          <w:b/>
          <w:bCs/>
          <w:color w:val="595959"/>
          <w:sz w:val="18"/>
          <w:szCs w:val="18"/>
        </w:rPr>
        <w:t xml:space="preserve">Shortfall focus:</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Which LOBs have a negative gap for May 2025?</w:t>
      </w:r>
    </w:p>
    <w:p>
      <w:pPr>
        <w:pStyle w:val="Heading3"/>
        <w:spacing w:after="60" w:before="160"/>
      </w:pPr>
      <w:r>
        <w:rPr>
          <w:rFonts w:ascii="Arial" w:cs="Arial" w:eastAsia="Arial" w:hAnsi="Arial"/>
          <w:b/>
          <w:bCs/>
          <w:color w:val="212121"/>
          <w:sz w:val="22"/>
          <w:szCs w:val="22"/>
        </w:rPr>
        <w:t xml:space="preserve">CPH Modelling</w:t>
      </w:r>
    </w:p>
    <w:p>
      <w:pPr>
        <w:spacing w:after="30" w:before="60"/>
        <w:ind w:left="360"/>
      </w:pPr>
      <w:r>
        <w:rPr>
          <w:rFonts w:ascii="Arial" w:cs="Arial" w:eastAsia="Arial" w:hAnsi="Arial"/>
          <w:b/>
          <w:bCs/>
          <w:color w:val="595959"/>
          <w:sz w:val="18"/>
          <w:szCs w:val="18"/>
        </w:rPr>
        <w:t xml:space="preserve">Preview a change:</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Preview the impact of setting CPH to 50 for Claims Processing, Amisys, April 2025.</w:t>
      </w:r>
    </w:p>
    <w:p>
      <w:pPr>
        <w:spacing w:after="30" w:before="60"/>
        <w:ind w:left="360"/>
      </w:pPr>
      <w:r>
        <w:rPr>
          <w:rFonts w:ascii="Arial" w:cs="Arial" w:eastAsia="Arial" w:hAnsi="Arial"/>
          <w:b/>
          <w:bCs/>
          <w:color w:val="595959"/>
          <w:sz w:val="18"/>
          <w:szCs w:val="18"/>
        </w:rPr>
        <w:t xml:space="preserve">Increase by amount:</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what happens if CPH increases by 5 for Facets Domestic.</w:t>
      </w:r>
    </w:p>
    <w:p>
      <w:pPr>
        <w:pStyle w:val="Heading3"/>
        <w:spacing w:after="60" w:before="160"/>
      </w:pPr>
      <w:r>
        <w:rPr>
          <w:rFonts w:ascii="Arial" w:cs="Arial" w:eastAsia="Arial" w:hAnsi="Arial"/>
          <w:b/>
          <w:bCs/>
          <w:color w:val="212121"/>
          <w:sz w:val="22"/>
          <w:szCs w:val="22"/>
        </w:rPr>
        <w:t xml:space="preserve">Context and Filter Management</w:t>
      </w:r>
    </w:p>
    <w:p>
      <w:pPr>
        <w:spacing w:after="30" w:before="60"/>
        <w:ind w:left="360"/>
      </w:pPr>
      <w:r>
        <w:rPr>
          <w:rFonts w:ascii="Arial" w:cs="Arial" w:eastAsia="Arial" w:hAnsi="Arial"/>
          <w:b/>
          <w:bCs/>
          <w:color w:val="595959"/>
          <w:sz w:val="18"/>
          <w:szCs w:val="18"/>
        </w:rPr>
        <w:t xml:space="preserve">Reset filters, keep period:</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all data for March 2025.</w:t>
      </w:r>
    </w:p>
    <w:p>
      <w:pPr>
        <w:spacing w:after="30" w:before="60"/>
        <w:ind w:left="360"/>
      </w:pPr>
      <w:r>
        <w:rPr>
          <w:rFonts w:ascii="Arial" w:cs="Arial" w:eastAsia="Arial" w:hAnsi="Arial"/>
          <w:b/>
          <w:bCs/>
          <w:color w:val="595959"/>
          <w:sz w:val="18"/>
          <w:szCs w:val="18"/>
        </w:rPr>
        <w:t xml:space="preserve">Reset specific filter:</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all platforms for the current report.</w:t>
      </w:r>
    </w:p>
    <w:p>
      <w:pPr>
        <w:spacing w:after="30" w:before="60"/>
        <w:ind w:left="360"/>
      </w:pPr>
      <w:r>
        <w:rPr>
          <w:rFonts w:ascii="Arial" w:cs="Arial" w:eastAsia="Arial" w:hAnsi="Arial"/>
          <w:b/>
          <w:bCs/>
          <w:color w:val="595959"/>
          <w:sz w:val="18"/>
          <w:szCs w:val="18"/>
        </w:rPr>
        <w:t xml:space="preserve">Full context reset:</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Clear my context and start fresh.</w:t>
      </w:r>
    </w:p>
    <w:p>
      <w:pPr>
        <w:pStyle w:val="Heading3"/>
        <w:spacing w:after="60" w:before="160"/>
      </w:pPr>
      <w:r>
        <w:rPr>
          <w:rFonts w:ascii="Arial" w:cs="Arial" w:eastAsia="Arial" w:hAnsi="Arial"/>
          <w:b/>
          <w:bCs/>
          <w:color w:val="212121"/>
          <w:sz w:val="22"/>
          <w:szCs w:val="22"/>
        </w:rPr>
        <w:t xml:space="preserve">Discovery</w:t>
      </w:r>
    </w:p>
    <w:p>
      <w:pPr>
        <w:spacing w:after="30" w:before="60"/>
        <w:ind w:left="360"/>
      </w:pPr>
      <w:r>
        <w:rPr>
          <w:rFonts w:ascii="Arial" w:cs="Arial" w:eastAsia="Arial" w:hAnsi="Arial"/>
          <w:b/>
          <w:bCs/>
          <w:color w:val="595959"/>
          <w:sz w:val="18"/>
          <w:szCs w:val="18"/>
        </w:rPr>
        <w:t xml:space="preserve">Check availability:</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What forecast reports are available?</w:t>
      </w:r>
    </w:p>
    <w:p>
      <w:pPr>
        <w:spacing w:after="30" w:before="60"/>
        <w:ind w:left="360"/>
      </w:pPr>
      <w:r>
        <w:rPr>
          <w:rFonts w:ascii="Arial" w:cs="Arial" w:eastAsia="Arial" w:hAnsi="Arial"/>
          <w:b/>
          <w:bCs/>
          <w:color w:val="595959"/>
          <w:sz w:val="18"/>
          <w:szCs w:val="18"/>
        </w:rPr>
        <w:t xml:space="preserve">List periods:</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What months and years do we have data for?</w:t>
      </w:r>
    </w:p>
    <w:p>
      <w:pPr>
        <w:pStyle w:val="Heading2"/>
        <w:pBdr>
          <w:bottom w:val="single" w:color="2E75B6" w:sz="4" w:space="1"/>
        </w:pBdr>
        <w:spacing w:after="100" w:before="200"/>
      </w:pPr>
      <w:r>
        <w:rPr>
          <w:rFonts w:ascii="Arial" w:cs="Arial" w:eastAsia="Arial" w:hAnsi="Arial"/>
          <w:b/>
          <w:bCs/>
          <w:color w:val="2E75B6"/>
          <w:sz w:val="24"/>
          <w:szCs w:val="24"/>
        </w:rPr>
        <w:t xml:space="preserve">9.3  Workflow Prompts</w:t>
      </w:r>
    </w:p>
    <w:p>
      <w:pPr>
        <w:spacing w:after="80"/>
        <w:jc w:val="both"/>
      </w:pPr>
      <w:r>
        <w:rPr>
          <w:rFonts w:ascii="Arial" w:cs="Arial" w:eastAsia="Arial" w:hAnsi="Arial"/>
          <w:color w:val="212121"/>
          <w:sz w:val="20"/>
          <w:szCs w:val="20"/>
        </w:rPr>
        <w:t xml:space="preserve">Use these multi-step sequences for common planning workflows.</w:t>
      </w:r>
    </w:p>
    <w:p>
      <w:pPr>
        <w:pStyle w:val="Heading3"/>
        <w:spacing w:after="60" w:before="160"/>
      </w:pPr>
      <w:r>
        <w:rPr>
          <w:rFonts w:ascii="Arial" w:cs="Arial" w:eastAsia="Arial" w:hAnsi="Arial"/>
          <w:b/>
          <w:bCs/>
          <w:color w:val="212121"/>
          <w:sz w:val="22"/>
          <w:szCs w:val="22"/>
        </w:rPr>
        <w:t xml:space="preserve">Workflow 1 — Monthly Capacity Review</w:t>
      </w:r>
    </w:p>
    <w:p>
      <w:pPr>
        <w:spacing w:after="80"/>
        <w:jc w:val="both"/>
      </w:pPr>
      <w:r>
        <w:rPr>
          <w:rFonts w:ascii="Arial" w:cs="Arial" w:eastAsia="Arial" w:hAnsi="Arial"/>
          <w:color w:val="212121"/>
          <w:sz w:val="20"/>
          <w:szCs w:val="20"/>
        </w:rPr>
        <w:t xml:space="preserve">Use at the start of each planning cycle to get a complete picture of the upcoming period.</w:t>
      </w:r>
    </w:p>
    <w:p>
      <w:pPr>
        <w:spacing w:after="30" w:before="60"/>
        <w:ind w:left="360"/>
      </w:pPr>
      <w:r>
        <w:rPr>
          <w:rFonts w:ascii="Arial" w:cs="Arial" w:eastAsia="Arial" w:hAnsi="Arial"/>
          <w:b/>
          <w:bCs/>
          <w:color w:val="595959"/>
          <w:sz w:val="18"/>
          <w:szCs w:val="18"/>
        </w:rPr>
        <w:t xml:space="preserve">Step 1 — Check what data is loaded:</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What forecast reports are available?</w:t>
      </w:r>
    </w:p>
    <w:p>
      <w:pPr>
        <w:spacing w:after="30" w:before="60"/>
        <w:ind w:left="360"/>
      </w:pPr>
      <w:r>
        <w:rPr>
          <w:rFonts w:ascii="Arial" w:cs="Arial" w:eastAsia="Arial" w:hAnsi="Arial"/>
          <w:b/>
          <w:bCs/>
          <w:color w:val="595959"/>
          <w:sz w:val="18"/>
          <w:szCs w:val="18"/>
        </w:rPr>
        <w:t xml:space="preserve">Step 2 — Pull the full picture:</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all data for [Month] [Year].</w:t>
      </w:r>
    </w:p>
    <w:p>
      <w:pPr>
        <w:spacing w:after="30" w:before="60"/>
        <w:ind w:left="360"/>
      </w:pPr>
      <w:r>
        <w:rPr>
          <w:rFonts w:ascii="Arial" w:cs="Arial" w:eastAsia="Arial" w:hAnsi="Arial"/>
          <w:b/>
          <w:bCs/>
          <w:color w:val="595959"/>
          <w:sz w:val="18"/>
          <w:szCs w:val="18"/>
        </w:rPr>
        <w:t xml:space="preserve">Step 3 — Focus on gaps:</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Which LOBs have a negative capacity gap?</w:t>
      </w:r>
    </w:p>
    <w:p>
      <w:pPr>
        <w:spacing w:after="30" w:before="60"/>
        <w:ind w:left="360"/>
      </w:pPr>
      <w:r>
        <w:rPr>
          <w:rFonts w:ascii="Arial" w:cs="Arial" w:eastAsia="Arial" w:hAnsi="Arial"/>
          <w:b/>
          <w:bCs/>
          <w:color w:val="595959"/>
          <w:sz w:val="18"/>
          <w:szCs w:val="18"/>
        </w:rPr>
        <w:t xml:space="preserve">Step 4 — Drill into a problem LOB:</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Amisys Medicaid Domestic for [Month] [Year] — all states.</w:t>
      </w:r>
    </w:p>
    <w:p>
      <w:pPr>
        <w:pStyle w:val="Heading3"/>
        <w:spacing w:after="60" w:before="160"/>
      </w:pPr>
      <w:r>
        <w:rPr>
          <w:rFonts w:ascii="Arial" w:cs="Arial" w:eastAsia="Arial" w:hAnsi="Arial"/>
          <w:b/>
          <w:bCs/>
          <w:color w:val="212121"/>
          <w:sz w:val="22"/>
          <w:szCs w:val="22"/>
        </w:rPr>
        <w:t xml:space="preserve">Workflow 2 — CPH Sensitivity Analysis</w:t>
      </w:r>
    </w:p>
    <w:p>
      <w:pPr>
        <w:spacing w:after="80"/>
        <w:jc w:val="both"/>
      </w:pPr>
      <w:r>
        <w:rPr>
          <w:rFonts w:ascii="Arial" w:cs="Arial" w:eastAsia="Arial" w:hAnsi="Arial"/>
          <w:color w:val="212121"/>
          <w:sz w:val="20"/>
          <w:szCs w:val="20"/>
        </w:rPr>
        <w:t xml:space="preserve">Use when evaluating whether a throughput improvement can close a capacity gap without adding headcount.</w:t>
      </w:r>
    </w:p>
    <w:p>
      <w:pPr>
        <w:spacing w:after="30" w:before="60"/>
        <w:ind w:left="360"/>
      </w:pPr>
      <w:r>
        <w:rPr>
          <w:rFonts w:ascii="Arial" w:cs="Arial" w:eastAsia="Arial" w:hAnsi="Arial"/>
          <w:b/>
          <w:bCs/>
          <w:color w:val="595959"/>
          <w:sz w:val="18"/>
          <w:szCs w:val="18"/>
        </w:rPr>
        <w:t xml:space="preserve">Step 1 — Establish baseline:</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totals for Facets Medicare for March 2025.</w:t>
      </w:r>
    </w:p>
    <w:p>
      <w:pPr>
        <w:spacing w:after="30" w:before="60"/>
        <w:ind w:left="360"/>
      </w:pPr>
      <w:r>
        <w:rPr>
          <w:rFonts w:ascii="Arial" w:cs="Arial" w:eastAsia="Arial" w:hAnsi="Arial"/>
          <w:b/>
          <w:bCs/>
          <w:color w:val="595959"/>
          <w:sz w:val="18"/>
          <w:szCs w:val="18"/>
        </w:rPr>
        <w:t xml:space="preserve">Step 2 — Model an improvement:</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Preview the impact of CPH = 48 for Claims Processing, Facets, March 2025.</w:t>
      </w:r>
    </w:p>
    <w:p>
      <w:pPr>
        <w:spacing w:after="30" w:before="60"/>
        <w:ind w:left="360"/>
      </w:pPr>
      <w:r>
        <w:rPr>
          <w:rFonts w:ascii="Arial" w:cs="Arial" w:eastAsia="Arial" w:hAnsi="Arial"/>
          <w:b/>
          <w:bCs/>
          <w:color w:val="595959"/>
          <w:sz w:val="18"/>
          <w:szCs w:val="18"/>
        </w:rPr>
        <w:t xml:space="preserve">Step 3 — Iterate:</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What if CPH is 52?</w:t>
      </w:r>
    </w:p>
    <w:p>
      <w:pPr>
        <w:spacing w:after="30" w:before="60"/>
        <w:ind w:left="360"/>
      </w:pPr>
      <w:r>
        <w:rPr>
          <w:rFonts w:ascii="Arial" w:cs="Arial" w:eastAsia="Arial" w:hAnsi="Arial"/>
          <w:b/>
          <w:bCs/>
          <w:color w:val="595959"/>
          <w:sz w:val="18"/>
          <w:szCs w:val="18"/>
        </w:rPr>
        <w:t xml:space="preserve">Step 4 — Apply when satisfied:</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Update CPH to 48 for Claims Processing, Facets.</w:t>
      </w:r>
    </w:p>
    <w:p>
      <w:pPr>
        <w:pStyle w:val="Heading3"/>
        <w:spacing w:after="60" w:before="160"/>
      </w:pPr>
      <w:r>
        <w:rPr>
          <w:rFonts w:ascii="Arial" w:cs="Arial" w:eastAsia="Arial" w:hAnsi="Arial"/>
          <w:b/>
          <w:bCs/>
          <w:color w:val="212121"/>
          <w:sz w:val="22"/>
          <w:szCs w:val="22"/>
        </w:rPr>
        <w:t xml:space="preserve">Workflow 3 — State-Level Staffing Check</w:t>
      </w:r>
    </w:p>
    <w:p>
      <w:pPr>
        <w:spacing w:after="80"/>
        <w:jc w:val="both"/>
      </w:pPr>
      <w:r>
        <w:rPr>
          <w:rFonts w:ascii="Arial" w:cs="Arial" w:eastAsia="Arial" w:hAnsi="Arial"/>
          <w:color w:val="212121"/>
          <w:sz w:val="20"/>
          <w:szCs w:val="20"/>
        </w:rPr>
        <w:t xml:space="preserve">Use when a specific state programme requires focused attention.</w:t>
      </w:r>
    </w:p>
    <w:p>
      <w:pPr>
        <w:spacing w:after="30" w:before="60"/>
        <w:ind w:left="360"/>
      </w:pPr>
      <w:r>
        <w:rPr>
          <w:rFonts w:ascii="Arial" w:cs="Arial" w:eastAsia="Arial" w:hAnsi="Arial"/>
          <w:b/>
          <w:bCs/>
          <w:color w:val="595959"/>
          <w:sz w:val="18"/>
          <w:szCs w:val="18"/>
        </w:rPr>
        <w:t xml:space="preserve">Step 1 — State focus:</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forecast for California, April 2025.</w:t>
      </w:r>
    </w:p>
    <w:p>
      <w:pPr>
        <w:spacing w:after="30" w:before="60"/>
        <w:ind w:left="360"/>
      </w:pPr>
      <w:r>
        <w:rPr>
          <w:rFonts w:ascii="Arial" w:cs="Arial" w:eastAsia="Arial" w:hAnsi="Arial"/>
          <w:b/>
          <w:bCs/>
          <w:color w:val="595959"/>
          <w:sz w:val="18"/>
          <w:szCs w:val="18"/>
        </w:rPr>
        <w:t xml:space="preserve">Step 2 — Expand scope:</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Now show Texas for the same period.</w:t>
      </w:r>
    </w:p>
    <w:p>
      <w:pPr>
        <w:spacing w:after="30" w:before="60"/>
        <w:ind w:left="360"/>
      </w:pPr>
      <w:r>
        <w:rPr>
          <w:rFonts w:ascii="Arial" w:cs="Arial" w:eastAsia="Arial" w:hAnsi="Arial"/>
          <w:b/>
          <w:bCs/>
          <w:color w:val="595959"/>
          <w:sz w:val="18"/>
          <w:szCs w:val="18"/>
        </w:rPr>
        <w:t xml:space="preserve">Step 3 — Reset to all states:</w:t>
      </w:r>
    </w:p>
    <w:p>
      <w:pPr>
        <w:pBdr>
          <w:top w:val="single" w:color="C9D9EF" w:sz="2"/>
          <w:bottom w:val="single" w:color="C9D9EF" w:sz="2"/>
        </w:pBdr>
        <w:shd w:fill="EEF4FB" w:val="clear"/>
        <w:spacing w:after="100" w:before="0"/>
        <w:ind w:left="500" w:right="360"/>
      </w:pPr>
      <w:r>
        <w:rPr>
          <w:rFonts w:ascii="Courier New" w:cs="Courier New" w:eastAsia="Courier New" w:hAnsi="Courier New"/>
          <w:i/>
          <w:iCs/>
          <w:color w:val="1F4E8C"/>
          <w:sz w:val="18"/>
          <w:szCs w:val="18"/>
        </w:rPr>
        <w:t xml:space="preserve">▶  Show all data for April 2025.</w:t>
      </w:r>
    </w:p>
    <w:p>
      <w:pPr>
        <w:pStyle w:val="Heading2"/>
        <w:pBdr>
          <w:bottom w:val="single" w:color="2E75B6" w:sz="4" w:space="1"/>
        </w:pBdr>
        <w:spacing w:after="100" w:before="200"/>
      </w:pPr>
      <w:r>
        <w:rPr>
          <w:rFonts w:ascii="Arial" w:cs="Arial" w:eastAsia="Arial" w:hAnsi="Arial"/>
          <w:b/>
          <w:bCs/>
          <w:color w:val="2E75B6"/>
          <w:sz w:val="24"/>
          <w:szCs w:val="24"/>
        </w:rPr>
        <w:t xml:space="preserve">9.4  Tips for Effective Use</w:t>
      </w:r>
    </w:p>
    <w:p>
      <w:pPr>
        <w:pStyle w:val="ListParagraph"/>
        <w:numPr>
          <w:ilvl w:val="0"/>
          <w:numId w:val="2"/>
        </w:numPr>
        <w:spacing w:after="60"/>
      </w:pPr>
      <w:r>
        <w:rPr>
          <w:rFonts w:ascii="Arial" w:cs="Arial" w:eastAsia="Arial" w:hAnsi="Arial"/>
          <w:color w:val="212121"/>
          <w:sz w:val="20"/>
          <w:szCs w:val="20"/>
        </w:rPr>
        <w:t xml:space="preserve">Always include a month and year in data queries — the assistant cannot infer the period without them.</w:t>
      </w:r>
    </w:p>
    <w:p>
      <w:pPr>
        <w:pStyle w:val="ListParagraph"/>
        <w:numPr>
          <w:ilvl w:val="0"/>
          <w:numId w:val="2"/>
        </w:numPr>
        <w:spacing w:after="60"/>
      </w:pPr>
      <w:r>
        <w:rPr>
          <w:rFonts w:ascii="Arial" w:cs="Arial" w:eastAsia="Arial" w:hAnsi="Arial"/>
          <w:color w:val="212121"/>
          <w:sz w:val="20"/>
          <w:szCs w:val="20"/>
        </w:rPr>
        <w:t xml:space="preserve">Use 'clear context' or the + button in the chat header to start a completely fresh session when switching to a new report period.</w:t>
      </w:r>
    </w:p>
    <w:p>
      <w:pPr>
        <w:pStyle w:val="ListParagraph"/>
        <w:numPr>
          <w:ilvl w:val="0"/>
          <w:numId w:val="2"/>
        </w:numPr>
        <w:spacing w:after="60"/>
      </w:pPr>
      <w:r>
        <w:rPr>
          <w:rFonts w:ascii="Arial" w:cs="Arial" w:eastAsia="Arial" w:hAnsi="Arial"/>
          <w:color w:val="212121"/>
          <w:sz w:val="20"/>
          <w:szCs w:val="20"/>
        </w:rPr>
        <w:t xml:space="preserve">Use 'reset filters' or 'show all data for [Month] [Year]' to clear individual filters while keeping the active report period.</w:t>
      </w:r>
    </w:p>
    <w:p>
      <w:pPr>
        <w:pStyle w:val="ListParagraph"/>
        <w:numPr>
          <w:ilvl w:val="0"/>
          <w:numId w:val="2"/>
        </w:numPr>
        <w:spacing w:after="60"/>
      </w:pPr>
      <w:r>
        <w:rPr>
          <w:rFonts w:ascii="Arial" w:cs="Arial" w:eastAsia="Arial" w:hAnsi="Arial"/>
          <w:color w:val="212121"/>
          <w:sz w:val="20"/>
          <w:szCs w:val="20"/>
        </w:rPr>
        <w:t xml:space="preserve">The assistant remembers your active filters within a conversation — you do not need to repeat them on follow-up questions.</w:t>
      </w:r>
    </w:p>
    <w:p>
      <w:pPr>
        <w:pStyle w:val="ListParagraph"/>
        <w:numPr>
          <w:ilvl w:val="0"/>
          <w:numId w:val="2"/>
        </w:numPr>
        <w:spacing w:after="60"/>
      </w:pPr>
      <w:r>
        <w:rPr>
          <w:rFonts w:ascii="Arial" w:cs="Arial" w:eastAsia="Arial" w:hAnsi="Arial"/>
          <w:color w:val="212121"/>
          <w:sz w:val="20"/>
          <w:szCs w:val="20"/>
        </w:rPr>
        <w:t xml:space="preserve">Spell out month names in full (e.g. 'April 2025' rather than '4/25') for best recognition accuracy.</w:t>
      </w:r>
    </w:p>
    <w:p>
      <w:pPr>
        <w:pStyle w:val="Heading1"/>
        <w:shd w:fill="1F4E8C" w:val="clear"/>
        <w:spacing w:after="140" w:before="280"/>
        <w:ind w:left="120" w:right="120"/>
      </w:pPr>
      <w:r>
        <w:rPr>
          <w:rFonts w:ascii="Arial" w:cs="Arial" w:eastAsia="Arial" w:hAnsi="Arial"/>
          <w:b/>
          <w:bCs/>
          <w:color w:val="FFFFFF"/>
          <w:sz w:val="28"/>
          <w:szCs w:val="28"/>
        </w:rPr>
        <w:t xml:space="preserve">10. Typical Planning Workflows</w:t>
      </w:r>
    </w:p>
    <w:p>
      <w:pPr>
        <w:spacing w:after="80"/>
        <w:jc w:val="both"/>
      </w:pPr>
      <w:r>
        <w:rPr>
          <w:rFonts w:ascii="Arial" w:cs="Arial" w:eastAsia="Arial" w:hAnsi="Arial"/>
          <w:color w:val="212121"/>
          <w:sz w:val="20"/>
          <w:szCs w:val="20"/>
        </w:rPr>
        <w:t xml:space="preserve">This section describes the end-to-end steps for the most common tasks performed in the portal.</w:t>
      </w:r>
    </w:p>
    <w:p>
      <w:pPr>
        <w:pStyle w:val="Heading2"/>
        <w:pBdr>
          <w:bottom w:val="single" w:color="2E75B6" w:sz="4" w:space="1"/>
        </w:pBdr>
        <w:spacing w:after="100" w:before="200"/>
      </w:pPr>
      <w:r>
        <w:rPr>
          <w:rFonts w:ascii="Arial" w:cs="Arial" w:eastAsia="Arial" w:hAnsi="Arial"/>
          <w:b/>
          <w:bCs/>
          <w:color w:val="2E75B6"/>
          <w:sz w:val="24"/>
          <w:szCs w:val="24"/>
        </w:rPr>
        <w:t xml:space="preserve">10.1  Monthly Data Refresh</w:t>
      </w:r>
    </w:p>
    <w:p>
      <w:pPr>
        <w:spacing w:after="80"/>
        <w:jc w:val="both"/>
      </w:pPr>
      <w:r>
        <w:rPr>
          <w:rFonts w:ascii="Arial" w:cs="Arial" w:eastAsia="Arial" w:hAnsi="Arial"/>
          <w:color w:val="212121"/>
          <w:sz w:val="20"/>
          <w:szCs w:val="20"/>
        </w:rPr>
        <w:t xml:space="preserve">Performed at the start of each planning cycle when new source files are received from the client.</w:t>
      </w:r>
    </w:p>
    <w:p>
      <w:pPr>
        <w:spacing w:after="40"/>
      </w:pPr>
    </w:p>
    <w:p>
      <w:pPr>
        <w:pStyle w:val="ListParagraph"/>
        <w:numPr>
          <w:ilvl w:val="0"/>
          <w:numId w:val="3"/>
        </w:numPr>
        <w:spacing w:after="60"/>
      </w:pPr>
      <w:r>
        <w:rPr>
          <w:rFonts w:ascii="Arial" w:cs="Arial" w:eastAsia="Arial" w:hAnsi="Arial"/>
          <w:color w:val="212121"/>
          <w:sz w:val="20"/>
          <w:szCs w:val="20"/>
        </w:rPr>
        <w:t xml:space="preserve">In the sidebar, click Data Upload Hub.</w:t>
      </w:r>
    </w:p>
    <w:p>
      <w:pPr>
        <w:pStyle w:val="ListParagraph"/>
        <w:numPr>
          <w:ilvl w:val="0"/>
          <w:numId w:val="3"/>
        </w:numPr>
        <w:spacing w:after="60"/>
      </w:pPr>
      <w:r>
        <w:rPr>
          <w:rFonts w:ascii="Arial" w:cs="Arial" w:eastAsia="Arial" w:hAnsi="Arial"/>
          <w:color w:val="212121"/>
          <w:sz w:val="20"/>
          <w:szCs w:val="20"/>
        </w:rPr>
        <w:t xml:space="preserve">Upload the new Forecast File and wait for the progress bar to reach 100%.</w:t>
      </w:r>
    </w:p>
    <w:p>
      <w:pPr>
        <w:pStyle w:val="ListParagraph"/>
        <w:numPr>
          <w:ilvl w:val="0"/>
          <w:numId w:val="3"/>
        </w:numPr>
        <w:spacing w:after="60"/>
      </w:pPr>
      <w:r>
        <w:rPr>
          <w:rFonts w:ascii="Arial" w:cs="Arial" w:eastAsia="Arial" w:hAnsi="Arial"/>
          <w:color w:val="212121"/>
          <w:sz w:val="20"/>
          <w:szCs w:val="20"/>
        </w:rPr>
        <w:t xml:space="preserve">Upload the new Roster File and wait for completion.</w:t>
      </w:r>
    </w:p>
    <w:p>
      <w:pPr>
        <w:pStyle w:val="ListParagraph"/>
        <w:numPr>
          <w:ilvl w:val="0"/>
          <w:numId w:val="3"/>
        </w:numPr>
        <w:spacing w:after="60"/>
      </w:pPr>
      <w:r>
        <w:rPr>
          <w:rFonts w:ascii="Arial" w:cs="Arial" w:eastAsia="Arial" w:hAnsi="Arial"/>
          <w:color w:val="212121"/>
          <w:sz w:val="20"/>
          <w:szCs w:val="20"/>
        </w:rPr>
        <w:t xml:space="preserve">Navigate to Configuration → Month Configuration and confirm that capacity parameters exist for the upcoming months. Add or edit entries as needed.</w:t>
      </w:r>
    </w:p>
    <w:p>
      <w:pPr>
        <w:pStyle w:val="ListParagraph"/>
        <w:numPr>
          <w:ilvl w:val="0"/>
          <w:numId w:val="3"/>
        </w:numPr>
        <w:spacing w:after="60"/>
      </w:pPr>
      <w:r>
        <w:rPr>
          <w:rFonts w:ascii="Arial" w:cs="Arial" w:eastAsia="Arial" w:hAnsi="Arial"/>
          <w:color w:val="212121"/>
          <w:sz w:val="20"/>
          <w:szCs w:val="20"/>
        </w:rPr>
        <w:t xml:space="preserve">Navigate to Edit Data → Bench Allocation. Select the new report month and click Run Allocation.</w:t>
      </w:r>
    </w:p>
    <w:p>
      <w:pPr>
        <w:pStyle w:val="ListParagraph"/>
        <w:numPr>
          <w:ilvl w:val="0"/>
          <w:numId w:val="3"/>
        </w:numPr>
        <w:spacing w:after="60"/>
      </w:pPr>
      <w:r>
        <w:rPr>
          <w:rFonts w:ascii="Arial" w:cs="Arial" w:eastAsia="Arial" w:hAnsi="Arial"/>
          <w:color w:val="212121"/>
          <w:sz w:val="20"/>
          <w:szCs w:val="20"/>
        </w:rPr>
        <w:t xml:space="preserve">Review the preview, then click Apply Changes to commit.</w:t>
      </w:r>
    </w:p>
    <w:p>
      <w:pPr>
        <w:pStyle w:val="ListParagraph"/>
        <w:numPr>
          <w:ilvl w:val="0"/>
          <w:numId w:val="3"/>
        </w:numPr>
        <w:spacing w:after="60"/>
      </w:pPr>
      <w:r>
        <w:rPr>
          <w:rFonts w:ascii="Arial" w:cs="Arial" w:eastAsia="Arial" w:hAnsi="Arial"/>
          <w:color w:val="212121"/>
          <w:sz w:val="20"/>
          <w:szCs w:val="20"/>
        </w:rPr>
        <w:t xml:space="preserve">Navigate to Executive View to verify the dashboard reflects the updated figures.</w:t>
      </w:r>
    </w:p>
    <w:p>
      <w:pPr>
        <w:pStyle w:val="Heading2"/>
        <w:pBdr>
          <w:bottom w:val="single" w:color="2E75B6" w:sz="4" w:space="1"/>
        </w:pBdr>
        <w:spacing w:after="100" w:before="200"/>
      </w:pPr>
      <w:r>
        <w:rPr>
          <w:rFonts w:ascii="Arial" w:cs="Arial" w:eastAsia="Arial" w:hAnsi="Arial"/>
          <w:b/>
          <w:bCs/>
          <w:color w:val="2E75B6"/>
          <w:sz w:val="24"/>
          <w:szCs w:val="24"/>
        </w:rPr>
        <w:t xml:space="preserve">10.2  Adjusting Allocation After Review</w:t>
      </w:r>
    </w:p>
    <w:p>
      <w:pPr>
        <w:spacing w:after="80"/>
        <w:jc w:val="both"/>
      </w:pPr>
      <w:r>
        <w:rPr>
          <w:rFonts w:ascii="Arial" w:cs="Arial" w:eastAsia="Arial" w:hAnsi="Arial"/>
          <w:color w:val="212121"/>
          <w:sz w:val="20"/>
          <w:szCs w:val="20"/>
        </w:rPr>
        <w:t xml:space="preserve">Performed when a manager review identifies gaps that can be addressed by reallocating bench agents or adjusting throughput assumptions.</w:t>
      </w:r>
    </w:p>
    <w:p>
      <w:pPr>
        <w:spacing w:after="40"/>
      </w:pPr>
    </w:p>
    <w:p>
      <w:pPr>
        <w:pStyle w:val="ListParagraph"/>
        <w:numPr>
          <w:ilvl w:val="0"/>
          <w:numId w:val="3"/>
        </w:numPr>
        <w:spacing w:after="60"/>
      </w:pPr>
      <w:r>
        <w:rPr>
          <w:rFonts w:ascii="Arial" w:cs="Arial" w:eastAsia="Arial" w:hAnsi="Arial"/>
          <w:color w:val="212121"/>
          <w:sz w:val="20"/>
          <w:szCs w:val="20"/>
        </w:rPr>
        <w:t xml:space="preserve">Open Executive View and identify the category or LOB with a capacity gap (negative Gap value in red).</w:t>
      </w:r>
    </w:p>
    <w:p>
      <w:pPr>
        <w:pStyle w:val="ListParagraph"/>
        <w:numPr>
          <w:ilvl w:val="0"/>
          <w:numId w:val="3"/>
        </w:numPr>
        <w:spacing w:after="60"/>
      </w:pPr>
      <w:r>
        <w:rPr>
          <w:rFonts w:ascii="Arial" w:cs="Arial" w:eastAsia="Arial" w:hAnsi="Arial"/>
          <w:color w:val="212121"/>
          <w:sz w:val="20"/>
          <w:szCs w:val="20"/>
        </w:rPr>
        <w:t xml:space="preserve">Navigate to Edit Data → Bench Allocation and run a bench allocation for the relevant report month.</w:t>
      </w:r>
    </w:p>
    <w:p>
      <w:pPr>
        <w:pStyle w:val="ListParagraph"/>
        <w:numPr>
          <w:ilvl w:val="0"/>
          <w:numId w:val="3"/>
        </w:numPr>
        <w:spacing w:after="60"/>
      </w:pPr>
      <w:r>
        <w:rPr>
          <w:rFonts w:ascii="Arial" w:cs="Arial" w:eastAsia="Arial" w:hAnsi="Arial"/>
          <w:color w:val="212121"/>
          <w:sz w:val="20"/>
          <w:szCs w:val="20"/>
        </w:rPr>
        <w:t xml:space="preserve">If bench allocation alone does not close the gap, go to Edit Data → Target CPH and preview a CPH adjustment.</w:t>
      </w:r>
    </w:p>
    <w:p>
      <w:pPr>
        <w:pStyle w:val="ListParagraph"/>
        <w:numPr>
          <w:ilvl w:val="0"/>
          <w:numId w:val="3"/>
        </w:numPr>
        <w:spacing w:after="60"/>
      </w:pPr>
      <w:r>
        <w:rPr>
          <w:rFonts w:ascii="Arial" w:cs="Arial" w:eastAsia="Arial" w:hAnsi="Arial"/>
          <w:color w:val="212121"/>
          <w:sz w:val="20"/>
          <w:szCs w:val="20"/>
        </w:rPr>
        <w:t xml:space="preserve">If the gap is due to a forecast revision, use Edit Data → Forecast Reallocation to update the demand figures.</w:t>
      </w:r>
    </w:p>
    <w:p>
      <w:pPr>
        <w:pStyle w:val="ListParagraph"/>
        <w:numPr>
          <w:ilvl w:val="0"/>
          <w:numId w:val="3"/>
        </w:numPr>
        <w:spacing w:after="60"/>
      </w:pPr>
      <w:r>
        <w:rPr>
          <w:rFonts w:ascii="Arial" w:cs="Arial" w:eastAsia="Arial" w:hAnsi="Arial"/>
          <w:color w:val="212121"/>
          <w:sz w:val="20"/>
          <w:szCs w:val="20"/>
        </w:rPr>
        <w:t xml:space="preserve">Check the History Log tab to confirm all changes are recorded.</w:t>
      </w:r>
    </w:p>
    <w:p>
      <w:pPr>
        <w:pStyle w:val="ListParagraph"/>
        <w:numPr>
          <w:ilvl w:val="0"/>
          <w:numId w:val="3"/>
        </w:numPr>
        <w:spacing w:after="60"/>
      </w:pPr>
      <w:r>
        <w:rPr>
          <w:rFonts w:ascii="Arial" w:cs="Arial" w:eastAsia="Arial" w:hAnsi="Arial"/>
          <w:color w:val="212121"/>
          <w:sz w:val="20"/>
          <w:szCs w:val="20"/>
        </w:rPr>
        <w:t xml:space="preserve">Return to Executive View and reload the data to verify the gap has improved.</w:t>
      </w:r>
    </w:p>
    <w:p>
      <w:pPr>
        <w:pStyle w:val="Heading2"/>
        <w:pBdr>
          <w:bottom w:val="single" w:color="2E75B6" w:sz="4" w:space="1"/>
        </w:pBdr>
        <w:spacing w:after="100" w:before="200"/>
      </w:pPr>
      <w:r>
        <w:rPr>
          <w:rFonts w:ascii="Arial" w:cs="Arial" w:eastAsia="Arial" w:hAnsi="Arial"/>
          <w:b/>
          <w:bCs/>
          <w:color w:val="2E75B6"/>
          <w:sz w:val="24"/>
          <w:szCs w:val="24"/>
        </w:rPr>
        <w:t xml:space="preserve">10.3  Auditing Changes</w:t>
      </w:r>
    </w:p>
    <w:p>
      <w:pPr>
        <w:pStyle w:val="ListParagraph"/>
        <w:numPr>
          <w:ilvl w:val="0"/>
          <w:numId w:val="3"/>
        </w:numPr>
        <w:spacing w:after="60"/>
      </w:pPr>
      <w:r>
        <w:rPr>
          <w:rFonts w:ascii="Arial" w:cs="Arial" w:eastAsia="Arial" w:hAnsi="Arial"/>
          <w:color w:val="212121"/>
          <w:sz w:val="20"/>
          <w:szCs w:val="20"/>
        </w:rPr>
        <w:t xml:space="preserve">Click Edit Data in the sidebar.</w:t>
      </w:r>
    </w:p>
    <w:p>
      <w:pPr>
        <w:pStyle w:val="ListParagraph"/>
        <w:numPr>
          <w:ilvl w:val="0"/>
          <w:numId w:val="3"/>
        </w:numPr>
        <w:spacing w:after="60"/>
      </w:pPr>
      <w:r>
        <w:rPr>
          <w:rFonts w:ascii="Arial" w:cs="Arial" w:eastAsia="Arial" w:hAnsi="Arial"/>
          <w:color w:val="212121"/>
          <w:sz w:val="20"/>
          <w:szCs w:val="20"/>
        </w:rPr>
        <w:t xml:space="preserve">Click the History Log tab.</w:t>
      </w:r>
    </w:p>
    <w:p>
      <w:pPr>
        <w:pStyle w:val="ListParagraph"/>
        <w:numPr>
          <w:ilvl w:val="0"/>
          <w:numId w:val="3"/>
        </w:numPr>
        <w:spacing w:after="60"/>
      </w:pPr>
      <w:r>
        <w:rPr>
          <w:rFonts w:ascii="Arial" w:cs="Arial" w:eastAsia="Arial" w:hAnsi="Arial"/>
          <w:color w:val="212121"/>
          <w:sz w:val="20"/>
          <w:szCs w:val="20"/>
        </w:rPr>
        <w:t xml:space="preserve">Filter by month, year, or change type to locate specific entries.</w:t>
      </w:r>
    </w:p>
    <w:p>
      <w:pPr>
        <w:pStyle w:val="ListParagraph"/>
        <w:numPr>
          <w:ilvl w:val="0"/>
          <w:numId w:val="3"/>
        </w:numPr>
        <w:spacing w:after="60"/>
      </w:pPr>
      <w:r>
        <w:rPr>
          <w:rFonts w:ascii="Arial" w:cs="Arial" w:eastAsia="Arial" w:hAnsi="Arial"/>
          <w:color w:val="212121"/>
          <w:sz w:val="20"/>
          <w:szCs w:val="20"/>
        </w:rPr>
        <w:t xml:space="preserve">Click a row to expand the detail view showing exact before and after values.</w:t>
      </w:r>
    </w:p>
    <w:p>
      <w:pPr>
        <w:pStyle w:val="ListParagraph"/>
        <w:numPr>
          <w:ilvl w:val="0"/>
          <w:numId w:val="3"/>
        </w:numPr>
        <w:spacing w:after="60"/>
      </w:pPr>
      <w:r>
        <w:rPr>
          <w:rFonts w:ascii="Arial" w:cs="Arial" w:eastAsia="Arial" w:hAnsi="Arial"/>
          <w:color w:val="212121"/>
          <w:sz w:val="20"/>
          <w:szCs w:val="20"/>
        </w:rPr>
        <w:t xml:space="preserve">Click Download to export the change detail as an Excel file if needed.</w:t>
      </w:r>
    </w:p>
    <w:p>
      <w:pPr>
        <w:pStyle w:val="Heading1"/>
        <w:shd w:fill="1F4E8C" w:val="clear"/>
        <w:spacing w:after="140" w:before="280"/>
        <w:ind w:left="120" w:right="120"/>
      </w:pPr>
      <w:r>
        <w:rPr>
          <w:rFonts w:ascii="Arial" w:cs="Arial" w:eastAsia="Arial" w:hAnsi="Arial"/>
          <w:b/>
          <w:bCs/>
          <w:color w:val="FFFFFF"/>
          <w:sz w:val="28"/>
          <w:szCs w:val="28"/>
        </w:rPr>
        <w:t xml:space="preserve">11. Troubleshooting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Issue</w:t>
            </w:r>
          </w:p>
        </w:tc>
        <w:tc>
          <w:tcPr>
            <w:tcW w:type="dxa" w:w="33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Likely Cause</w:t>
            </w:r>
          </w:p>
        </w:tc>
        <w:tc>
          <w:tcPr>
            <w:tcW w:type="dxa" w:w="386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Resolution</w:t>
            </w:r>
          </w:p>
        </w:tc>
      </w:tr>
      <w:tr>
        <w:tc>
          <w:tcPr>
            <w:tcW w:type="dxa" w:w="22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Login fails with 'Invalid credentials'</w:t>
            </w:r>
          </w:p>
        </w:tc>
        <w:tc>
          <w:tcPr>
            <w:tcW w:type="dxa" w:w="33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Incorrect NTT Data username or password.</w:t>
            </w:r>
          </w:p>
        </w:tc>
        <w:tc>
          <w:tcPr>
            <w:tcW w:type="dxa" w:w="38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Verify your credentials using the same login you use for other NTT Data systems.</w:t>
            </w:r>
          </w:p>
        </w:tc>
      </w:tr>
      <w:tr>
        <w:tc>
          <w:tcPr>
            <w:tcW w:type="dxa" w:w="22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Login succeeds but page shows '403 Forbidden'</w:t>
            </w:r>
          </w:p>
        </w:tc>
        <w:tc>
          <w:tcPr>
            <w:tcW w:type="dxa" w:w="33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Account not assigned to a portal user group.</w:t>
            </w:r>
          </w:p>
        </w:tc>
        <w:tc>
          <w:tcPr>
            <w:tcW w:type="dxa" w:w="38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Contact the Delivery Analytics team to request group assignment.</w:t>
            </w:r>
          </w:p>
        </w:tc>
      </w:tr>
      <w:tr>
        <w:tc>
          <w:tcPr>
            <w:tcW w:type="dxa" w:w="22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Upload progress bar stalls at a low percentage</w:t>
            </w:r>
          </w:p>
        </w:tc>
        <w:tc>
          <w:tcPr>
            <w:tcW w:type="dxa" w:w="33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File processing is taking longer than expected, or background worker is unavailable.</w:t>
            </w:r>
          </w:p>
        </w:tc>
        <w:tc>
          <w:tcPr>
            <w:tcW w:type="dxa" w:w="38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Wait up to five minutes. If no progress, contact the Delivery Analytics team.</w:t>
            </w:r>
          </w:p>
        </w:tc>
      </w:tr>
      <w:tr>
        <w:tc>
          <w:tcPr>
            <w:tcW w:type="dxa" w:w="22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Upload fails with an error message</w:t>
            </w:r>
          </w:p>
        </w:tc>
        <w:tc>
          <w:tcPr>
            <w:tcW w:type="dxa" w:w="33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Incorrect file format, missing columns, or wrong Excel sheet name.</w:t>
            </w:r>
          </w:p>
        </w:tc>
        <w:tc>
          <w:tcPr>
            <w:tcW w:type="dxa" w:w="38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Confirm the file is CSV or XLSX and contains the required columns. For Excel, ensure the sheet name matches the expected format (e.g. Dec'2024).</w:t>
            </w:r>
          </w:p>
        </w:tc>
      </w:tr>
      <w:tr>
        <w:tc>
          <w:tcPr>
            <w:tcW w:type="dxa" w:w="22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Filters return no data in Data Hub</w:t>
            </w:r>
          </w:p>
        </w:tc>
        <w:tc>
          <w:tcPr>
            <w:tcW w:type="dxa" w:w="33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The selected combination has no records in the database.</w:t>
            </w:r>
          </w:p>
        </w:tc>
        <w:tc>
          <w:tcPr>
            <w:tcW w:type="dxa" w:w="38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Broaden the filter selection. Verify the correct file was uploaded for that period.</w:t>
            </w:r>
          </w:p>
        </w:tc>
      </w:tr>
      <w:tr>
        <w:tc>
          <w:tcPr>
            <w:tcW w:type="dxa" w:w="22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Executive View shows no data after applying filters</w:t>
            </w:r>
          </w:p>
        </w:tc>
        <w:tc>
          <w:tcPr>
            <w:tcW w:type="dxa" w:w="33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No forecast data exists for the selected report month.</w:t>
            </w:r>
          </w:p>
        </w:tc>
        <w:tc>
          <w:tcPr>
            <w:tcW w:type="dxa" w:w="38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Confirm the forecast file for that period was successfully uploaded.</w:t>
            </w:r>
          </w:p>
        </w:tc>
      </w:tr>
      <w:tr>
        <w:tc>
          <w:tcPr>
            <w:tcW w:type="dxa" w:w="22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Bench allocation preview is empty</w:t>
            </w:r>
          </w:p>
        </w:tc>
        <w:tc>
          <w:tcPr>
            <w:tcW w:type="dxa" w:w="33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No bench agents are available for the selected report period.</w:t>
            </w:r>
          </w:p>
        </w:tc>
        <w:tc>
          <w:tcPr>
            <w:tcW w:type="dxa" w:w="38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All available agents are already allocated. No further action is needed.</w:t>
            </w:r>
          </w:p>
        </w:tc>
      </w:tr>
      <w:tr>
        <w:tc>
          <w:tcPr>
            <w:tcW w:type="dxa" w:w="22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Execution shows 'Failed' status</w:t>
            </w:r>
          </w:p>
        </w:tc>
        <w:tc>
          <w:tcPr>
            <w:tcW w:type="dxa" w:w="33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An unexpected error occurred in the allocation engine.</w:t>
            </w:r>
          </w:p>
        </w:tc>
        <w:tc>
          <w:tcPr>
            <w:tcW w:type="dxa" w:w="38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Copy the Execution ID using the Copy button on the Hero Card and share it with the Delivery Analytics team.</w:t>
            </w:r>
          </w:p>
        </w:tc>
      </w:tr>
      <w:tr>
        <w:tc>
          <w:tcPr>
            <w:tcW w:type="dxa" w:w="22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AI Assistant shows 'Connecting...' indefinitely</w:t>
            </w:r>
          </w:p>
        </w:tc>
        <w:tc>
          <w:tcPr>
            <w:tcW w:type="dxa" w:w="33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WebSocket connection could not be established.</w:t>
            </w:r>
          </w:p>
        </w:tc>
        <w:tc>
          <w:tcPr>
            <w:tcW w:type="dxa" w:w="38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Refresh the page. If the issue persists, check your network connection or contact IT support.</w:t>
            </w:r>
          </w:p>
        </w:tc>
      </w:tr>
    </w:tbl>
    <w:p>
      <w:pPr>
        <w:pStyle w:val="Heading1"/>
        <w:shd w:fill="1F4E8C" w:val="clear"/>
        <w:spacing w:after="140" w:before="280"/>
        <w:ind w:left="120" w:right="120"/>
      </w:pPr>
      <w:r>
        <w:rPr>
          <w:rFonts w:ascii="Arial" w:cs="Arial" w:eastAsia="Arial" w:hAnsi="Arial"/>
          <w:b/>
          <w:bCs/>
          <w:color w:val="FFFFFF"/>
          <w:sz w:val="28"/>
          <w:szCs w:val="28"/>
        </w:rPr>
        <w:t xml:space="preserve">12. Support and Contact</w:t>
      </w:r>
    </w:p>
    <w:p>
      <w:pPr>
        <w:spacing w:after="80"/>
        <w:jc w:val="both"/>
      </w:pPr>
      <w:r>
        <w:rPr>
          <w:rFonts w:ascii="Arial" w:cs="Arial" w:eastAsia="Arial" w:hAnsi="Arial"/>
          <w:color w:val="212121"/>
          <w:sz w:val="20"/>
          <w:szCs w:val="20"/>
        </w:rPr>
        <w:t xml:space="preserve">For technical issues, access requests, bulk configuration updates, or questions not covered by this manual, contact the Delivery Analytics team.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Topic</w:t>
            </w:r>
          </w:p>
        </w:tc>
        <w:tc>
          <w:tcPr>
            <w:tcW w:type="dxa" w:w="6760"/>
            <w:tcBorders>
              <w:top w:val="single" w:color="C9D9EF" w:sz="1"/>
              <w:left w:val="single" w:color="C9D9EF" w:sz="1"/>
              <w:bottom w:val="single" w:color="C9D9EF" w:sz="1"/>
              <w:right w:val="single" w:color="C9D9EF" w:sz="1"/>
            </w:tcBorders>
            <w:shd w:fill="EEF4FB" w:val="clear"/>
            <w:tcMar>
              <w:top w:type="dxa" w:w="100"/>
              <w:left w:type="dxa" w:w="160"/>
              <w:bottom w:type="dxa" w:w="100"/>
              <w:right w:type="dxa" w:w="160"/>
            </w:tcMar>
            <w:vAlign w:val="center"/>
          </w:tcPr>
          <w:p>
            <w:pPr>
              <w:spacing w:after="0"/>
              <w:jc w:val="left"/>
            </w:pPr>
            <w:r>
              <w:rPr>
                <w:rFonts w:ascii="Arial" w:cs="Arial" w:eastAsia="Arial" w:hAnsi="Arial"/>
                <w:b/>
                <w:bCs/>
                <w:color w:val="212121"/>
                <w:sz w:val="18"/>
                <w:szCs w:val="18"/>
              </w:rPr>
              <w:t xml:space="preserve">Contact / Action</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Access and Permissions</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Request via the Delivery Analytics team — they manage all user group assignments.</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Bulk Configuration Updates</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Provide the required parameters to the Delivery Analytics team for script-based bulk entry.</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Failed Executions</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Share the Execution ID (copied from the Hero Card) with the Delivery Analytics team.</w:t>
            </w:r>
          </w:p>
        </w:tc>
      </w:tr>
      <w:tr>
        <w:tc>
          <w:tcPr>
            <w:tcW w:type="dxa" w:w="260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Data Discrepancies</w:t>
            </w:r>
          </w:p>
        </w:tc>
        <w:tc>
          <w:tcPr>
            <w:tcW w:type="dxa" w:w="6760"/>
            <w:tcBorders>
              <w:top w:val="single" w:color="C9D9EF" w:sz="1"/>
              <w:left w:val="single" w:color="C9D9EF" w:sz="1"/>
              <w:bottom w:val="single" w:color="C9D9EF" w:sz="1"/>
              <w:right w:val="single" w:color="C9D9EF" w:sz="1"/>
            </w:tcBorders>
            <w:shd w:fill="FFFFFF"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Compare the portal data against the source file via the Data Hub before escalating.</w:t>
            </w:r>
          </w:p>
        </w:tc>
      </w:tr>
      <w:tr>
        <w:tc>
          <w:tcPr>
            <w:tcW w:type="dxa" w:w="260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Feature Requests</w:t>
            </w:r>
          </w:p>
        </w:tc>
        <w:tc>
          <w:tcPr>
            <w:tcW w:type="dxa" w:w="6760"/>
            <w:tcBorders>
              <w:top w:val="single" w:color="C9D9EF" w:sz="1"/>
              <w:left w:val="single" w:color="C9D9EF" w:sz="1"/>
              <w:bottom w:val="single" w:color="C9D9EF" w:sz="1"/>
              <w:right w:val="single" w:color="C9D9EF" w:sz="1"/>
            </w:tcBorders>
            <w:shd w:fill="F7FAFD" w:val="clear"/>
            <w:tcMar>
              <w:top w:type="dxa" w:w="100"/>
              <w:left w:type="dxa" w:w="160"/>
              <w:bottom w:type="dxa" w:w="100"/>
              <w:right w:type="dxa" w:w="160"/>
            </w:tcMar>
            <w:vAlign w:val="center"/>
          </w:tcPr>
          <w:p>
            <w:pPr>
              <w:spacing w:after="0"/>
              <w:jc w:val="left"/>
            </w:pPr>
            <w:r>
              <w:rPr>
                <w:rFonts w:ascii="Arial" w:cs="Arial" w:eastAsia="Arial" w:hAnsi="Arial"/>
                <w:b w:val="false"/>
                <w:bCs w:val="false"/>
                <w:color w:val="212121"/>
                <w:sz w:val="18"/>
                <w:szCs w:val="18"/>
              </w:rPr>
              <w:t xml:space="preserve">Submit to the Delivery Analytics team with a brief description of the business need.</w:t>
            </w:r>
          </w:p>
        </w:tc>
      </w:tr>
    </w:tbl>
    <w:sectPr>
      <w:headerReference w:type="default" r:id="rId7"/>
      <w:footerReference w:type="default" r:id="rId8"/>
      <w:pgSz w:w="12240" w:h="15840" w:orient="portrait"/>
      <w:pgMar w:top="1440" w:right="1440" w:bottom="16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6"/>
        <w:szCs w:val="16"/>
      </w:rPr>
      <w:t xml:space="preserve">NTT Data  |  Delivery Analytics</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4E8C" w:val="clear"/>
      <w:tabs>
        <w:tab w:val="right" w:pos="9026"/>
      </w:tabs>
      <w:spacing w:after="80" w:before="80"/>
      <w:ind w:left="120" w:right="120"/>
    </w:pPr>
    <w:r>
      <w:rPr>
        <w:rFonts w:ascii="Arial" w:cs="Arial" w:eastAsia="Arial" w:hAnsi="Arial"/>
        <w:color w:val="FFFFFF"/>
        <w:sz w:val="16"/>
        <w:szCs w:val="16"/>
      </w:rPr>
      <w:t xml:space="preserve">Centene Forecasting  |  User Manual</w:t>
    </w:r>
    <w:r>
      <w:rPr>
        <w:rFonts w:ascii="Arial" w:cs="Arial" w:eastAsia="Arial" w:hAnsi="Arial"/>
      </w:rPr>
      <w:t xml:space="preserve">	</w:t>
    </w:r>
    <w:r>
      <w:rPr>
        <w:rFonts w:ascii="Arial" w:cs="Arial" w:eastAsia="Arial" w:hAnsi="Arial"/>
        <w:i/>
        <w:iCs/>
        <w:color w:val="FFFFFF"/>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2026-05-07T17:43:58.353Z</dcterms:created>
  <dcterms:modified xsi:type="dcterms:W3CDTF">2026-05-07T17:43:58.353Z</dcterms:modified>
</cp:coreProperties>
</file>

<file path=docProps/custom.xml><?xml version="1.0" encoding="utf-8"?>
<Properties xmlns="http://schemas.openxmlformats.org/officeDocument/2006/custom-properties" xmlns:vt="http://schemas.openxmlformats.org/officeDocument/2006/docPropsVTypes"/>
</file>