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- número inteiro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decimal (5,2) - _ _ _ , _ 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(caracteres totais, caracteres depois da vírgula)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varchar ( ) - máximo de caracteres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 - sem máximo de caracteres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- datas (DD-MM-AAAA)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- hora exata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timeStamp - intervalo de tempo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Alterar tabelas (SQL):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atributo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b w:val="1"/>
          <w:rtl w:val="0"/>
        </w:rPr>
        <w:t xml:space="preserve"> tabela </w:t>
      </w:r>
      <w:r w:rsidDel="00000000" w:rsidR="00000000" w:rsidRPr="00000000">
        <w:rPr>
          <w:rtl w:val="0"/>
        </w:rPr>
        <w:t xml:space="preserve">add column atributo tipo;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chave primária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add Primary Key (atributo);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tabela1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add Foreign Key (atributo) References </w:t>
      </w:r>
      <w:r w:rsidDel="00000000" w:rsidR="00000000" w:rsidRPr="00000000">
        <w:rPr>
          <w:b w:val="1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(atributo2);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