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POL-01: Network Security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POL-01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Network Security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Chief Information Security Officer (CISO)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This policy establishes requirements for protecting the organisation's network infrastructure, remote access channels, wireless networks, and data in transit to prevent unauthorised access, data breaches, and service disruptions.</w:t>
      </w:r>
    </w:p>
    <w:p>
      <w:pPr>
        <w:pStyle w:val="Heading1"/>
      </w:pPr>
      <w:r>
        <w:rPr>
          <w:color w:val="1F497D"/>
        </w:rPr>
        <w:t>2.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Applies To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Excludes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network devices (firewalls, routers, switches)</w:t>
            </w:r>
          </w:p>
        </w:tc>
        <w:tc>
          <w:tcPr>
            <w:tcW w:type="dxa" w:w="4703"/>
            <w:shd w:val="clear" w:color="auto" w:fill="EBF0F9"/>
          </w:tcPr>
          <w:p>
            <w:r>
              <w:t>Personal devices not connected to corporate networks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All servers and endpoints connected to corporate network</w:t>
            </w:r>
          </w:p>
        </w:tc>
        <w:tc>
          <w:tcPr>
            <w:tcW w:type="dxa" w:w="4703"/>
            <w:shd w:val="clear" w:color="auto" w:fill="FFFFFF"/>
          </w:tcPr>
          <w:p>
            <w:r>
              <w:t>Third-party networks not managed by the organisation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remote access connections (VPN)</w:t>
            </w:r>
          </w:p>
        </w:tc>
        <w:tc>
          <w:tcPr>
            <w:tcW w:type="dxa" w:w="4703"/>
            <w:shd w:val="clear" w:color="auto" w:fill="EBF0F9"/>
          </w:tcPr>
          <w:p>
            <w:r/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All wireless access points (corporate and guest)</w:t>
            </w:r>
          </w:p>
        </w:tc>
        <w:tc>
          <w:tcPr>
            <w:tcW w:type="dxa" w:w="4703"/>
            <w:shd w:val="clear" w:color="auto" w:fill="FFFFFF"/>
          </w:tcPr>
          <w:p>
            <w:r/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data transmitted to/from third-party vendors</w:t>
            </w:r>
          </w:p>
        </w:tc>
        <w:tc>
          <w:tcPr>
            <w:tcW w:type="dxa" w:w="4703"/>
            <w:shd w:val="clear" w:color="auto" w:fill="EBF0F9"/>
          </w:tcPr>
          <w:p>
            <w:r/>
          </w:p>
        </w:tc>
      </w:tr>
    </w:tbl>
    <w:p/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Firewall Protection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network perimeters must be protected</w:t>
            </w:r>
          </w:p>
        </w:tc>
        <w:tc>
          <w:tcPr>
            <w:tcW w:type="dxa" w:w="4703"/>
            <w:shd w:val="clear" w:color="auto" w:fill="EBF0F9"/>
          </w:tcPr>
          <w:p>
            <w:r>
              <w:t>Next-Generation Firewall (NGFW) deployed at all boundaries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Firewall rules must follow least-privilege</w:t>
            </w:r>
          </w:p>
        </w:tc>
        <w:tc>
          <w:tcPr>
            <w:tcW w:type="dxa" w:w="4703"/>
            <w:shd w:val="clear" w:color="auto" w:fill="FFFFFF"/>
          </w:tcPr>
          <w:p>
            <w:r>
              <w:t>Default-deny posture; only explicitly approved traffic permitted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Rules reviewed regularly</w:t>
            </w:r>
          </w:p>
        </w:tc>
        <w:tc>
          <w:tcPr>
            <w:tcW w:type="dxa" w:w="4703"/>
            <w:shd w:val="clear" w:color="auto" w:fill="EBF0F9"/>
          </w:tcPr>
          <w:p>
            <w:r>
              <w:t>Formal firewall rule review conducted quarterly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Rule changes controlled</w:t>
            </w:r>
          </w:p>
        </w:tc>
        <w:tc>
          <w:tcPr>
            <w:tcW w:type="dxa" w:w="4703"/>
            <w:shd w:val="clear" w:color="auto" w:fill="FFFFFF"/>
          </w:tcPr>
          <w:p>
            <w:r>
              <w:t>All changes via formal Change Management process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Evidence maintained</w:t>
            </w:r>
          </w:p>
        </w:tc>
        <w:tc>
          <w:tcPr>
            <w:tcW w:type="dxa" w:w="4703"/>
            <w:shd w:val="clear" w:color="auto" w:fill="EBF0F9"/>
          </w:tcPr>
          <w:p>
            <w:r>
              <w:t>Firewall rule sets and review records retained for 3 years</w:t>
            </w:r>
          </w:p>
        </w:tc>
      </w:tr>
    </w:tbl>
    <w:p/>
    <w:p>
      <w:pPr>
        <w:pStyle w:val="Heading2"/>
      </w:pPr>
      <w:r>
        <w:rPr>
          <w:color w:val="1F497D"/>
        </w:rPr>
        <w:t>3.2 Network Segmentation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Network must be segmented into security zones</w:t>
            </w:r>
          </w:p>
        </w:tc>
        <w:tc>
          <w:tcPr>
            <w:tcW w:type="dxa" w:w="4703"/>
            <w:shd w:val="clear" w:color="auto" w:fill="EBF0F9"/>
          </w:tcPr>
          <w:p>
            <w:r>
              <w:t>Minimum three zones: DMZ / Application /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Segmentation enforced by technology</w:t>
            </w:r>
          </w:p>
        </w:tc>
        <w:tc>
          <w:tcPr>
            <w:tcW w:type="dxa" w:w="4703"/>
            <w:shd w:val="clear" w:color="auto" w:fill="FFFFFF"/>
          </w:tcPr>
          <w:p>
            <w:r>
              <w:t>VLANs and Access Control Lists (ACLs) implemented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Inter-zone traffic controlled</w:t>
            </w:r>
          </w:p>
        </w:tc>
        <w:tc>
          <w:tcPr>
            <w:tcW w:type="dxa" w:w="4703"/>
            <w:shd w:val="clear" w:color="auto" w:fill="EBF0F9"/>
          </w:tcPr>
          <w:p>
            <w:r>
              <w:t>Only necessary traffic permitted between zones; all other traffic blocked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Critical systems isolated</w:t>
            </w:r>
          </w:p>
        </w:tc>
        <w:tc>
          <w:tcPr>
            <w:tcW w:type="dxa" w:w="4703"/>
            <w:shd w:val="clear" w:color="auto" w:fill="FFFFFF"/>
          </w:tcPr>
          <w:p>
            <w:r>
              <w:t>Database servers, HR, and financial systems isolated in Data zone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Architecture documented</w:t>
            </w:r>
          </w:p>
        </w:tc>
        <w:tc>
          <w:tcPr>
            <w:tcW w:type="dxa" w:w="4703"/>
            <w:shd w:val="clear" w:color="auto" w:fill="EBF0F9"/>
          </w:tcPr>
          <w:p>
            <w:r>
              <w:t>Network architecture diagram maintained and reviewed annually</w:t>
            </w:r>
          </w:p>
        </w:tc>
      </w:tr>
    </w:tbl>
    <w:p/>
    <w:p>
      <w:pPr>
        <w:pStyle w:val="Heading2"/>
      </w:pPr>
      <w:r>
        <w:rPr>
          <w:color w:val="1F497D"/>
        </w:rPr>
        <w:t>3.3 Remote Access (VPN)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remote access via approved method</w:t>
            </w:r>
          </w:p>
        </w:tc>
        <w:tc>
          <w:tcPr>
            <w:tcW w:type="dxa" w:w="4703"/>
            <w:shd w:val="clear" w:color="auto" w:fill="EBF0F9"/>
          </w:tcPr>
          <w:p>
            <w:r>
              <w:t>Corporate VPN mandatory; no direct RDP or unencrypted remote access permitted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Strong authentication required</w:t>
            </w:r>
          </w:p>
        </w:tc>
        <w:tc>
          <w:tcPr>
            <w:tcW w:type="dxa" w:w="4703"/>
            <w:shd w:val="clear" w:color="auto" w:fill="FFFFFF"/>
          </w:tcPr>
          <w:p>
            <w:r>
              <w:t>Multi-Factor Authentication (MFA) enforced for all VPN connections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Split tunnelling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Disabled; all remote traffic routed through corporate VPN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Session controls</w:t>
            </w:r>
          </w:p>
        </w:tc>
        <w:tc>
          <w:tcPr>
            <w:tcW w:type="dxa" w:w="4703"/>
            <w:shd w:val="clear" w:color="auto" w:fill="FFFFFF"/>
          </w:tcPr>
          <w:p>
            <w:r>
              <w:t>Sessions automatically terminated after 60 minutes of inactivity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Logging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VPN connections logged: user, timestamp, source IP, duration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Log retention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VPN access logs retained for minimum 12 months</w:t>
            </w:r>
          </w:p>
        </w:tc>
      </w:tr>
    </w:tbl>
    <w:p/>
    <w:p>
      <w:pPr>
        <w:pStyle w:val="Heading2"/>
      </w:pPr>
      <w:r>
        <w:rPr>
          <w:color w:val="1F497D"/>
        </w:rPr>
        <w:t>3.4 Wireless Network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Encryption standard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corporate wireless uses WPA3-Enterprise minimum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Authentication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802.1X with RADIUS server for corporate Wi-Fi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Guest Wi-Fi isolation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Guest network on separate VLAN with no access to corporate resources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Rogue AP detection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Wireless Intrusion Detection System (WIDS) deployed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Default credentials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AP default credentials changed on deployment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Periodic review</w:t>
            </w:r>
          </w:p>
        </w:tc>
        <w:tc>
          <w:tcPr>
            <w:tcW w:type="dxa" w:w="4703"/>
            <w:shd w:val="clear" w:color="auto" w:fill="FFFFFF"/>
          </w:tcPr>
          <w:p>
            <w:r>
              <w:t>Wireless configuration reviewed annually</w:t>
            </w:r>
          </w:p>
        </w:tc>
      </w:tr>
    </w:tbl>
    <w:p/>
    <w:p>
      <w:pPr>
        <w:pStyle w:val="Heading2"/>
      </w:pPr>
      <w:r>
        <w:rPr>
          <w:color w:val="1F497D"/>
        </w:rPr>
        <w:t>3.5 Ingress/Egress Malicious Code Scanning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inbound/outbound traffic scanned</w:t>
            </w:r>
          </w:p>
        </w:tc>
        <w:tc>
          <w:tcPr>
            <w:tcW w:type="dxa" w:w="4703"/>
            <w:shd w:val="clear" w:color="auto" w:fill="EBF0F9"/>
          </w:tcPr>
          <w:p>
            <w:r>
              <w:t>IPS/IDS deployed at network perimeter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Email threats blocked</w:t>
            </w:r>
          </w:p>
        </w:tc>
        <w:tc>
          <w:tcPr>
            <w:tcW w:type="dxa" w:w="4703"/>
            <w:shd w:val="clear" w:color="auto" w:fill="FFFFFF"/>
          </w:tcPr>
          <w:p>
            <w:r>
              <w:t>Email security gateway with anti-spam, anti-phishing, attachment sandboxing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Web browsing protected</w:t>
            </w:r>
          </w:p>
        </w:tc>
        <w:tc>
          <w:tcPr>
            <w:tcW w:type="dxa" w:w="4703"/>
            <w:shd w:val="clear" w:color="auto" w:fill="EBF0F9"/>
          </w:tcPr>
          <w:p>
            <w:r>
              <w:t>Web proxy with SSL/TLS inspection and URL categorisation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Signatures updated</w:t>
            </w:r>
          </w:p>
        </w:tc>
        <w:tc>
          <w:tcPr>
            <w:tcW w:type="dxa" w:w="4703"/>
            <w:shd w:val="clear" w:color="auto" w:fill="FFFFFF"/>
          </w:tcPr>
          <w:p>
            <w:r>
              <w:t>Threat signatures updated automatically every ≤4 hours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Alerts</w:t>
            </w:r>
          </w:p>
        </w:tc>
        <w:tc>
          <w:tcPr>
            <w:tcW w:type="dxa" w:w="4703"/>
            <w:shd w:val="clear" w:color="auto" w:fill="EBF0F9"/>
          </w:tcPr>
          <w:p>
            <w:r>
              <w:t>Real-time alerts for detected threats; escalation to Security team within 15 minutes</w:t>
            </w:r>
          </w:p>
        </w:tc>
      </w:tr>
    </w:tbl>
    <w:p/>
    <w:p>
      <w:pPr>
        <w:pStyle w:val="Heading2"/>
      </w:pPr>
      <w:r>
        <w:rPr>
          <w:color w:val="1F497D"/>
        </w:rPr>
        <w:t>3.6 Data Confidentiality and Integrity with 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data in transit encrypted</w:t>
            </w:r>
          </w:p>
        </w:tc>
        <w:tc>
          <w:tcPr>
            <w:tcW w:type="dxa" w:w="4703"/>
            <w:shd w:val="clear" w:color="auto" w:fill="EBF0F9"/>
          </w:tcPr>
          <w:p>
            <w:r>
              <w:t>TLS 1.2 or higher mandatory for all vendor communications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File transfers secured</w:t>
            </w:r>
          </w:p>
        </w:tc>
        <w:tc>
          <w:tcPr>
            <w:tcW w:type="dxa" w:w="4703"/>
            <w:shd w:val="clear" w:color="auto" w:fill="FFFFFF"/>
          </w:tcPr>
          <w:p>
            <w:r>
              <w:t>SFTP or equivalent encrypted file transfer protocol required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Vendor agreements</w:t>
            </w:r>
          </w:p>
        </w:tc>
        <w:tc>
          <w:tcPr>
            <w:tcW w:type="dxa" w:w="4703"/>
            <w:shd w:val="clear" w:color="auto" w:fill="EBF0F9"/>
          </w:tcPr>
          <w:p>
            <w:r>
              <w:t>Formal Data Processing Agreement (DPA) / Data Sharing Agreement required for all vendors handling organisation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Vendor compliance</w:t>
            </w:r>
          </w:p>
        </w:tc>
        <w:tc>
          <w:tcPr>
            <w:tcW w:type="dxa" w:w="4703"/>
            <w:shd w:val="clear" w:color="auto" w:fill="FFFFFF"/>
          </w:tcPr>
          <w:p>
            <w:r>
              <w:t>Vendors must provide evidence of security controls annually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Connection monitoring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Vendor connection activity logged and reviewed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CISO</w:t>
            </w:r>
          </w:p>
        </w:tc>
        <w:tc>
          <w:tcPr>
            <w:tcW w:type="dxa" w:w="4703"/>
            <w:shd w:val="clear" w:color="auto" w:fill="EBF0F9"/>
          </w:tcPr>
          <w:p>
            <w:r>
              <w:t>Policy ownership, annual review, exception approval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IT/Network Team</w:t>
            </w:r>
          </w:p>
        </w:tc>
        <w:tc>
          <w:tcPr>
            <w:tcW w:type="dxa" w:w="4703"/>
            <w:shd w:val="clear" w:color="auto" w:fill="FFFFFF"/>
          </w:tcPr>
          <w:p>
            <w:r>
              <w:t>Implementation of firewall, VPN, wireless, and segmentation controls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Security Operations</w:t>
            </w:r>
          </w:p>
        </w:tc>
        <w:tc>
          <w:tcPr>
            <w:tcW w:type="dxa" w:w="4703"/>
            <w:shd w:val="clear" w:color="auto" w:fill="EBF0F9"/>
          </w:tcPr>
          <w:p>
            <w:r>
              <w:t>Monitoring IPS/IDS/email/web gateway alerts; incident escalation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 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t>Quarterly firewall rule review; vendor connection oversight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Staff</w:t>
            </w:r>
          </w:p>
        </w:tc>
        <w:tc>
          <w:tcPr>
            <w:tcW w:type="dxa" w:w="4703"/>
            <w:shd w:val="clear" w:color="auto" w:fill="EBF0F9"/>
          </w:tcPr>
          <w:p>
            <w:r>
              <w:t>Use only approved VPN for remote access; report suspicious network activity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Network architecture and segmentation diagram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Firewall rule sets and quarterly review records</w:t>
            </w:r>
          </w:p>
        </w:tc>
        <w:tc>
          <w:tcPr>
            <w:tcW w:type="dxa" w:w="3135"/>
            <w:shd w:val="clear" w:color="auto" w:fill="FFFFFF"/>
          </w:tcPr>
          <w:p>
            <w:r>
              <w:t>Quarterly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VPN + MFA configuration evidence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Wireless security configuration (WPA3/RADIUS)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IPS/web proxy/email gateway scanning evidence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Ongoing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TLS configuration evidence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7</w:t>
            </w:r>
          </w:p>
        </w:tc>
        <w:tc>
          <w:tcPr>
            <w:tcW w:type="dxa" w:w="3135"/>
            <w:shd w:val="clear" w:color="auto" w:fill="EBF0F9"/>
          </w:tcPr>
          <w:p>
            <w:r>
              <w:t>Vendor Data Processing Agreements</w:t>
            </w:r>
          </w:p>
        </w:tc>
        <w:tc>
          <w:tcPr>
            <w:tcW w:type="dxa" w:w="3135"/>
            <w:shd w:val="clear" w:color="auto" w:fill="EBF0F9"/>
          </w:tcPr>
          <w:p>
            <w:r>
              <w:t>Per vendor; annual renewal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t>VPN access logs</w:t>
            </w:r>
          </w:p>
        </w:tc>
        <w:tc>
          <w:tcPr>
            <w:tcW w:type="dxa" w:w="3135"/>
            <w:shd w:val="clear" w:color="auto" w:fill="FFFFFF"/>
          </w:tcPr>
          <w:p>
            <w:r>
              <w:t>Retained 12 months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All exceptions must be approved by the CISO in writing, recorded in the risk register, and reviewed quarterly.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