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POL-02: Device &amp; System Hardening Policy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Policy ID</w:t>
            </w:r>
          </w:p>
        </w:tc>
        <w:tc>
          <w:tcPr>
            <w:tcW w:type="dxa" w:w="4703"/>
          </w:tcPr>
          <w:p>
            <w:r>
              <w:t>POL-02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Policy Title</w:t>
            </w:r>
          </w:p>
        </w:tc>
        <w:tc>
          <w:tcPr>
            <w:tcW w:type="dxa" w:w="4703"/>
          </w:tcPr>
          <w:p>
            <w:r>
              <w:t>Device &amp; System Hardening Policy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703"/>
          </w:tcPr>
          <w:p>
            <w:r>
              <w:t>1.0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703"/>
          </w:tcPr>
          <w:p>
            <w:r>
              <w:t>[DD/MM/YYYY]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703"/>
          </w:tcPr>
          <w:p>
            <w:r>
              <w:t>[DD/MM/YYYY] (Annual)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703"/>
          </w:tcPr>
          <w:p>
            <w:r>
              <w:t>CISO / IT Manager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4703"/>
          </w:tcPr>
          <w:p>
            <w:r>
              <w:t>[Name / Board]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703"/>
          </w:tcPr>
          <w:p>
            <w:r>
              <w:t>Internal – Confidential</w:t>
            </w:r>
          </w:p>
        </w:tc>
      </w:tr>
    </w:tbl>
    <w:p/>
    <w:p>
      <w:pPr>
        <w:pStyle w:val="Heading1"/>
      </w:pPr>
      <w:r>
        <w:rPr>
          <w:color w:val="1F497D"/>
        </w:rPr>
        <w:t>1. Purpose</w:t>
      </w:r>
    </w:p>
    <w:p>
      <w:r>
        <w:t>To ensure all network devices, servers, operating systems, and platforms are configured securely from deployment, eliminating unnecessary attack surfaces and reducing exposure to known vulnerabilities.</w:t>
      </w:r>
    </w:p>
    <w:p>
      <w:pPr>
        <w:pStyle w:val="Heading1"/>
      </w:pPr>
      <w:r>
        <w:rPr>
          <w:color w:val="1F497D"/>
        </w:rPr>
        <w:t>2. 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Applies To</w:t>
            </w:r>
          </w:p>
        </w:tc>
      </w:tr>
      <w:tr>
        <w:tc>
          <w:tcPr>
            <w:tcW w:type="dxa" w:w="9406"/>
            <w:shd w:val="clear" w:color="auto" w:fill="EBF0F9"/>
          </w:tcPr>
          <w:p>
            <w:r>
              <w:t>All network devices (firewalls, routers, switches, load balancers)</w:t>
            </w:r>
          </w:p>
        </w:tc>
      </w:tr>
      <w:tr>
        <w:tc>
          <w:tcPr>
            <w:tcW w:type="dxa" w:w="9406"/>
            <w:shd w:val="clear" w:color="auto" w:fill="FFFFFF"/>
          </w:tcPr>
          <w:p>
            <w:r>
              <w:t>All servers (physical and virtual, on-premises and cloud)</w:t>
            </w:r>
          </w:p>
        </w:tc>
      </w:tr>
      <w:tr>
        <w:tc>
          <w:tcPr>
            <w:tcW w:type="dxa" w:w="9406"/>
            <w:shd w:val="clear" w:color="auto" w:fill="EBF0F9"/>
          </w:tcPr>
          <w:p>
            <w:r>
              <w:t>All workstations, laptops, and desktop operating systems</w:t>
            </w:r>
          </w:p>
        </w:tc>
      </w:tr>
      <w:tr>
        <w:tc>
          <w:tcPr>
            <w:tcW w:type="dxa" w:w="9406"/>
            <w:shd w:val="clear" w:color="auto" w:fill="FFFFFF"/>
          </w:tcPr>
          <w:p>
            <w:r>
              <w:t>All SaaS and platform services managed by the organisation</w:t>
            </w:r>
          </w:p>
        </w:tc>
      </w:tr>
    </w:tbl>
    <w:p/>
    <w:p>
      <w:pPr>
        <w:pStyle w:val="Heading1"/>
      </w:pPr>
      <w:r>
        <w:rPr>
          <w:color w:val="1F497D"/>
        </w:rPr>
        <w:t>3. Policy Statements</w:t>
      </w:r>
    </w:p>
    <w:p>
      <w:pPr>
        <w:pStyle w:val="Heading2"/>
      </w:pPr>
      <w:r>
        <w:rPr>
          <w:color w:val="1F497D"/>
        </w:rPr>
        <w:t>3.1 Network Device Hardening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Hardening standard</w:t>
            </w:r>
          </w:p>
        </w:tc>
        <w:tc>
          <w:tcPr>
            <w:tcW w:type="dxa" w:w="4703"/>
            <w:shd w:val="clear" w:color="auto" w:fill="EBF0F9"/>
          </w:tcPr>
          <w:p>
            <w:r>
              <w:t>All network devices hardened per CIS Benchmarks (Level 1 minimum)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Default credentials</w:t>
            </w:r>
          </w:p>
        </w:tc>
        <w:tc>
          <w:tcPr>
            <w:tcW w:type="dxa" w:w="4703"/>
            <w:shd w:val="clear" w:color="auto" w:fill="FFFFFF"/>
          </w:tcPr>
          <w:p>
            <w:r>
              <w:t>All default usernames and passwords changed on deployment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Unused services</w:t>
            </w:r>
          </w:p>
        </w:tc>
        <w:tc>
          <w:tcPr>
            <w:tcW w:type="dxa" w:w="4703"/>
            <w:shd w:val="clear" w:color="auto" w:fill="EBF0F9"/>
          </w:tcPr>
          <w:p>
            <w:r>
              <w:t>All unused services, ports, and protocols disabled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Firmware/OS</w:t>
            </w:r>
          </w:p>
        </w:tc>
        <w:tc>
          <w:tcPr>
            <w:tcW w:type="dxa" w:w="4703"/>
            <w:shd w:val="clear" w:color="auto" w:fill="FFFFFF"/>
          </w:tcPr>
          <w:p>
            <w:r>
              <w:t>Firmware/OS patched before deployment and kept current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Management access</w:t>
            </w:r>
          </w:p>
        </w:tc>
        <w:tc>
          <w:tcPr>
            <w:tcW w:type="dxa" w:w="4703"/>
            <w:shd w:val="clear" w:color="auto" w:fill="EBF0F9"/>
          </w:tcPr>
          <w:p>
            <w:r>
              <w:t>Device management only via encrypted protocols (SSH v2, HTTPS); Telnet and HTTP disabled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Out-of-band management</w:t>
            </w:r>
          </w:p>
        </w:tc>
        <w:tc>
          <w:tcPr>
            <w:tcW w:type="dxa" w:w="4703"/>
            <w:shd w:val="clear" w:color="auto" w:fill="FFFFFF"/>
          </w:tcPr>
          <w:p>
            <w:r>
              <w:t>Management traffic isolated on a dedicated management VLAN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Compliance verification</w:t>
            </w:r>
          </w:p>
        </w:tc>
        <w:tc>
          <w:tcPr>
            <w:tcW w:type="dxa" w:w="4703"/>
            <w:shd w:val="clear" w:color="auto" w:fill="EBF0F9"/>
          </w:tcPr>
          <w:p>
            <w:r>
              <w:t>Automated configuration compliance scan run at least annually and after any change</w:t>
            </w:r>
          </w:p>
        </w:tc>
      </w:tr>
    </w:tbl>
    <w:p/>
    <w:p>
      <w:pPr>
        <w:pStyle w:val="Heading2"/>
      </w:pPr>
      <w:r>
        <w:rPr>
          <w:color w:val="1F497D"/>
        </w:rPr>
        <w:t>3.2 Server and OS Platform Hardening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Hardening standard</w:t>
            </w:r>
          </w:p>
        </w:tc>
        <w:tc>
          <w:tcPr>
            <w:tcW w:type="dxa" w:w="4703"/>
            <w:shd w:val="clear" w:color="auto" w:fill="EBF0F9"/>
          </w:tcPr>
          <w:p>
            <w:r>
              <w:t>All servers hardened per CIS Benchmarks or DISA STIGs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Baseline configurations</w:t>
            </w:r>
          </w:p>
        </w:tc>
        <w:tc>
          <w:tcPr>
            <w:tcW w:type="dxa" w:w="4703"/>
            <w:shd w:val="clear" w:color="auto" w:fill="FFFFFF"/>
          </w:tcPr>
          <w:p>
            <w:r>
              <w:t>Approved hardening baseline defined for each OS type (Windows Server, Linux, etc.)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New systems</w:t>
            </w:r>
          </w:p>
        </w:tc>
        <w:tc>
          <w:tcPr>
            <w:tcW w:type="dxa" w:w="4703"/>
            <w:shd w:val="clear" w:color="auto" w:fill="EBF0F9"/>
          </w:tcPr>
          <w:p>
            <w:r>
              <w:t>Hardening applied before system is promoted to production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Compliance scanning</w:t>
            </w:r>
          </w:p>
        </w:tc>
        <w:tc>
          <w:tcPr>
            <w:tcW w:type="dxa" w:w="4703"/>
            <w:shd w:val="clear" w:color="auto" w:fill="FFFFFF"/>
          </w:tcPr>
          <w:p>
            <w:r>
              <w:t>Automated hardening compliance scans run quarterly and after significant changes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Scan results</w:t>
            </w:r>
          </w:p>
        </w:tc>
        <w:tc>
          <w:tcPr>
            <w:tcW w:type="dxa" w:w="4703"/>
            <w:shd w:val="clear" w:color="auto" w:fill="EBF0F9"/>
          </w:tcPr>
          <w:p>
            <w:r>
              <w:t>Findings tracked to remediation; critical findings remediated within 30 days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Services and ports</w:t>
            </w:r>
          </w:p>
        </w:tc>
        <w:tc>
          <w:tcPr>
            <w:tcW w:type="dxa" w:w="4703"/>
            <w:shd w:val="clear" w:color="auto" w:fill="FFFFFF"/>
          </w:tcPr>
          <w:p>
            <w:r>
              <w:t>Only required services running; firewall on host blocks all other ports</w:t>
            </w:r>
          </w:p>
        </w:tc>
      </w:tr>
    </w:tbl>
    <w:p/>
    <w:p>
      <w:pPr>
        <w:pStyle w:val="Heading2"/>
      </w:pPr>
      <w:r>
        <w:rPr>
          <w:color w:val="1F497D"/>
        </w:rPr>
        <w:t>3.3 Preventing Unauthorised Software (Application Allowlisting)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Standard users</w:t>
            </w:r>
          </w:p>
        </w:tc>
        <w:tc>
          <w:tcPr>
            <w:tcW w:type="dxa" w:w="4703"/>
            <w:shd w:val="clear" w:color="auto" w:fill="EBF0F9"/>
          </w:tcPr>
          <w:p>
            <w:r>
              <w:t>No local administrator rights on workstations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Application control</w:t>
            </w:r>
          </w:p>
        </w:tc>
        <w:tc>
          <w:tcPr>
            <w:tcW w:type="dxa" w:w="4703"/>
            <w:shd w:val="clear" w:color="auto" w:fill="FFFFFF"/>
          </w:tcPr>
          <w:p>
            <w:r>
              <w:t>Application allowlisting enforced on all endpoints via management tool (e.g., Microsoft Intune, JAMF)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Software approval</w:t>
            </w:r>
          </w:p>
        </w:tc>
        <w:tc>
          <w:tcPr>
            <w:tcW w:type="dxa" w:w="4703"/>
            <w:shd w:val="clear" w:color="auto" w:fill="EBF0F9"/>
          </w:tcPr>
          <w:p>
            <w:r>
              <w:t>All new software requires IT/Security approval before deployment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Unapproved software</w:t>
            </w:r>
          </w:p>
        </w:tc>
        <w:tc>
          <w:tcPr>
            <w:tcW w:type="dxa" w:w="4703"/>
            <w:shd w:val="clear" w:color="auto" w:fill="FFFFFF"/>
          </w:tcPr>
          <w:p>
            <w:r>
              <w:t>Unauthorised software installation blocked by technical control; attempts logged and alerted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Software inventory</w:t>
            </w:r>
          </w:p>
        </w:tc>
        <w:tc>
          <w:tcPr>
            <w:tcW w:type="dxa" w:w="4703"/>
            <w:shd w:val="clear" w:color="auto" w:fill="EBF0F9"/>
          </w:tcPr>
          <w:p>
            <w:r>
              <w:t>Approved software inventory maintained and reviewed quarterly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Portable media</w:t>
            </w:r>
          </w:p>
        </w:tc>
        <w:tc>
          <w:tcPr>
            <w:tcW w:type="dxa" w:w="4703"/>
            <w:shd w:val="clear" w:color="auto" w:fill="FFFFFF"/>
          </w:tcPr>
          <w:p>
            <w:r>
              <w:t>USB/portable media use restricted and controlled by policy and technical control</w:t>
            </w:r>
          </w:p>
        </w:tc>
      </w:tr>
    </w:tbl>
    <w:p/>
    <w:p>
      <w:pPr>
        <w:pStyle w:val="Heading1"/>
      </w:pPr>
      <w:r>
        <w:rPr>
          <w:color w:val="1F497D"/>
        </w:rPr>
        <w:t>4. Roles and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CISO</w:t>
            </w:r>
          </w:p>
        </w:tc>
        <w:tc>
          <w:tcPr>
            <w:tcW w:type="dxa" w:w="4703"/>
            <w:shd w:val="clear" w:color="auto" w:fill="EBF0F9"/>
          </w:tcPr>
          <w:p>
            <w:r>
              <w:t>Policy ownership; exception approval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IT/Systems Team</w:t>
            </w:r>
          </w:p>
        </w:tc>
        <w:tc>
          <w:tcPr>
            <w:tcW w:type="dxa" w:w="4703"/>
            <w:shd w:val="clear" w:color="auto" w:fill="FFFFFF"/>
          </w:tcPr>
          <w:p>
            <w:r>
              <w:t>Apply hardening baselines to all systems; run compliance scans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Security Team</w:t>
            </w:r>
          </w:p>
        </w:tc>
        <w:tc>
          <w:tcPr>
            <w:tcW w:type="dxa" w:w="4703"/>
            <w:shd w:val="clear" w:color="auto" w:fill="EBF0F9"/>
          </w:tcPr>
          <w:p>
            <w:r>
              <w:t>Review scan results; track remediation of findings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IT Management</w:t>
            </w:r>
          </w:p>
        </w:tc>
        <w:tc>
          <w:tcPr>
            <w:tcW w:type="dxa" w:w="4703"/>
            <w:shd w:val="clear" w:color="auto" w:fill="FFFFFF"/>
          </w:tcPr>
          <w:p>
            <w:r>
              <w:t>Approve software allowlist; review quarterly inventory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Procurement</w:t>
            </w:r>
          </w:p>
        </w:tc>
        <w:tc>
          <w:tcPr>
            <w:tcW w:type="dxa" w:w="4703"/>
            <w:shd w:val="clear" w:color="auto" w:fill="EBF0F9"/>
          </w:tcPr>
          <w:p>
            <w:r>
              <w:t>Ensure new hardware/software procurement triggers hardening process</w:t>
            </w:r>
          </w:p>
        </w:tc>
      </w:tr>
    </w:tbl>
    <w:p/>
    <w:p>
      <w:pPr>
        <w:pStyle w:val="Heading1"/>
      </w:pPr>
      <w:r>
        <w:rPr>
          <w:color w:val="1F497D"/>
        </w:rPr>
        <w:t>5. Required Evidence / Documentation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Document / Evidence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1</w:t>
            </w:r>
          </w:p>
        </w:tc>
        <w:tc>
          <w:tcPr>
            <w:tcW w:type="dxa" w:w="3135"/>
            <w:shd w:val="clear" w:color="auto" w:fill="EBF0F9"/>
          </w:tcPr>
          <w:p>
            <w:r>
              <w:t>Network device hardening standard (CIS-aligned)</w:t>
            </w:r>
          </w:p>
        </w:tc>
        <w:tc>
          <w:tcPr>
            <w:tcW w:type="dxa" w:w="3135"/>
            <w:shd w:val="clear" w:color="auto" w:fill="EBF0F9"/>
          </w:tcPr>
          <w:p>
            <w:r>
              <w:t>Annual review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2</w:t>
            </w:r>
          </w:p>
        </w:tc>
        <w:tc>
          <w:tcPr>
            <w:tcW w:type="dxa" w:w="3135"/>
            <w:shd w:val="clear" w:color="auto" w:fill="FFFFFF"/>
          </w:tcPr>
          <w:p>
            <w:r>
              <w:t>OS/platform hardening baselines per OS type</w:t>
            </w:r>
          </w:p>
        </w:tc>
        <w:tc>
          <w:tcPr>
            <w:tcW w:type="dxa" w:w="3135"/>
            <w:shd w:val="clear" w:color="auto" w:fill="FFFFFF"/>
          </w:tcPr>
          <w:p>
            <w:r>
              <w:t>Annual review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3</w:t>
            </w:r>
          </w:p>
        </w:tc>
        <w:tc>
          <w:tcPr>
            <w:tcW w:type="dxa" w:w="3135"/>
            <w:shd w:val="clear" w:color="auto" w:fill="EBF0F9"/>
          </w:tcPr>
          <w:p>
            <w:r>
              <w:t>Automated configuration compliance scan results</w:t>
            </w:r>
          </w:p>
        </w:tc>
        <w:tc>
          <w:tcPr>
            <w:tcW w:type="dxa" w:w="3135"/>
            <w:shd w:val="clear" w:color="auto" w:fill="EBF0F9"/>
          </w:tcPr>
          <w:p>
            <w:r>
              <w:t>Quarterly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4</w:t>
            </w:r>
          </w:p>
        </w:tc>
        <w:tc>
          <w:tcPr>
            <w:tcW w:type="dxa" w:w="3135"/>
            <w:shd w:val="clear" w:color="auto" w:fill="FFFFFF"/>
          </w:tcPr>
          <w:p>
            <w:r>
              <w:t>Application allowlisting policy and tool evidence</w:t>
            </w:r>
          </w:p>
        </w:tc>
        <w:tc>
          <w:tcPr>
            <w:tcW w:type="dxa" w:w="3135"/>
            <w:shd w:val="clear" w:color="auto" w:fill="FFFFFF"/>
          </w:tcPr>
          <w:p>
            <w:r>
              <w:t>Annual / on change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5</w:t>
            </w:r>
          </w:p>
        </w:tc>
        <w:tc>
          <w:tcPr>
            <w:tcW w:type="dxa" w:w="3135"/>
            <w:shd w:val="clear" w:color="auto" w:fill="EBF0F9"/>
          </w:tcPr>
          <w:p>
            <w:r>
              <w:t>User privilege restriction documentation</w:t>
            </w:r>
          </w:p>
        </w:tc>
        <w:tc>
          <w:tcPr>
            <w:tcW w:type="dxa" w:w="3135"/>
            <w:shd w:val="clear" w:color="auto" w:fill="EBF0F9"/>
          </w:tcPr>
          <w:p>
            <w:r>
              <w:t>Annual review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6</w:t>
            </w:r>
          </w:p>
        </w:tc>
        <w:tc>
          <w:tcPr>
            <w:tcW w:type="dxa" w:w="3135"/>
            <w:shd w:val="clear" w:color="auto" w:fill="FFFFFF"/>
          </w:tcPr>
          <w:p>
            <w:r>
              <w:t>Software inventory (approved applications)</w:t>
            </w:r>
          </w:p>
        </w:tc>
        <w:tc>
          <w:tcPr>
            <w:tcW w:type="dxa" w:w="3135"/>
            <w:shd w:val="clear" w:color="auto" w:fill="FFFFFF"/>
          </w:tcPr>
          <w:p>
            <w:r>
              <w:t>Quarterly review</w:t>
            </w:r>
          </w:p>
        </w:tc>
      </w:tr>
    </w:tbl>
    <w:p/>
    <w:p>
      <w:pPr>
        <w:pStyle w:val="Heading1"/>
      </w:pPr>
      <w:r>
        <w:rPr>
          <w:color w:val="1F497D"/>
        </w:rPr>
        <w:t>6. Exceptions</w:t>
      </w:r>
    </w:p>
    <w:p>
      <w:r>
        <w:t>Written CISO approval required; compensating controls documented; reviewed quarterly.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