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POL-03: Endpoint Protection &amp; Anti-Malware Policy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703"/>
          </w:tcPr>
          <w:p>
            <w:r>
              <w:t>POL-03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Policy Title</w:t>
            </w:r>
          </w:p>
        </w:tc>
        <w:tc>
          <w:tcPr>
            <w:tcW w:type="dxa" w:w="4703"/>
          </w:tcPr>
          <w:p>
            <w:r>
              <w:t>Endpoint Protection &amp; Anti-Malware Policy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703"/>
          </w:tcPr>
          <w:p>
            <w:r>
              <w:t>[DD/MM/YYYY]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703"/>
          </w:tcPr>
          <w:p>
            <w:r>
              <w:t>[DD/MM/YYYY] (Annual)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703"/>
          </w:tcPr>
          <w:p>
            <w:r>
              <w:t>CISO / IT Manager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4703"/>
          </w:tcPr>
          <w:p>
            <w:r>
              <w:t>[Name / Board]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703"/>
          </w:tcPr>
          <w:p>
            <w:r>
              <w:t>Internal – Confidential</w:t>
            </w:r>
          </w:p>
        </w:tc>
      </w:tr>
    </w:tbl>
    <w:p/>
    <w:p>
      <w:pPr>
        <w:pStyle w:val="Heading1"/>
      </w:pPr>
      <w:r>
        <w:rPr>
          <w:color w:val="1F497D"/>
        </w:rPr>
        <w:t>1. Purpose</w:t>
      </w:r>
    </w:p>
    <w:p>
      <w:r>
        <w:t>To protect all organisational endpoints against malware, ransomware, and other malicious software threats through deployment of endpoint detection and response (EDR) tools and enforcing consistent anti-malware standards.</w:t>
      </w:r>
    </w:p>
    <w:p>
      <w:pPr>
        <w:pStyle w:val="Heading1"/>
      </w:pPr>
      <w:r>
        <w:rPr>
          <w:color w:val="1F497D"/>
        </w:rPr>
        <w:t>2. 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Applies To</w:t>
            </w:r>
          </w:p>
        </w:tc>
      </w:tr>
      <w:tr>
        <w:tc>
          <w:tcPr>
            <w:tcW w:type="dxa" w:w="9406"/>
            <w:shd w:val="clear" w:color="auto" w:fill="EBF0F9"/>
          </w:tcPr>
          <w:p>
            <w:r>
              <w:t>All workstations and laptops (Windows, macOS, Linux)</w:t>
            </w:r>
          </w:p>
        </w:tc>
      </w:tr>
      <w:tr>
        <w:tc>
          <w:tcPr>
            <w:tcW w:type="dxa" w:w="9406"/>
            <w:shd w:val="clear" w:color="auto" w:fill="FFFFFF"/>
          </w:tcPr>
          <w:p>
            <w:r>
              <w:t>All servers (physical, virtual, cloud)</w:t>
            </w:r>
          </w:p>
        </w:tc>
      </w:tr>
      <w:tr>
        <w:tc>
          <w:tcPr>
            <w:tcW w:type="dxa" w:w="9406"/>
            <w:shd w:val="clear" w:color="auto" w:fill="EBF0F9"/>
          </w:tcPr>
          <w:p>
            <w:r>
              <w:t>All mobile devices with access to corporate data</w:t>
            </w:r>
          </w:p>
        </w:tc>
      </w:tr>
      <w:tr>
        <w:tc>
          <w:tcPr>
            <w:tcW w:type="dxa" w:w="9406"/>
            <w:shd w:val="clear" w:color="auto" w:fill="FFFFFF"/>
          </w:tcPr>
          <w:p>
            <w:r>
              <w:t>Contractor-managed devices connecting to corporate resources</w:t>
            </w:r>
          </w:p>
        </w:tc>
      </w:tr>
    </w:tbl>
    <w:p/>
    <w:p>
      <w:pPr>
        <w:pStyle w:val="Heading1"/>
      </w:pPr>
      <w:r>
        <w:rPr>
          <w:color w:val="1F497D"/>
        </w:rPr>
        <w:t>3. Policy Statements</w:t>
      </w:r>
    </w:p>
    <w:p>
      <w:pPr>
        <w:pStyle w:val="Heading2"/>
      </w:pPr>
      <w:r>
        <w:rPr>
          <w:color w:val="1F497D"/>
        </w:rPr>
        <w:t>3.1 EDR / Anti-Malware Deployment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Coverage</w:t>
            </w:r>
          </w:p>
        </w:tc>
        <w:tc>
          <w:tcPr>
            <w:tcW w:type="dxa" w:w="4703"/>
            <w:shd w:val="clear" w:color="auto" w:fill="EBF0F9"/>
          </w:tcPr>
          <w:p>
            <w:r>
              <w:t>EDR/anti-malware solution deployed on 100% of endpoints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Approved solution</w:t>
            </w:r>
          </w:p>
        </w:tc>
        <w:tc>
          <w:tcPr>
            <w:tcW w:type="dxa" w:w="4703"/>
            <w:shd w:val="clear" w:color="auto" w:fill="FFFFFF"/>
          </w:tcPr>
          <w:p>
            <w:r>
              <w:t>Centralised enterprise-grade EDR solution approved by CISO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Real-time protection</w:t>
            </w:r>
          </w:p>
        </w:tc>
        <w:tc>
          <w:tcPr>
            <w:tcW w:type="dxa" w:w="4703"/>
            <w:shd w:val="clear" w:color="auto" w:fill="EBF0F9"/>
          </w:tcPr>
          <w:p>
            <w:r>
              <w:t>Real-time file scanning and process monitoring enabled at all times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Tampering</w:t>
            </w:r>
          </w:p>
        </w:tc>
        <w:tc>
          <w:tcPr>
            <w:tcW w:type="dxa" w:w="4703"/>
            <w:shd w:val="clear" w:color="auto" w:fill="FFFFFF"/>
          </w:tcPr>
          <w:p>
            <w:r>
              <w:t>Users cannot disable or modify anti-malware settings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Coverage reporting</w:t>
            </w:r>
          </w:p>
        </w:tc>
        <w:tc>
          <w:tcPr>
            <w:tcW w:type="dxa" w:w="4703"/>
            <w:shd w:val="clear" w:color="auto" w:fill="EBF0F9"/>
          </w:tcPr>
          <w:p>
            <w:r>
              <w:t>Endpoint coverage report reviewed monthly by IT Management</w:t>
            </w:r>
          </w:p>
        </w:tc>
      </w:tr>
    </w:tbl>
    <w:p/>
    <w:p>
      <w:pPr>
        <w:pStyle w:val="Heading2"/>
      </w:pPr>
      <w:r>
        <w:rPr>
          <w:color w:val="1F497D"/>
        </w:rPr>
        <w:t>3.2 Signature and Threat Intelligence Updates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Update frequency</w:t>
            </w:r>
          </w:p>
        </w:tc>
        <w:tc>
          <w:tcPr>
            <w:tcW w:type="dxa" w:w="4703"/>
            <w:shd w:val="clear" w:color="auto" w:fill="EBF0F9"/>
          </w:tcPr>
          <w:p>
            <w:r>
              <w:t>Signatures and threat intelligence updated automatically every ≤4 hours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Update source</w:t>
            </w:r>
          </w:p>
        </w:tc>
        <w:tc>
          <w:tcPr>
            <w:tcW w:type="dxa" w:w="4703"/>
            <w:shd w:val="clear" w:color="auto" w:fill="FFFFFF"/>
          </w:tcPr>
          <w:p>
            <w:r>
              <w:t>Updates sourced from cloud-based threat intelligence platform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Offline systems</w:t>
            </w:r>
          </w:p>
        </w:tc>
        <w:tc>
          <w:tcPr>
            <w:tcW w:type="dxa" w:w="4703"/>
            <w:shd w:val="clear" w:color="auto" w:fill="EBF0F9"/>
          </w:tcPr>
          <w:p>
            <w:r>
              <w:t>Offline/air-gapped systems receive updates via approved offline mechanism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Failed updates</w:t>
            </w:r>
          </w:p>
        </w:tc>
        <w:tc>
          <w:tcPr>
            <w:tcW w:type="dxa" w:w="4703"/>
            <w:shd w:val="clear" w:color="auto" w:fill="FFFFFF"/>
          </w:tcPr>
          <w:p>
            <w:r>
              <w:t>Failed update attempts trigger automated alert within 1 hour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Zero-day response</w:t>
            </w:r>
          </w:p>
        </w:tc>
        <w:tc>
          <w:tcPr>
            <w:tcW w:type="dxa" w:w="4703"/>
            <w:shd w:val="clear" w:color="auto" w:fill="EBF0F9"/>
          </w:tcPr>
          <w:p>
            <w:r>
              <w:t>Behavioural analysis and heuristics enabled to detect unknown/zero-day threats</w:t>
            </w:r>
          </w:p>
        </w:tc>
      </w:tr>
    </w:tbl>
    <w:p/>
    <w:p>
      <w:pPr>
        <w:pStyle w:val="Heading2"/>
      </w:pPr>
      <w:r>
        <w:rPr>
          <w:color w:val="1F497D"/>
        </w:rPr>
        <w:t>3.3 Scanning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Scheduled scans</w:t>
            </w:r>
          </w:p>
        </w:tc>
        <w:tc>
          <w:tcPr>
            <w:tcW w:type="dxa" w:w="4703"/>
            <w:shd w:val="clear" w:color="auto" w:fill="EBF0F9"/>
          </w:tcPr>
          <w:p>
            <w:r>
              <w:t>Full system scan scheduled weekly on all endpoints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On-access scanning</w:t>
            </w:r>
          </w:p>
        </w:tc>
        <w:tc>
          <w:tcPr>
            <w:tcW w:type="dxa" w:w="4703"/>
            <w:shd w:val="clear" w:color="auto" w:fill="FFFFFF"/>
          </w:tcPr>
          <w:p>
            <w:r>
              <w:t>Real-time on-access scanning enabled at all times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Scan failures</w:t>
            </w:r>
          </w:p>
        </w:tc>
        <w:tc>
          <w:tcPr>
            <w:tcW w:type="dxa" w:w="4703"/>
            <w:shd w:val="clear" w:color="auto" w:fill="EBF0F9"/>
          </w:tcPr>
          <w:p>
            <w:r>
              <w:t>Failed scans trigger automated alerts to IT Security team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Quarantine</w:t>
            </w:r>
          </w:p>
        </w:tc>
        <w:tc>
          <w:tcPr>
            <w:tcW w:type="dxa" w:w="4703"/>
            <w:shd w:val="clear" w:color="auto" w:fill="FFFFFF"/>
          </w:tcPr>
          <w:p>
            <w:r>
              <w:t>Detected malware automatically quarantined; Security team notified immediately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Ransomware</w:t>
            </w:r>
          </w:p>
        </w:tc>
        <w:tc>
          <w:tcPr>
            <w:tcW w:type="dxa" w:w="4703"/>
            <w:shd w:val="clear" w:color="auto" w:fill="EBF0F9"/>
          </w:tcPr>
          <w:p>
            <w:r>
              <w:t>Ransomware protection and rollback capabilities enabled where supported</w:t>
            </w:r>
          </w:p>
        </w:tc>
      </w:tr>
    </w:tbl>
    <w:p/>
    <w:p>
      <w:pPr>
        <w:pStyle w:val="Heading2"/>
      </w:pPr>
      <w:r>
        <w:rPr>
          <w:color w:val="1F497D"/>
        </w:rPr>
        <w:t>3.4 Behavioural Analysis and Advanced Threat Detection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Behavioural analysis</w:t>
            </w:r>
          </w:p>
        </w:tc>
        <w:tc>
          <w:tcPr>
            <w:tcW w:type="dxa" w:w="4703"/>
            <w:shd w:val="clear" w:color="auto" w:fill="EBF0F9"/>
          </w:tcPr>
          <w:p>
            <w:r>
              <w:t>EDR must include behavioural analysis and anomaly detection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Threat hunting</w:t>
            </w:r>
          </w:p>
        </w:tc>
        <w:tc>
          <w:tcPr>
            <w:tcW w:type="dxa" w:w="4703"/>
            <w:shd w:val="clear" w:color="auto" w:fill="FFFFFF"/>
          </w:tcPr>
          <w:p>
            <w:r>
              <w:t>Security team conducts proactive threat hunting using EDR telemetry quarterly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Telemetry retention</w:t>
            </w:r>
          </w:p>
        </w:tc>
        <w:tc>
          <w:tcPr>
            <w:tcW w:type="dxa" w:w="4703"/>
            <w:shd w:val="clear" w:color="auto" w:fill="EBF0F9"/>
          </w:tcPr>
          <w:p>
            <w:r>
              <w:t>EDR telemetry retained for minimum 90 days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Integration</w:t>
            </w:r>
          </w:p>
        </w:tc>
        <w:tc>
          <w:tcPr>
            <w:tcW w:type="dxa" w:w="4703"/>
            <w:shd w:val="clear" w:color="auto" w:fill="FFFFFF"/>
          </w:tcPr>
          <w:p>
            <w:r>
              <w:t>EDR integrated with SIEM for centralised alerting and investigation</w:t>
            </w:r>
          </w:p>
        </w:tc>
      </w:tr>
    </w:tbl>
    <w:p/>
    <w:p>
      <w:pPr>
        <w:pStyle w:val="Heading1"/>
      </w:pPr>
      <w:r>
        <w:rPr>
          <w:color w:val="1F497D"/>
        </w:rPr>
        <w:t>4. Roles and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CISO</w:t>
            </w:r>
          </w:p>
        </w:tc>
        <w:tc>
          <w:tcPr>
            <w:tcW w:type="dxa" w:w="4703"/>
            <w:shd w:val="clear" w:color="auto" w:fill="EBF0F9"/>
          </w:tcPr>
          <w:p>
            <w:r>
              <w:t>Policy ownership; EDR solution approval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IT Team</w:t>
            </w:r>
          </w:p>
        </w:tc>
        <w:tc>
          <w:tcPr>
            <w:tcW w:type="dxa" w:w="4703"/>
            <w:shd w:val="clear" w:color="auto" w:fill="FFFFFF"/>
          </w:tcPr>
          <w:p>
            <w:r>
              <w:t>Deploy, configure, and maintain EDR on all endpoints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Security Operations</w:t>
            </w:r>
          </w:p>
        </w:tc>
        <w:tc>
          <w:tcPr>
            <w:tcW w:type="dxa" w:w="4703"/>
            <w:shd w:val="clear" w:color="auto" w:fill="EBF0F9"/>
          </w:tcPr>
          <w:p>
            <w:r>
              <w:t>Monitor alerts; investigate and respond to malware detections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IT Management</w:t>
            </w:r>
          </w:p>
        </w:tc>
        <w:tc>
          <w:tcPr>
            <w:tcW w:type="dxa" w:w="4703"/>
            <w:shd w:val="clear" w:color="auto" w:fill="FFFFFF"/>
          </w:tcPr>
          <w:p>
            <w:r>
              <w:t>Review monthly coverage report; approve exceptions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All Staff</w:t>
            </w:r>
          </w:p>
        </w:tc>
        <w:tc>
          <w:tcPr>
            <w:tcW w:type="dxa" w:w="4703"/>
            <w:shd w:val="clear" w:color="auto" w:fill="EBF0F9"/>
          </w:tcPr>
          <w:p>
            <w:r>
              <w:t>Not disable security software; report suspicious behaviour immediately</w:t>
            </w:r>
          </w:p>
        </w:tc>
      </w:tr>
    </w:tbl>
    <w:p/>
    <w:p>
      <w:pPr>
        <w:pStyle w:val="Heading1"/>
      </w:pPr>
      <w:r>
        <w:rPr>
          <w:color w:val="1F497D"/>
        </w:rPr>
        <w:t>5. Required Evidence / Documentation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Document / Evidence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1</w:t>
            </w:r>
          </w:p>
        </w:tc>
        <w:tc>
          <w:tcPr>
            <w:tcW w:type="dxa" w:w="3135"/>
            <w:shd w:val="clear" w:color="auto" w:fill="EBF0F9"/>
          </w:tcPr>
          <w:p>
            <w:r>
              <w:t>EDR solution name, version, and configuration documentation</w:t>
            </w:r>
          </w:p>
        </w:tc>
        <w:tc>
          <w:tcPr>
            <w:tcW w:type="dxa" w:w="3135"/>
            <w:shd w:val="clear" w:color="auto" w:fill="EBF0F9"/>
          </w:tcPr>
          <w:p>
            <w:r>
              <w:t>Annual / on change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t>Endpoint coverage inventory report</w:t>
            </w:r>
          </w:p>
        </w:tc>
        <w:tc>
          <w:tcPr>
            <w:tcW w:type="dxa" w:w="3135"/>
            <w:shd w:val="clear" w:color="auto" w:fill="FFFFFF"/>
          </w:tcPr>
          <w:p>
            <w:r>
              <w:t>Monthly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3</w:t>
            </w:r>
          </w:p>
        </w:tc>
        <w:tc>
          <w:tcPr>
            <w:tcW w:type="dxa" w:w="3135"/>
            <w:shd w:val="clear" w:color="auto" w:fill="EBF0F9"/>
          </w:tcPr>
          <w:p>
            <w:r>
              <w:t>Update frequency configuration evidence</w:t>
            </w:r>
          </w:p>
        </w:tc>
        <w:tc>
          <w:tcPr>
            <w:tcW w:type="dxa" w:w="3135"/>
            <w:shd w:val="clear" w:color="auto" w:fill="EBF0F9"/>
          </w:tcPr>
          <w:p>
            <w:r>
              <w:t>Annual / on change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t>Most recent weekly scan results summary</w:t>
            </w:r>
          </w:p>
        </w:tc>
        <w:tc>
          <w:tcPr>
            <w:tcW w:type="dxa" w:w="3135"/>
            <w:shd w:val="clear" w:color="auto" w:fill="FFFFFF"/>
          </w:tcPr>
          <w:p>
            <w:r>
              <w:t>Monthly review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5</w:t>
            </w:r>
          </w:p>
        </w:tc>
        <w:tc>
          <w:tcPr>
            <w:tcW w:type="dxa" w:w="3135"/>
            <w:shd w:val="clear" w:color="auto" w:fill="EBF0F9"/>
          </w:tcPr>
          <w:p>
            <w:r>
              <w:t>Malware detection and quarantine incident log</w:t>
            </w:r>
          </w:p>
        </w:tc>
        <w:tc>
          <w:tcPr>
            <w:tcW w:type="dxa" w:w="3135"/>
            <w:shd w:val="clear" w:color="auto" w:fill="EBF0F9"/>
          </w:tcPr>
          <w:p>
            <w:r>
              <w:t>Ongoing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t>SIEM integration configuration evidence</w:t>
            </w:r>
          </w:p>
        </w:tc>
        <w:tc>
          <w:tcPr>
            <w:tcW w:type="dxa" w:w="3135"/>
            <w:shd w:val="clear" w:color="auto" w:fill="FFFFFF"/>
          </w:tcPr>
          <w:p>
            <w:r>
              <w:t>Annual</w:t>
            </w:r>
          </w:p>
        </w:tc>
      </w:tr>
    </w:tbl>
    <w:p/>
    <w:p>
      <w:pPr>
        <w:pStyle w:val="Heading1"/>
      </w:pPr>
      <w:r>
        <w:rPr>
          <w:color w:val="1F497D"/>
        </w:rPr>
        <w:t>6. Exceptions</w:t>
      </w:r>
    </w:p>
    <w:p>
      <w:r>
        <w:t>CISO written approval required; compensating controls mandatory; reviewed quarterly.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