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POL-04: Vulnerability &amp; Patch Management Policy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Policy ID</w:t>
            </w:r>
          </w:p>
        </w:tc>
        <w:tc>
          <w:tcPr>
            <w:tcW w:type="dxa" w:w="4703"/>
          </w:tcPr>
          <w:p>
            <w:r>
              <w:t>POL-04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Policy Title</w:t>
            </w:r>
          </w:p>
        </w:tc>
        <w:tc>
          <w:tcPr>
            <w:tcW w:type="dxa" w:w="4703"/>
          </w:tcPr>
          <w:p>
            <w:r>
              <w:t>Vulnerability &amp; Patch Management Policy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703"/>
          </w:tcPr>
          <w:p>
            <w:r>
              <w:t>1.0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703"/>
          </w:tcPr>
          <w:p>
            <w:r>
              <w:t>[DD/MM/YYYY]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703"/>
          </w:tcPr>
          <w:p>
            <w:r>
              <w:t>[DD/MM/YYYY] (Annual)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703"/>
          </w:tcPr>
          <w:p>
            <w:r>
              <w:t>CISO / IT Manager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Approved By</w:t>
            </w:r>
          </w:p>
        </w:tc>
        <w:tc>
          <w:tcPr>
            <w:tcW w:type="dxa" w:w="4703"/>
          </w:tcPr>
          <w:p>
            <w:r>
              <w:t>[Name / Board]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703"/>
          </w:tcPr>
          <w:p>
            <w:r>
              <w:t>Internal – Confidential</w:t>
            </w:r>
          </w:p>
        </w:tc>
      </w:tr>
    </w:tbl>
    <w:p/>
    <w:p>
      <w:pPr>
        <w:pStyle w:val="Heading1"/>
      </w:pPr>
      <w:r>
        <w:rPr>
          <w:color w:val="1F497D"/>
        </w:rPr>
        <w:t>1. Purpose</w:t>
      </w:r>
    </w:p>
    <w:p>
      <w:r>
        <w:t>To ensure all systems, applications, and infrastructure are protected against known vulnerabilities through a structured, risk-based patching process, regular vulnerability scanning, penetration testing, and integration of up-to-date threat intelligence.</w:t>
      </w:r>
    </w:p>
    <w:p>
      <w:pPr>
        <w:pStyle w:val="Heading1"/>
      </w:pPr>
      <w:r>
        <w:rPr>
          <w:color w:val="1F497D"/>
        </w:rPr>
        <w:t>2. Scope</w:t>
      </w:r>
    </w:p>
    <w:p>
      <w:r>
        <w:t>All servers, workstations, network devices, operating systems, applications, and cloud platforms owned or managed by the organisation.</w:t>
      </w:r>
    </w:p>
    <w:p>
      <w:pPr>
        <w:pStyle w:val="Heading1"/>
      </w:pPr>
      <w:r>
        <w:rPr>
          <w:color w:val="1F497D"/>
        </w:rPr>
        <w:t>3. Policy Statements</w:t>
      </w:r>
    </w:p>
    <w:p>
      <w:pPr>
        <w:pStyle w:val="Heading2"/>
      </w:pPr>
      <w:r>
        <w:rPr>
          <w:color w:val="1F497D"/>
        </w:rPr>
        <w:t>3.1 Patch Management SLAs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Severity (CVSS)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Patch SLA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Critical (9.0–10.0)</w:t>
            </w:r>
          </w:p>
        </w:tc>
        <w:tc>
          <w:tcPr>
            <w:tcW w:type="dxa" w:w="3135"/>
            <w:shd w:val="clear" w:color="auto" w:fill="EBF0F9"/>
          </w:tcPr>
          <w:p>
            <w:r>
              <w:t>≤ 72 hours</w:t>
            </w:r>
          </w:p>
        </w:tc>
        <w:tc>
          <w:tcPr>
            <w:tcW w:type="dxa" w:w="3135"/>
            <w:shd w:val="clear" w:color="auto" w:fill="EBF0F9"/>
          </w:tcPr>
          <w:p>
            <w:r>
              <w:t>Emergency change process; CISO notified immediately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High (7.0–8.9)</w:t>
            </w:r>
          </w:p>
        </w:tc>
        <w:tc>
          <w:tcPr>
            <w:tcW w:type="dxa" w:w="3135"/>
            <w:shd w:val="clear" w:color="auto" w:fill="FFFFFF"/>
          </w:tcPr>
          <w:p>
            <w:r>
              <w:t>≤ 7 days</w:t>
            </w:r>
          </w:p>
        </w:tc>
        <w:tc>
          <w:tcPr>
            <w:tcW w:type="dxa" w:w="3135"/>
            <w:shd w:val="clear" w:color="auto" w:fill="FFFFFF"/>
          </w:tcPr>
          <w:p>
            <w:r>
              <w:t>Expedited change process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Medium (4.0–6.9)</w:t>
            </w:r>
          </w:p>
        </w:tc>
        <w:tc>
          <w:tcPr>
            <w:tcW w:type="dxa" w:w="3135"/>
            <w:shd w:val="clear" w:color="auto" w:fill="EBF0F9"/>
          </w:tcPr>
          <w:p>
            <w:r>
              <w:t>≤ 30 days</w:t>
            </w:r>
          </w:p>
        </w:tc>
        <w:tc>
          <w:tcPr>
            <w:tcW w:type="dxa" w:w="3135"/>
            <w:shd w:val="clear" w:color="auto" w:fill="EBF0F9"/>
          </w:tcPr>
          <w:p>
            <w:r>
              <w:t>Standard change process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Low (0.1–3.9)</w:t>
            </w:r>
          </w:p>
        </w:tc>
        <w:tc>
          <w:tcPr>
            <w:tcW w:type="dxa" w:w="3135"/>
            <w:shd w:val="clear" w:color="auto" w:fill="FFFFFF"/>
          </w:tcPr>
          <w:p>
            <w:r>
              <w:t>≤ 90 days</w:t>
            </w:r>
          </w:p>
        </w:tc>
        <w:tc>
          <w:tcPr>
            <w:tcW w:type="dxa" w:w="3135"/>
            <w:shd w:val="clear" w:color="auto" w:fill="FFFFFF"/>
          </w:tcPr>
          <w:p>
            <w:r>
              <w:t>Planned maintenance window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Zero-Day (no patch available)</w:t>
            </w:r>
          </w:p>
        </w:tc>
        <w:tc>
          <w:tcPr>
            <w:tcW w:type="dxa" w:w="3135"/>
            <w:shd w:val="clear" w:color="auto" w:fill="EBF0F9"/>
          </w:tcPr>
          <w:p>
            <w:r>
              <w:t>Compensating control within 24 hours</w:t>
            </w:r>
          </w:p>
        </w:tc>
        <w:tc>
          <w:tcPr>
            <w:tcW w:type="dxa" w:w="3135"/>
            <w:shd w:val="clear" w:color="auto" w:fill="EBF0F9"/>
          </w:tcPr>
          <w:p>
            <w:r>
              <w:t>Documented in risk register; monitored until patch available</w:t>
            </w:r>
          </w:p>
        </w:tc>
      </w:tr>
    </w:tbl>
    <w:p/>
    <w:p>
      <w:pPr>
        <w:pStyle w:val="Heading2"/>
      </w:pPr>
      <w:r>
        <w:rPr>
          <w:color w:val="1F497D"/>
        </w:rPr>
        <w:t>3.2 Patch Testing and Deployment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Testing</w:t>
            </w:r>
          </w:p>
        </w:tc>
        <w:tc>
          <w:tcPr>
            <w:tcW w:type="dxa" w:w="4703"/>
            <w:shd w:val="clear" w:color="auto" w:fill="EBF0F9"/>
          </w:tcPr>
          <w:p>
            <w:r>
              <w:t>All patches tested in non-production (Dev/Test) environment before production deployment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Emergency patches</w:t>
            </w:r>
          </w:p>
        </w:tc>
        <w:tc>
          <w:tcPr>
            <w:tcW w:type="dxa" w:w="4703"/>
            <w:shd w:val="clear" w:color="auto" w:fill="FFFFFF"/>
          </w:tcPr>
          <w:p>
            <w:r>
              <w:t>Emergency process allows expedited deployment for Critical/zero-day; post-deployment testing documented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Rollback</w:t>
            </w:r>
          </w:p>
        </w:tc>
        <w:tc>
          <w:tcPr>
            <w:tcW w:type="dxa" w:w="4703"/>
            <w:shd w:val="clear" w:color="auto" w:fill="EBF0F9"/>
          </w:tcPr>
          <w:p>
            <w:r>
              <w:t>Rollback plan required for all patches; tested for critical systems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Compliance tracking</w:t>
            </w:r>
          </w:p>
        </w:tc>
        <w:tc>
          <w:tcPr>
            <w:tcW w:type="dxa" w:w="4703"/>
            <w:shd w:val="clear" w:color="auto" w:fill="FFFFFF"/>
          </w:tcPr>
          <w:p>
            <w:r>
              <w:t>Patch compliance reports generated monthly; exceptions documented and risk-accepted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Authorisation</w:t>
            </w:r>
          </w:p>
        </w:tc>
        <w:tc>
          <w:tcPr>
            <w:tcW w:type="dxa" w:w="4703"/>
            <w:shd w:val="clear" w:color="auto" w:fill="EBF0F9"/>
          </w:tcPr>
          <w:p>
            <w:r>
              <w:t>All patches deployed via formal Change Management process</w:t>
            </w:r>
          </w:p>
        </w:tc>
      </w:tr>
    </w:tbl>
    <w:p/>
    <w:p>
      <w:pPr>
        <w:pStyle w:val="Heading2"/>
      </w:pPr>
      <w:r>
        <w:rPr>
          <w:color w:val="1F497D"/>
        </w:rPr>
        <w:t>3.3 Vulnerability Scanning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Internal scanning</w:t>
            </w:r>
          </w:p>
        </w:tc>
        <w:tc>
          <w:tcPr>
            <w:tcW w:type="dxa" w:w="4703"/>
            <w:shd w:val="clear" w:color="auto" w:fill="EBF0F9"/>
          </w:tcPr>
          <w:p>
            <w:r>
              <w:t>Automated vulnerability scans run monthly on all internal systems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External scanning</w:t>
            </w:r>
          </w:p>
        </w:tc>
        <w:tc>
          <w:tcPr>
            <w:tcW w:type="dxa" w:w="4703"/>
            <w:shd w:val="clear" w:color="auto" w:fill="FFFFFF"/>
          </w:tcPr>
          <w:p>
            <w:r>
              <w:t>Automated external vulnerability scans run monthly on all internet-facing assets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Scan credentials</w:t>
            </w:r>
          </w:p>
        </w:tc>
        <w:tc>
          <w:tcPr>
            <w:tcW w:type="dxa" w:w="4703"/>
            <w:shd w:val="clear" w:color="auto" w:fill="EBF0F9"/>
          </w:tcPr>
          <w:p>
            <w:r>
              <w:t>Authenticated scans used where possible to improve detection accuracy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Findings</w:t>
            </w:r>
          </w:p>
        </w:tc>
        <w:tc>
          <w:tcPr>
            <w:tcW w:type="dxa" w:w="4703"/>
            <w:shd w:val="clear" w:color="auto" w:fill="FFFFFF"/>
          </w:tcPr>
          <w:p>
            <w:r>
              <w:t>Findings classified by CVSS score and business risk; tracked to remediation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Remediation tracking</w:t>
            </w:r>
          </w:p>
        </w:tc>
        <w:tc>
          <w:tcPr>
            <w:tcW w:type="dxa" w:w="4703"/>
            <w:shd w:val="clear" w:color="auto" w:fill="EBF0F9"/>
          </w:tcPr>
          <w:p>
            <w:r>
              <w:t>All findings tracked in a remediation register; overdue items escalated to CISO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Tool</w:t>
            </w:r>
          </w:p>
        </w:tc>
        <w:tc>
          <w:tcPr>
            <w:tcW w:type="dxa" w:w="4703"/>
            <w:shd w:val="clear" w:color="auto" w:fill="FFFFFF"/>
          </w:tcPr>
          <w:p>
            <w:r>
              <w:t>Approved enterprise vulnerability scanning tool (e.g., Nessus, Qualys, Rapid7)</w:t>
            </w:r>
          </w:p>
        </w:tc>
      </w:tr>
    </w:tbl>
    <w:p/>
    <w:p>
      <w:pPr>
        <w:pStyle w:val="Heading2"/>
      </w:pPr>
      <w:r>
        <w:rPr>
          <w:color w:val="1F497D"/>
        </w:rPr>
        <w:t>3.4 Penetration Testing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Internal pen test</w:t>
            </w:r>
          </w:p>
        </w:tc>
        <w:tc>
          <w:tcPr>
            <w:tcW w:type="dxa" w:w="4703"/>
            <w:shd w:val="clear" w:color="auto" w:fill="EBF0F9"/>
          </w:tcPr>
          <w:p>
            <w:r>
              <w:t>Conducted annually by qualified internal or third-party tester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External pen test</w:t>
            </w:r>
          </w:p>
        </w:tc>
        <w:tc>
          <w:tcPr>
            <w:tcW w:type="dxa" w:w="4703"/>
            <w:shd w:val="clear" w:color="auto" w:fill="FFFFFF"/>
          </w:tcPr>
          <w:p>
            <w:r>
              <w:t>Conducted annually by qualified independent third-party organisation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Web application</w:t>
            </w:r>
          </w:p>
        </w:tc>
        <w:tc>
          <w:tcPr>
            <w:tcW w:type="dxa" w:w="4703"/>
            <w:shd w:val="clear" w:color="auto" w:fill="EBF0F9"/>
          </w:tcPr>
          <w:p>
            <w:r>
              <w:t>Web app pen test conducted before any major release and annually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Scope</w:t>
            </w:r>
          </w:p>
        </w:tc>
        <w:tc>
          <w:tcPr>
            <w:tcW w:type="dxa" w:w="4703"/>
            <w:shd w:val="clear" w:color="auto" w:fill="FFFFFF"/>
          </w:tcPr>
          <w:p>
            <w:r>
              <w:t>Pen test scope defined and approved by CISO before commencement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Methodology</w:t>
            </w:r>
          </w:p>
        </w:tc>
        <w:tc>
          <w:tcPr>
            <w:tcW w:type="dxa" w:w="4703"/>
            <w:shd w:val="clear" w:color="auto" w:fill="EBF0F9"/>
          </w:tcPr>
          <w:p>
            <w:r>
              <w:t>Testing follows OWASP, PTES, or NIST SP 800-115 methodology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Findings</w:t>
            </w:r>
          </w:p>
        </w:tc>
        <w:tc>
          <w:tcPr>
            <w:tcW w:type="dxa" w:w="4703"/>
            <w:shd w:val="clear" w:color="auto" w:fill="FFFFFF"/>
          </w:tcPr>
          <w:p>
            <w:r>
              <w:t>All findings documented; critical/high findings remediated within SLA (see 3.1)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Retest</w:t>
            </w:r>
          </w:p>
        </w:tc>
        <w:tc>
          <w:tcPr>
            <w:tcW w:type="dxa" w:w="4703"/>
            <w:shd w:val="clear" w:color="auto" w:fill="EBF0F9"/>
          </w:tcPr>
          <w:p>
            <w:r>
              <w:t>Remediated findings retested to confirm closure</w:t>
            </w:r>
          </w:p>
        </w:tc>
      </w:tr>
    </w:tbl>
    <w:p/>
    <w:p>
      <w:pPr>
        <w:pStyle w:val="Heading2"/>
      </w:pPr>
      <w:r>
        <w:rPr>
          <w:color w:val="1F497D"/>
        </w:rPr>
        <w:t>3.5 Threat Intelligence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Subscriptions</w:t>
            </w:r>
          </w:p>
        </w:tc>
        <w:tc>
          <w:tcPr>
            <w:tcW w:type="dxa" w:w="4703"/>
            <w:shd w:val="clear" w:color="auto" w:fill="EBF0F9"/>
          </w:tcPr>
          <w:p>
            <w:r>
              <w:t>Organisation subscribes to CISA KEV, NVD, and relevant vendor security advisories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Triage process</w:t>
            </w:r>
          </w:p>
        </w:tc>
        <w:tc>
          <w:tcPr>
            <w:tcW w:type="dxa" w:w="4703"/>
            <w:shd w:val="clear" w:color="auto" w:fill="FFFFFF"/>
          </w:tcPr>
          <w:p>
            <w:r>
              <w:t>New vulnerabilities triaged using CVSS score with business risk overlay within 48 hours of disclosure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SIEM integration</w:t>
            </w:r>
          </w:p>
        </w:tc>
        <w:tc>
          <w:tcPr>
            <w:tcW w:type="dxa" w:w="4703"/>
            <w:shd w:val="clear" w:color="auto" w:fill="EBF0F9"/>
          </w:tcPr>
          <w:p>
            <w:r>
              <w:t>SIEM provides real-time alerting for new threat indicators matching organisation's assets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Intelligence sharing</w:t>
            </w:r>
          </w:p>
        </w:tc>
        <w:tc>
          <w:tcPr>
            <w:tcW w:type="dxa" w:w="4703"/>
            <w:shd w:val="clear" w:color="auto" w:fill="FFFFFF"/>
          </w:tcPr>
          <w:p>
            <w:r>
              <w:t>Participation in relevant Information Sharing &amp; Analysis Centres (ISACs) where applicable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Review</w:t>
            </w:r>
          </w:p>
        </w:tc>
        <w:tc>
          <w:tcPr>
            <w:tcW w:type="dxa" w:w="4703"/>
            <w:shd w:val="clear" w:color="auto" w:fill="EBF0F9"/>
          </w:tcPr>
          <w:p>
            <w:r>
              <w:t>Threat intelligence reviewed by Security team weekly</w:t>
            </w:r>
          </w:p>
        </w:tc>
      </w:tr>
    </w:tbl>
    <w:p/>
    <w:p>
      <w:pPr>
        <w:pStyle w:val="Heading1"/>
      </w:pPr>
      <w:r>
        <w:rPr>
          <w:color w:val="1F497D"/>
        </w:rPr>
        <w:t>4. Roles and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CISO</w:t>
            </w:r>
          </w:p>
        </w:tc>
        <w:tc>
          <w:tcPr>
            <w:tcW w:type="dxa" w:w="4703"/>
            <w:shd w:val="clear" w:color="auto" w:fill="EBF0F9"/>
          </w:tcPr>
          <w:p>
            <w:r>
              <w:t>Policy ownership; SLA approval; exception sign-off; escalation point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IT/Patch Team</w:t>
            </w:r>
          </w:p>
        </w:tc>
        <w:tc>
          <w:tcPr>
            <w:tcW w:type="dxa" w:w="4703"/>
            <w:shd w:val="clear" w:color="auto" w:fill="FFFFFF"/>
          </w:tcPr>
          <w:p>
            <w:r>
              <w:t>Deploy patches within SLA; maintain patch compliance reporting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Security Team</w:t>
            </w:r>
          </w:p>
        </w:tc>
        <w:tc>
          <w:tcPr>
            <w:tcW w:type="dxa" w:w="4703"/>
            <w:shd w:val="clear" w:color="auto" w:fill="EBF0F9"/>
          </w:tcPr>
          <w:p>
            <w:r>
              <w:t>Conduct vulnerability scans; manage remediation register; review threat intelligence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IT Management</w:t>
            </w:r>
          </w:p>
        </w:tc>
        <w:tc>
          <w:tcPr>
            <w:tcW w:type="dxa" w:w="4703"/>
            <w:shd w:val="clear" w:color="auto" w:fill="FFFFFF"/>
          </w:tcPr>
          <w:p>
            <w:r>
              <w:t>Approve change requests for patches; review monthly compliance reports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Development Team</w:t>
            </w:r>
          </w:p>
        </w:tc>
        <w:tc>
          <w:tcPr>
            <w:tcW w:type="dxa" w:w="4703"/>
            <w:shd w:val="clear" w:color="auto" w:fill="EBF0F9"/>
          </w:tcPr>
          <w:p>
            <w:r>
              <w:t>Apply patches to applications and frameworks within SLA</w:t>
            </w:r>
          </w:p>
        </w:tc>
      </w:tr>
    </w:tbl>
    <w:p/>
    <w:p>
      <w:pPr>
        <w:pStyle w:val="Heading1"/>
      </w:pPr>
      <w:r>
        <w:rPr>
          <w:color w:val="1F497D"/>
        </w:rPr>
        <w:t>5. Required Evidence / Documentation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Document / Evidence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1</w:t>
            </w:r>
          </w:p>
        </w:tc>
        <w:tc>
          <w:tcPr>
            <w:tcW w:type="dxa" w:w="3135"/>
            <w:shd w:val="clear" w:color="auto" w:fill="EBF0F9"/>
          </w:tcPr>
          <w:p>
            <w:r>
              <w:t>Patch management policy with SLA tiers</w:t>
            </w:r>
          </w:p>
        </w:tc>
        <w:tc>
          <w:tcPr>
            <w:tcW w:type="dxa" w:w="3135"/>
            <w:shd w:val="clear" w:color="auto" w:fill="EBF0F9"/>
          </w:tcPr>
          <w:p>
            <w:r>
              <w:t>Annual review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2</w:t>
            </w:r>
          </w:p>
        </w:tc>
        <w:tc>
          <w:tcPr>
            <w:tcW w:type="dxa" w:w="3135"/>
            <w:shd w:val="clear" w:color="auto" w:fill="FFFFFF"/>
          </w:tcPr>
          <w:p>
            <w:r>
              <w:t>Monthly patch compliance reports</w:t>
            </w:r>
          </w:p>
        </w:tc>
        <w:tc>
          <w:tcPr>
            <w:tcW w:type="dxa" w:w="3135"/>
            <w:shd w:val="clear" w:color="auto" w:fill="FFFFFF"/>
          </w:tcPr>
          <w:p>
            <w:r>
              <w:t>Monthly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3</w:t>
            </w:r>
          </w:p>
        </w:tc>
        <w:tc>
          <w:tcPr>
            <w:tcW w:type="dxa" w:w="3135"/>
            <w:shd w:val="clear" w:color="auto" w:fill="EBF0F9"/>
          </w:tcPr>
          <w:p>
            <w:r>
              <w:t>Vulnerability scan reports (internal &amp; external)</w:t>
            </w:r>
          </w:p>
        </w:tc>
        <w:tc>
          <w:tcPr>
            <w:tcW w:type="dxa" w:w="3135"/>
            <w:shd w:val="clear" w:color="auto" w:fill="EBF0F9"/>
          </w:tcPr>
          <w:p>
            <w:r>
              <w:t>Monthly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4</w:t>
            </w:r>
          </w:p>
        </w:tc>
        <w:tc>
          <w:tcPr>
            <w:tcW w:type="dxa" w:w="3135"/>
            <w:shd w:val="clear" w:color="auto" w:fill="FFFFFF"/>
          </w:tcPr>
          <w:p>
            <w:r>
              <w:t>Annual external penetration test report</w:t>
            </w:r>
          </w:p>
        </w:tc>
        <w:tc>
          <w:tcPr>
            <w:tcW w:type="dxa" w:w="3135"/>
            <w:shd w:val="clear" w:color="auto" w:fill="FFFFFF"/>
          </w:tcPr>
          <w:p>
            <w:r>
              <w:t>Annual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5</w:t>
            </w:r>
          </w:p>
        </w:tc>
        <w:tc>
          <w:tcPr>
            <w:tcW w:type="dxa" w:w="3135"/>
            <w:shd w:val="clear" w:color="auto" w:fill="EBF0F9"/>
          </w:tcPr>
          <w:p>
            <w:r>
              <w:t>Remediation tracking register</w:t>
            </w:r>
          </w:p>
        </w:tc>
        <w:tc>
          <w:tcPr>
            <w:tcW w:type="dxa" w:w="3135"/>
            <w:shd w:val="clear" w:color="auto" w:fill="EBF0F9"/>
          </w:tcPr>
          <w:p>
            <w:r>
              <w:t>Ongoing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6</w:t>
            </w:r>
          </w:p>
        </w:tc>
        <w:tc>
          <w:tcPr>
            <w:tcW w:type="dxa" w:w="3135"/>
            <w:shd w:val="clear" w:color="auto" w:fill="FFFFFF"/>
          </w:tcPr>
          <w:p>
            <w:r>
              <w:t>Emergency/zero-day patch procedure</w:t>
            </w:r>
          </w:p>
        </w:tc>
        <w:tc>
          <w:tcPr>
            <w:tcW w:type="dxa" w:w="3135"/>
            <w:shd w:val="clear" w:color="auto" w:fill="FFFFFF"/>
          </w:tcPr>
          <w:p>
            <w:r>
              <w:t>Annual review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7</w:t>
            </w:r>
          </w:p>
        </w:tc>
        <w:tc>
          <w:tcPr>
            <w:tcW w:type="dxa" w:w="3135"/>
            <w:shd w:val="clear" w:color="auto" w:fill="EBF0F9"/>
          </w:tcPr>
          <w:p>
            <w:r>
              <w:t>Threat intelligence subscription evidence</w:t>
            </w:r>
          </w:p>
        </w:tc>
        <w:tc>
          <w:tcPr>
            <w:tcW w:type="dxa" w:w="3135"/>
            <w:shd w:val="clear" w:color="auto" w:fill="EBF0F9"/>
          </w:tcPr>
          <w:p>
            <w:r>
              <w:t>Annual</w:t>
            </w:r>
          </w:p>
        </w:tc>
      </w:tr>
    </w:tbl>
    <w:p/>
    <w:p>
      <w:pPr>
        <w:pStyle w:val="Heading1"/>
      </w:pPr>
      <w:r>
        <w:rPr>
          <w:color w:val="1F497D"/>
        </w:rPr>
        <w:t>6. Exceptions</w:t>
      </w:r>
    </w:p>
    <w:p>
      <w:r>
        <w:t>Any deviation from patching SLAs must be CISO-approved; documented in risk register with compensating controls; reviewed monthly.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