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POL-06: Configuration Management Policy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Policy ID</w:t>
            </w:r>
          </w:p>
        </w:tc>
        <w:tc>
          <w:tcPr>
            <w:tcW w:type="dxa" w:w="4703"/>
          </w:tcPr>
          <w:p>
            <w:r>
              <w:t>POL-06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Policy Title</w:t>
            </w:r>
          </w:p>
        </w:tc>
        <w:tc>
          <w:tcPr>
            <w:tcW w:type="dxa" w:w="4703"/>
          </w:tcPr>
          <w:p>
            <w:r>
              <w:t>Configuration Management Policy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703"/>
          </w:tcPr>
          <w:p>
            <w:r>
              <w:t>1.0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703"/>
          </w:tcPr>
          <w:p>
            <w:r>
              <w:t>[DD/MM/YYYY]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703"/>
          </w:tcPr>
          <w:p>
            <w:r>
              <w:t>[DD/MM/YYYY] (Annual)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703"/>
          </w:tcPr>
          <w:p>
            <w:r>
              <w:t>CISO / IT Manager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4703"/>
          </w:tcPr>
          <w:p>
            <w:r>
              <w:t>[Name / Board]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703"/>
          </w:tcPr>
          <w:p>
            <w:r>
              <w:t>Internal – Confidential</w:t>
            </w:r>
          </w:p>
        </w:tc>
      </w:tr>
    </w:tbl>
    <w:p/>
    <w:p>
      <w:pPr>
        <w:pStyle w:val="Heading1"/>
      </w:pPr>
      <w:r>
        <w:rPr>
          <w:color w:val="1F497D"/>
        </w:rPr>
        <w:t>1. Purpose</w:t>
      </w:r>
    </w:p>
    <w:p>
      <w:r>
        <w:t>To ensure that all hardware, software, and system configurations are controlled, documented, and monitored to prevent unauthorised changes, maintain system integrity, and support security compliance.</w:t>
      </w:r>
    </w:p>
    <w:p>
      <w:pPr>
        <w:pStyle w:val="Heading1"/>
      </w:pPr>
      <w:r>
        <w:rPr>
          <w:color w:val="1F497D"/>
        </w:rPr>
        <w:t>2. Scope</w:t>
      </w:r>
    </w:p>
    <w:p>
      <w:r>
        <w:t>All hardware assets, software, operating systems, network devices, applications, and environments (Production, UAT, Dev, Test) managed by or on behalf of the organisation.</w:t>
      </w:r>
    </w:p>
    <w:p>
      <w:pPr>
        <w:pStyle w:val="Heading1"/>
      </w:pPr>
      <w:r>
        <w:rPr>
          <w:color w:val="1F497D"/>
        </w:rPr>
        <w:t>3. Policy Statements</w:t>
      </w:r>
    </w:p>
    <w:p>
      <w:pPr>
        <w:pStyle w:val="Heading2"/>
      </w:pPr>
      <w:r>
        <w:rPr>
          <w:color w:val="1F497D"/>
        </w:rPr>
        <w:t>3.1 Configuration Management Database (CMDB)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CMDB maintained</w:t>
            </w:r>
          </w:p>
        </w:tc>
        <w:tc>
          <w:tcPr>
            <w:tcW w:type="dxa" w:w="4703"/>
            <w:shd w:val="clear" w:color="auto" w:fill="EBF0F9"/>
          </w:tcPr>
          <w:p>
            <w:r>
              <w:t>CMDB maintained for all configuration items (CIs): hardware, software, network, cloud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CMDB accuracy</w:t>
            </w:r>
          </w:p>
        </w:tc>
        <w:tc>
          <w:tcPr>
            <w:tcW w:type="dxa" w:w="4703"/>
            <w:shd w:val="clear" w:color="auto" w:fill="FFFFFF"/>
          </w:tcPr>
          <w:p>
            <w:r>
              <w:t>CMDB updated within 24 hours of any change to a CI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CMDB access</w:t>
            </w:r>
          </w:p>
        </w:tc>
        <w:tc>
          <w:tcPr>
            <w:tcW w:type="dxa" w:w="4703"/>
            <w:shd w:val="clear" w:color="auto" w:fill="EBF0F9"/>
          </w:tcPr>
          <w:p>
            <w:r>
              <w:t>Access to CMDB restricted to authorised IT personnel; read access provided to Security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Asset discovery</w:t>
            </w:r>
          </w:p>
        </w:tc>
        <w:tc>
          <w:tcPr>
            <w:tcW w:type="dxa" w:w="4703"/>
            <w:shd w:val="clear" w:color="auto" w:fill="FFFFFF"/>
          </w:tcPr>
          <w:p>
            <w:r>
              <w:t>Automated asset discovery tools run weekly to detect unregistered assets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Annual audit</w:t>
            </w:r>
          </w:p>
        </w:tc>
        <w:tc>
          <w:tcPr>
            <w:tcW w:type="dxa" w:w="4703"/>
            <w:shd w:val="clear" w:color="auto" w:fill="EBF0F9"/>
          </w:tcPr>
          <w:p>
            <w:r>
              <w:t>Full CMDB audit conducted annually to verify accuracy</w:t>
            </w:r>
          </w:p>
        </w:tc>
      </w:tr>
    </w:tbl>
    <w:p/>
    <w:p>
      <w:pPr>
        <w:pStyle w:val="Heading2"/>
      </w:pPr>
      <w:r>
        <w:rPr>
          <w:color w:val="1F497D"/>
        </w:rPr>
        <w:t>3.2 Change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Formal process</w:t>
            </w:r>
          </w:p>
        </w:tc>
        <w:tc>
          <w:tcPr>
            <w:tcW w:type="dxa" w:w="4703"/>
            <w:shd w:val="clear" w:color="auto" w:fill="EBF0F9"/>
          </w:tcPr>
          <w:p>
            <w:r>
              <w:t>All configuration changes must follow the organisation's Change Management Process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Change types</w:t>
            </w:r>
          </w:p>
        </w:tc>
        <w:tc>
          <w:tcPr>
            <w:tcW w:type="dxa" w:w="4703"/>
            <w:shd w:val="clear" w:color="auto" w:fill="FFFFFF"/>
          </w:tcPr>
          <w:p>
            <w:r>
              <w:t>Standard, Normal, and Emergency change types defined with appropriate approval levels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Approval</w:t>
            </w:r>
          </w:p>
        </w:tc>
        <w:tc>
          <w:tcPr>
            <w:tcW w:type="dxa" w:w="4703"/>
            <w:shd w:val="clear" w:color="auto" w:fill="EBF0F9"/>
          </w:tcPr>
          <w:p>
            <w:r>
              <w:t>Changes require authorisation from Change Advisory Board (CAB) or delegated approver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Testing</w:t>
            </w:r>
          </w:p>
        </w:tc>
        <w:tc>
          <w:tcPr>
            <w:tcW w:type="dxa" w:w="4703"/>
            <w:shd w:val="clear" w:color="auto" w:fill="FFFFFF"/>
          </w:tcPr>
          <w:p>
            <w:r>
              <w:t>All changes tested in non-production environment before production deployment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Rollback plan</w:t>
            </w:r>
          </w:p>
        </w:tc>
        <w:tc>
          <w:tcPr>
            <w:tcW w:type="dxa" w:w="4703"/>
            <w:shd w:val="clear" w:color="auto" w:fill="EBF0F9"/>
          </w:tcPr>
          <w:p>
            <w:r>
              <w:t>Rollback plan required for every change; tested for critical systems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Emergency changes</w:t>
            </w:r>
          </w:p>
        </w:tc>
        <w:tc>
          <w:tcPr>
            <w:tcW w:type="dxa" w:w="4703"/>
            <w:shd w:val="clear" w:color="auto" w:fill="FFFFFF"/>
          </w:tcPr>
          <w:p>
            <w:r>
              <w:t>Expedited emergency change process documented; post-implementation review required within 48 hours</w:t>
            </w:r>
          </w:p>
        </w:tc>
      </w:tr>
    </w:tbl>
    <w:p/>
    <w:p>
      <w:pPr>
        <w:pStyle w:val="Heading2"/>
      </w:pPr>
      <w:r>
        <w:rPr>
          <w:color w:val="1F497D"/>
        </w:rPr>
        <w:t>3.3 Configuration Drift Detection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Automated monitoring</w:t>
            </w:r>
          </w:p>
        </w:tc>
        <w:tc>
          <w:tcPr>
            <w:tcW w:type="dxa" w:w="4703"/>
            <w:shd w:val="clear" w:color="auto" w:fill="EBF0F9"/>
          </w:tcPr>
          <w:p>
            <w:r>
              <w:t>Automated compliance scanning detects configuration drift on all systems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Alert threshold</w:t>
            </w:r>
          </w:p>
        </w:tc>
        <w:tc>
          <w:tcPr>
            <w:tcW w:type="dxa" w:w="4703"/>
            <w:shd w:val="clear" w:color="auto" w:fill="FFFFFF"/>
          </w:tcPr>
          <w:p>
            <w:r>
              <w:t>Unauthorised configuration changes trigger security alert within 1 hour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Drift response</w:t>
            </w:r>
          </w:p>
        </w:tc>
        <w:tc>
          <w:tcPr>
            <w:tcW w:type="dxa" w:w="4703"/>
            <w:shd w:val="clear" w:color="auto" w:fill="EBF0F9"/>
          </w:tcPr>
          <w:p>
            <w:r>
              <w:t>Security and IT team investigate and remediate drift within 24 hours (critical systems) / 72 hours (other)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Baseline maintenance</w:t>
            </w:r>
          </w:p>
        </w:tc>
        <w:tc>
          <w:tcPr>
            <w:tcW w:type="dxa" w:w="4703"/>
            <w:shd w:val="clear" w:color="auto" w:fill="FFFFFF"/>
          </w:tcPr>
          <w:p>
            <w:r>
              <w:t>Approved configuration baselines maintained for each system type; reviewed annually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Tool</w:t>
            </w:r>
          </w:p>
        </w:tc>
        <w:tc>
          <w:tcPr>
            <w:tcW w:type="dxa" w:w="4703"/>
            <w:shd w:val="clear" w:color="auto" w:fill="EBF0F9"/>
          </w:tcPr>
          <w:p>
            <w:r>
              <w:t>Approved configuration management tool used (e.g., Ansible, Puppet, Chef, Azure Policy, AWS Config)</w:t>
            </w:r>
          </w:p>
        </w:tc>
      </w:tr>
    </w:tbl>
    <w:p/>
    <w:p>
      <w:pPr>
        <w:pStyle w:val="Heading2"/>
      </w:pPr>
      <w:r>
        <w:rPr>
          <w:color w:val="1F497D"/>
        </w:rPr>
        <w:t>3.4 Environment Segregation (Production vs. Non-Production)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Strict segregation</w:t>
            </w:r>
          </w:p>
        </w:tc>
        <w:tc>
          <w:tcPr>
            <w:tcW w:type="dxa" w:w="4703"/>
            <w:shd w:val="clear" w:color="auto" w:fill="EBF0F9"/>
          </w:tcPr>
          <w:p>
            <w:r>
              <w:t>Production, UAT, Test, and Development environments are strictly separated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Technical controls</w:t>
            </w:r>
          </w:p>
        </w:tc>
        <w:tc>
          <w:tcPr>
            <w:tcW w:type="dxa" w:w="4703"/>
            <w:shd w:val="clear" w:color="auto" w:fill="FFFFFF"/>
          </w:tcPr>
          <w:p>
            <w:r>
              <w:t>Separate network zones, VLANs, and access controls for each environment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Access restriction</w:t>
            </w:r>
          </w:p>
        </w:tc>
        <w:tc>
          <w:tcPr>
            <w:tcW w:type="dxa" w:w="4703"/>
            <w:shd w:val="clear" w:color="auto" w:fill="EBF0F9"/>
          </w:tcPr>
          <w:p>
            <w:r>
              <w:t>Access to production restricted to authorised personnel only; separate credentials required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Production data in lower environments</w:t>
            </w:r>
          </w:p>
        </w:tc>
        <w:tc>
          <w:tcPr>
            <w:tcW w:type="dxa" w:w="4703"/>
            <w:shd w:val="clear" w:color="auto" w:fill="FFFFFF"/>
          </w:tcPr>
          <w:p>
            <w:r>
              <w:t>Prohibited without explicit CISO approval and application of data masking/anonymisation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Code promotion</w:t>
            </w:r>
          </w:p>
        </w:tc>
        <w:tc>
          <w:tcPr>
            <w:tcW w:type="dxa" w:w="4703"/>
            <w:shd w:val="clear" w:color="auto" w:fill="EBF0F9"/>
          </w:tcPr>
          <w:p>
            <w:r>
              <w:t>Code/configuration promoted from Dev → Test → UAT → Production via formal pipeline only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Review</w:t>
            </w:r>
          </w:p>
        </w:tc>
        <w:tc>
          <w:tcPr>
            <w:tcW w:type="dxa" w:w="4703"/>
            <w:shd w:val="clear" w:color="auto" w:fill="FFFFFF"/>
          </w:tcPr>
          <w:p>
            <w:r>
              <w:t>Environment segregation controls reviewed annually and after any significant architectural change</w:t>
            </w:r>
          </w:p>
        </w:tc>
      </w:tr>
    </w:tbl>
    <w:p/>
    <w:p>
      <w:pPr>
        <w:pStyle w:val="Heading1"/>
      </w:pPr>
      <w:r>
        <w:rPr>
          <w:color w:val="1F497D"/>
        </w:rPr>
        <w:t>4. Roles and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CISO</w:t>
            </w:r>
          </w:p>
        </w:tc>
        <w:tc>
          <w:tcPr>
            <w:tcW w:type="dxa" w:w="4703"/>
            <w:shd w:val="clear" w:color="auto" w:fill="EBF0F9"/>
          </w:tcPr>
          <w:p>
            <w:r>
              <w:t>Policy ownership; approve production data use in lower environments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IT/Change Manager</w:t>
            </w:r>
          </w:p>
        </w:tc>
        <w:tc>
          <w:tcPr>
            <w:tcW w:type="dxa" w:w="4703"/>
            <w:shd w:val="clear" w:color="auto" w:fill="FFFFFF"/>
          </w:tcPr>
          <w:p>
            <w:r>
              <w:t>Operate Change Management process; maintain CMDB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Security Team</w:t>
            </w:r>
          </w:p>
        </w:tc>
        <w:tc>
          <w:tcPr>
            <w:tcW w:type="dxa" w:w="4703"/>
            <w:shd w:val="clear" w:color="auto" w:fill="EBF0F9"/>
          </w:tcPr>
          <w:p>
            <w:r>
              <w:t>Monitor configuration drift alerts; investigate unauthorised changes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Development Team</w:t>
            </w:r>
          </w:p>
        </w:tc>
        <w:tc>
          <w:tcPr>
            <w:tcW w:type="dxa" w:w="4703"/>
            <w:shd w:val="clear" w:color="auto" w:fill="FFFFFF"/>
          </w:tcPr>
          <w:p>
            <w:r>
              <w:t>Use only approved non-production environments; follow code promotion pipeline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System/Application Owners</w:t>
            </w:r>
          </w:p>
        </w:tc>
        <w:tc>
          <w:tcPr>
            <w:tcW w:type="dxa" w:w="4703"/>
            <w:shd w:val="clear" w:color="auto" w:fill="EBF0F9"/>
          </w:tcPr>
          <w:p>
            <w:r>
              <w:t>Approve changes to their systems; participate in CAB</w:t>
            </w:r>
          </w:p>
        </w:tc>
      </w:tr>
    </w:tbl>
    <w:p/>
    <w:p>
      <w:pPr>
        <w:pStyle w:val="Heading1"/>
      </w:pPr>
      <w:r>
        <w:rPr>
          <w:color w:val="1F497D"/>
        </w:rPr>
        <w:t>5. Required Evidence / Documentation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Document / Evidence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1</w:t>
            </w:r>
          </w:p>
        </w:tc>
        <w:tc>
          <w:tcPr>
            <w:tcW w:type="dxa" w:w="3135"/>
            <w:shd w:val="clear" w:color="auto" w:fill="EBF0F9"/>
          </w:tcPr>
          <w:p>
            <w:r>
              <w:t>Configuration Management policy</w:t>
            </w:r>
          </w:p>
        </w:tc>
        <w:tc>
          <w:tcPr>
            <w:tcW w:type="dxa" w:w="3135"/>
            <w:shd w:val="clear" w:color="auto" w:fill="EBF0F9"/>
          </w:tcPr>
          <w:p>
            <w:r>
              <w:t>Annual review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2</w:t>
            </w:r>
          </w:p>
        </w:tc>
        <w:tc>
          <w:tcPr>
            <w:tcW w:type="dxa" w:w="3135"/>
            <w:shd w:val="clear" w:color="auto" w:fill="FFFFFF"/>
          </w:tcPr>
          <w:p>
            <w:r>
              <w:t>CMDB documentation and access evidence</w:t>
            </w:r>
          </w:p>
        </w:tc>
        <w:tc>
          <w:tcPr>
            <w:tcW w:type="dxa" w:w="3135"/>
            <w:shd w:val="clear" w:color="auto" w:fill="FFFFFF"/>
          </w:tcPr>
          <w:p>
            <w:r>
              <w:t>Annual audit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3</w:t>
            </w:r>
          </w:p>
        </w:tc>
        <w:tc>
          <w:tcPr>
            <w:tcW w:type="dxa" w:w="3135"/>
            <w:shd w:val="clear" w:color="auto" w:fill="EBF0F9"/>
          </w:tcPr>
          <w:p>
            <w:r>
              <w:t>Change management process and recent approved change records</w:t>
            </w:r>
          </w:p>
        </w:tc>
        <w:tc>
          <w:tcPr>
            <w:tcW w:type="dxa" w:w="3135"/>
            <w:shd w:val="clear" w:color="auto" w:fill="EBF0F9"/>
          </w:tcPr>
          <w:p>
            <w:r>
              <w:t>Ongoing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4</w:t>
            </w:r>
          </w:p>
        </w:tc>
        <w:tc>
          <w:tcPr>
            <w:tcW w:type="dxa" w:w="3135"/>
            <w:shd w:val="clear" w:color="auto" w:fill="FFFFFF"/>
          </w:tcPr>
          <w:p>
            <w:r>
              <w:t>Automated compliance scan reports (drift detection)</w:t>
            </w:r>
          </w:p>
        </w:tc>
        <w:tc>
          <w:tcPr>
            <w:tcW w:type="dxa" w:w="3135"/>
            <w:shd w:val="clear" w:color="auto" w:fill="FFFFFF"/>
          </w:tcPr>
          <w:p>
            <w:r>
              <w:t>Quarterly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5</w:t>
            </w:r>
          </w:p>
        </w:tc>
        <w:tc>
          <w:tcPr>
            <w:tcW w:type="dxa" w:w="3135"/>
            <w:shd w:val="clear" w:color="auto" w:fill="EBF0F9"/>
          </w:tcPr>
          <w:p>
            <w:r>
              <w:t>Environment segregation architecture diagram</w:t>
            </w:r>
          </w:p>
        </w:tc>
        <w:tc>
          <w:tcPr>
            <w:tcW w:type="dxa" w:w="3135"/>
            <w:shd w:val="clear" w:color="auto" w:fill="EBF0F9"/>
          </w:tcPr>
          <w:p>
            <w:r>
              <w:t>Annual / on change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6</w:t>
            </w:r>
          </w:p>
        </w:tc>
        <w:tc>
          <w:tcPr>
            <w:tcW w:type="dxa" w:w="3135"/>
            <w:shd w:val="clear" w:color="auto" w:fill="FFFFFF"/>
          </w:tcPr>
          <w:p>
            <w:r>
              <w:t>Access control matrix (production vs. non-production)</w:t>
            </w:r>
          </w:p>
        </w:tc>
        <w:tc>
          <w:tcPr>
            <w:tcW w:type="dxa" w:w="3135"/>
            <w:shd w:val="clear" w:color="auto" w:fill="FFFFFF"/>
          </w:tcPr>
          <w:p>
            <w:r>
              <w:t>Quarterly review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7</w:t>
            </w:r>
          </w:p>
        </w:tc>
        <w:tc>
          <w:tcPr>
            <w:tcW w:type="dxa" w:w="3135"/>
            <w:shd w:val="clear" w:color="auto" w:fill="EBF0F9"/>
          </w:tcPr>
          <w:p>
            <w:r>
              <w:t>Data masking procedures for lower environments</w:t>
            </w:r>
          </w:p>
        </w:tc>
        <w:tc>
          <w:tcPr>
            <w:tcW w:type="dxa" w:w="3135"/>
            <w:shd w:val="clear" w:color="auto" w:fill="EBF0F9"/>
          </w:tcPr>
          <w:p>
            <w:r>
              <w:t>Annual review</w:t>
            </w:r>
          </w:p>
        </w:tc>
      </w:tr>
    </w:tbl>
    <w:p/>
    <w:p>
      <w:pPr>
        <w:pStyle w:val="Heading1"/>
      </w:pPr>
      <w:r>
        <w:rPr>
          <w:color w:val="1F497D"/>
        </w:rPr>
        <w:t>6. Exceptions</w:t>
      </w:r>
    </w:p>
    <w:p>
      <w:r>
        <w:t>All exceptions (e.g., production data in lower environments) require CISO written approval; documented in risk register; reviewed monthly.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