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POL-09: Incident Response &amp; Security Event Management Policy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703"/>
          </w:tcPr>
          <w:p>
            <w:r>
              <w:t>POL-09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703"/>
          </w:tcPr>
          <w:p>
            <w:r>
              <w:t>Incident Response &amp; Security Event Management Policy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703"/>
          </w:tcPr>
          <w:p>
            <w:r>
              <w:t>1.0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703"/>
          </w:tcPr>
          <w:p>
            <w:r>
              <w:t>[DD/MM/YYYY]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703"/>
          </w:tcPr>
          <w:p>
            <w:r>
              <w:t>[DD/MM/YYYY] (Annual)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703"/>
          </w:tcPr>
          <w:p>
            <w:r>
              <w:t>CISO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Approved By</w:t>
            </w:r>
          </w:p>
        </w:tc>
        <w:tc>
          <w:tcPr>
            <w:tcW w:type="dxa" w:w="4703"/>
          </w:tcPr>
          <w:p>
            <w:r>
              <w:t>[Name / Board]</w:t>
            </w:r>
          </w:p>
        </w:tc>
      </w:tr>
      <w:tr>
        <w:tc>
          <w:tcPr>
            <w:tcW w:type="dxa" w:w="4703"/>
            <w:shd w:val="clear" w:color="auto" w:fill="D9E1F2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703"/>
          </w:tcPr>
          <w:p>
            <w:r>
              <w:t>Internal – Confidential</w:t>
            </w:r>
          </w:p>
        </w:tc>
      </w:tr>
    </w:tbl>
    <w:p/>
    <w:p>
      <w:pPr>
        <w:pStyle w:val="Heading1"/>
      </w:pPr>
      <w:r>
        <w:rPr>
          <w:color w:val="1F497D"/>
        </w:rPr>
        <w:t>1. Purpose</w:t>
      </w:r>
    </w:p>
    <w:p>
      <w:r>
        <w:t>To establish a structured, tested process for detecting, responding to, and recovering from security incidents, ensuring timely containment, minimisation of impact, regulatory compliance, and continuous improvement.</w:t>
      </w:r>
    </w:p>
    <w:p>
      <w:pPr>
        <w:pStyle w:val="Heading1"/>
      </w:pPr>
      <w:r>
        <w:rPr>
          <w:color w:val="1F497D"/>
        </w:rPr>
        <w:t>2. Scope</w:t>
      </w:r>
    </w:p>
    <w:p>
      <w:r>
        <w:t>All security incidents, data breaches, operational disruptions, and suspected security events affecting organisational systems, data, staff, or third-party relationships.</w:t>
      </w:r>
    </w:p>
    <w:p>
      <w:pPr>
        <w:pStyle w:val="Heading1"/>
      </w:pPr>
      <w:r>
        <w:rPr>
          <w:color w:val="1F497D"/>
        </w:rPr>
        <w:t>3. Policy Statements</w:t>
      </w:r>
    </w:p>
    <w:p>
      <w:pPr>
        <w:pStyle w:val="Heading2"/>
      </w:pPr>
      <w:r>
        <w:rPr>
          <w:color w:val="1F497D"/>
        </w:rPr>
        <w:t>3.1 Incident Response Lifecycle (NIST SP 800-61)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Key Activities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Owner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1. Preparation</w:t>
            </w:r>
          </w:p>
        </w:tc>
        <w:tc>
          <w:tcPr>
            <w:tcW w:type="dxa" w:w="3135"/>
            <w:shd w:val="clear" w:color="auto" w:fill="EBF0F9"/>
          </w:tcPr>
          <w:p>
            <w:r>
              <w:t>Maintain IR Plan; train SIRT; maintain tools; define communication templates</w:t>
            </w:r>
          </w:p>
        </w:tc>
        <w:tc>
          <w:tcPr>
            <w:tcW w:type="dxa" w:w="3135"/>
            <w:shd w:val="clear" w:color="auto" w:fill="EBF0F9"/>
          </w:tcPr>
          <w:p>
            <w:r>
              <w:t>CISO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2. Detection &amp; Analysis</w:t>
            </w:r>
          </w:p>
        </w:tc>
        <w:tc>
          <w:tcPr>
            <w:tcW w:type="dxa" w:w="3135"/>
            <w:shd w:val="clear" w:color="auto" w:fill="FFFFFF"/>
          </w:tcPr>
          <w:p>
            <w:r>
              <w:t>Monitor SIEM alerts; triage events; declare incident; assign severity</w:t>
            </w:r>
          </w:p>
        </w:tc>
        <w:tc>
          <w:tcPr>
            <w:tcW w:type="dxa" w:w="3135"/>
            <w:shd w:val="clear" w:color="auto" w:fill="FFFFFF"/>
          </w:tcPr>
          <w:p>
            <w:r>
              <w:t>Security Operations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3. Containment</w:t>
            </w:r>
          </w:p>
        </w:tc>
        <w:tc>
          <w:tcPr>
            <w:tcW w:type="dxa" w:w="3135"/>
            <w:shd w:val="clear" w:color="auto" w:fill="EBF0F9"/>
          </w:tcPr>
          <w:p>
            <w:r>
              <w:t>Short-term containment (isolate systems); long-term containment (patch/harden)</w:t>
            </w:r>
          </w:p>
        </w:tc>
        <w:tc>
          <w:tcPr>
            <w:tcW w:type="dxa" w:w="3135"/>
            <w:shd w:val="clear" w:color="auto" w:fill="EBF0F9"/>
          </w:tcPr>
          <w:p>
            <w:r>
              <w:t>SIRT + IT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4. Eradication</w:t>
            </w:r>
          </w:p>
        </w:tc>
        <w:tc>
          <w:tcPr>
            <w:tcW w:type="dxa" w:w="3135"/>
            <w:shd w:val="clear" w:color="auto" w:fill="FFFFFF"/>
          </w:tcPr>
          <w:p>
            <w:r>
              <w:t>Remove malware/threat actor; patch vulnerabilities; clean affected systems</w:t>
            </w:r>
          </w:p>
        </w:tc>
        <w:tc>
          <w:tcPr>
            <w:tcW w:type="dxa" w:w="3135"/>
            <w:shd w:val="clear" w:color="auto" w:fill="FFFFFF"/>
          </w:tcPr>
          <w:p>
            <w:r>
              <w:t>IT + Security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5. Recovery</w:t>
            </w:r>
          </w:p>
        </w:tc>
        <w:tc>
          <w:tcPr>
            <w:tcW w:type="dxa" w:w="3135"/>
            <w:shd w:val="clear" w:color="auto" w:fill="EBF0F9"/>
          </w:tcPr>
          <w:p>
            <w:r>
              <w:t>Restore systems from clean backups; verify functionality; monitor for recurrence</w:t>
            </w:r>
          </w:p>
        </w:tc>
        <w:tc>
          <w:tcPr>
            <w:tcW w:type="dxa" w:w="3135"/>
            <w:shd w:val="clear" w:color="auto" w:fill="EBF0F9"/>
          </w:tcPr>
          <w:p>
            <w:r>
              <w:t>IT + SIRT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6. Lessons Learned</w:t>
            </w:r>
          </w:p>
        </w:tc>
        <w:tc>
          <w:tcPr>
            <w:tcW w:type="dxa" w:w="3135"/>
            <w:shd w:val="clear" w:color="auto" w:fill="FFFFFF"/>
          </w:tcPr>
          <w:p>
            <w:r>
              <w:t>Post-incident review within 5 business days; update IR Plan; track improvements</w:t>
            </w:r>
          </w:p>
        </w:tc>
        <w:tc>
          <w:tcPr>
            <w:tcW w:type="dxa" w:w="3135"/>
            <w:shd w:val="clear" w:color="auto" w:fill="FFFFFF"/>
          </w:tcPr>
          <w:p>
            <w:r>
              <w:t>CISO</w:t>
            </w:r>
          </w:p>
        </w:tc>
      </w:tr>
    </w:tbl>
    <w:p/>
    <w:p>
      <w:pPr>
        <w:pStyle w:val="Heading2"/>
      </w:pPr>
      <w:r>
        <w:rPr>
          <w:color w:val="1F497D"/>
        </w:rPr>
        <w:t>3.2 Incident Severity Classification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Response SLA</w:t>
            </w:r>
          </w:p>
        </w:tc>
      </w:tr>
      <w:tr>
        <w:tc>
          <w:tcPr>
            <w:tcW w:type="dxa" w:w="2351"/>
            <w:shd w:val="clear" w:color="auto" w:fill="EBF0F9"/>
          </w:tcPr>
          <w:p>
            <w:r>
              <w:t>P1 – Critical</w:t>
            </w:r>
          </w:p>
        </w:tc>
        <w:tc>
          <w:tcPr>
            <w:tcW w:type="dxa" w:w="2351"/>
            <w:shd w:val="clear" w:color="auto" w:fill="EBF0F9"/>
          </w:tcPr>
          <w:p>
            <w:r>
              <w:t>Confirmed breach of sensitive data; ransomware; system-wide outage</w:t>
            </w:r>
          </w:p>
        </w:tc>
        <w:tc>
          <w:tcPr>
            <w:tcW w:type="dxa" w:w="2351"/>
            <w:shd w:val="clear" w:color="auto" w:fill="EBF0F9"/>
          </w:tcPr>
          <w:p>
            <w:r>
              <w:t>Ransomware, confirmed data exfiltration</w:t>
            </w:r>
          </w:p>
        </w:tc>
        <w:tc>
          <w:tcPr>
            <w:tcW w:type="dxa" w:w="2351"/>
            <w:shd w:val="clear" w:color="auto" w:fill="EBF0F9"/>
          </w:tcPr>
          <w:p>
            <w:r>
              <w:t>Containment within 1 hour; CISO + CEO notified immediately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P2 – High</w:t>
            </w:r>
          </w:p>
        </w:tc>
        <w:tc>
          <w:tcPr>
            <w:tcW w:type="dxa" w:w="2351"/>
            <w:shd w:val="clear" w:color="auto" w:fill="FFFFFF"/>
          </w:tcPr>
          <w:p>
            <w:r>
              <w:t>Significant suspected compromise; major service degradation</w:t>
            </w:r>
          </w:p>
        </w:tc>
        <w:tc>
          <w:tcPr>
            <w:tcW w:type="dxa" w:w="2351"/>
            <w:shd w:val="clear" w:color="auto" w:fill="FFFFFF"/>
          </w:tcPr>
          <w:p>
            <w:r>
              <w:t>Suspected account takeover, DDoS</w:t>
            </w:r>
          </w:p>
        </w:tc>
        <w:tc>
          <w:tcPr>
            <w:tcW w:type="dxa" w:w="2351"/>
            <w:shd w:val="clear" w:color="auto" w:fill="FFFFFF"/>
          </w:tcPr>
          <w:p>
            <w:r>
              <w:t>Containment within 4 hours; CISO notified within 1 hour</w:t>
            </w:r>
          </w:p>
        </w:tc>
      </w:tr>
      <w:tr>
        <w:tc>
          <w:tcPr>
            <w:tcW w:type="dxa" w:w="2351"/>
            <w:shd w:val="clear" w:color="auto" w:fill="EBF0F9"/>
          </w:tcPr>
          <w:p>
            <w:r>
              <w:t>P3 – Medium</w:t>
            </w:r>
          </w:p>
        </w:tc>
        <w:tc>
          <w:tcPr>
            <w:tcW w:type="dxa" w:w="2351"/>
            <w:shd w:val="clear" w:color="auto" w:fill="EBF0F9"/>
          </w:tcPr>
          <w:p>
            <w:r>
              <w:t>Localised security event; minor data integrity concern</w:t>
            </w:r>
          </w:p>
        </w:tc>
        <w:tc>
          <w:tcPr>
            <w:tcW w:type="dxa" w:w="2351"/>
            <w:shd w:val="clear" w:color="auto" w:fill="EBF0F9"/>
          </w:tcPr>
          <w:p>
            <w:r>
              <w:t>Malware on single endpoint, failed brute-force</w:t>
            </w:r>
          </w:p>
        </w:tc>
        <w:tc>
          <w:tcPr>
            <w:tcW w:type="dxa" w:w="2351"/>
            <w:shd w:val="clear" w:color="auto" w:fill="EBF0F9"/>
          </w:tcPr>
          <w:p>
            <w:r>
              <w:t>Response within 24 hours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t>P4 – Low</w:t>
            </w:r>
          </w:p>
        </w:tc>
        <w:tc>
          <w:tcPr>
            <w:tcW w:type="dxa" w:w="2351"/>
            <w:shd w:val="clear" w:color="auto" w:fill="FFFFFF"/>
          </w:tcPr>
          <w:p>
            <w:r>
              <w:t>Minor policy violation; low-risk suspicious activity</w:t>
            </w:r>
          </w:p>
        </w:tc>
        <w:tc>
          <w:tcPr>
            <w:tcW w:type="dxa" w:w="2351"/>
            <w:shd w:val="clear" w:color="auto" w:fill="FFFFFF"/>
          </w:tcPr>
          <w:p>
            <w:r>
              <w:t>Phishing email reported by user</w:t>
            </w:r>
          </w:p>
        </w:tc>
        <w:tc>
          <w:tcPr>
            <w:tcW w:type="dxa" w:w="2351"/>
            <w:shd w:val="clear" w:color="auto" w:fill="FFFFFF"/>
          </w:tcPr>
          <w:p>
            <w:r>
              <w:t>Response within 72 hours</w:t>
            </w:r>
          </w:p>
        </w:tc>
      </w:tr>
    </w:tbl>
    <w:p/>
    <w:p>
      <w:pPr>
        <w:pStyle w:val="Heading2"/>
      </w:pPr>
      <w:r>
        <w:rPr>
          <w:color w:val="1F497D"/>
        </w:rPr>
        <w:t>3.3 Security Incident Response Team (SIRT)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Incident Commander (CISO or delegate)</w:t>
            </w:r>
          </w:p>
        </w:tc>
        <w:tc>
          <w:tcPr>
            <w:tcW w:type="dxa" w:w="4703"/>
            <w:shd w:val="clear" w:color="auto" w:fill="EBF0F9"/>
          </w:tcPr>
          <w:p>
            <w:r>
              <w:t>Overall incident management; internal/external escalation; regulatory notification decisions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Technical Lead (Senior Security Engineer)</w:t>
            </w:r>
          </w:p>
        </w:tc>
        <w:tc>
          <w:tcPr>
            <w:tcW w:type="dxa" w:w="4703"/>
            <w:shd w:val="clear" w:color="auto" w:fill="FFFFFF"/>
          </w:tcPr>
          <w:p>
            <w:r>
              <w:t>Technical investigation; containment; eradication; forensic evidence preservation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IT Operations Lead</w:t>
            </w:r>
          </w:p>
        </w:tc>
        <w:tc>
          <w:tcPr>
            <w:tcW w:type="dxa" w:w="4703"/>
            <w:shd w:val="clear" w:color="auto" w:fill="EBF0F9"/>
          </w:tcPr>
          <w:p>
            <w:r>
              <w:t>System isolation; restoration from backups; infrastructure recovery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Communications Lead (Legal/PR)</w:t>
            </w:r>
          </w:p>
        </w:tc>
        <w:tc>
          <w:tcPr>
            <w:tcW w:type="dxa" w:w="4703"/>
            <w:shd w:val="clear" w:color="auto" w:fill="FFFFFF"/>
          </w:tcPr>
          <w:p>
            <w:r>
              <w:t>Internal communications; media/PR response; regulatory body communication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Legal/Compliance Advisor</w:t>
            </w:r>
          </w:p>
        </w:tc>
        <w:tc>
          <w:tcPr>
            <w:tcW w:type="dxa" w:w="4703"/>
            <w:shd w:val="clear" w:color="auto" w:fill="EBF0F9"/>
          </w:tcPr>
          <w:p>
            <w:r>
              <w:t>Regulatory notification obligations; evidence preservation; legal hold</w:t>
            </w:r>
          </w:p>
        </w:tc>
      </w:tr>
    </w:tbl>
    <w:p/>
    <w:p>
      <w:pPr>
        <w:pStyle w:val="Heading2"/>
      </w:pPr>
      <w:r>
        <w:rPr>
          <w:color w:val="1F497D"/>
        </w:rPr>
        <w:t>3.4 Breach Notification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Regulatory Obligation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Notification Timeline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Notified Party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GDPR / UK GDPR</w:t>
            </w:r>
          </w:p>
        </w:tc>
        <w:tc>
          <w:tcPr>
            <w:tcW w:type="dxa" w:w="3135"/>
            <w:shd w:val="clear" w:color="auto" w:fill="EBF0F9"/>
          </w:tcPr>
          <w:p>
            <w:r>
              <w:t>Within 72 hours of becoming aware</w:t>
            </w:r>
          </w:p>
        </w:tc>
        <w:tc>
          <w:tcPr>
            <w:tcW w:type="dxa" w:w="3135"/>
            <w:shd w:val="clear" w:color="auto" w:fill="EBF0F9"/>
          </w:tcPr>
          <w:p>
            <w:r>
              <w:t>ICO (or relevant supervisory authority)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Contractual obligations</w:t>
            </w:r>
          </w:p>
        </w:tc>
        <w:tc>
          <w:tcPr>
            <w:tcW w:type="dxa" w:w="3135"/>
            <w:shd w:val="clear" w:color="auto" w:fill="FFFFFF"/>
          </w:tcPr>
          <w:p>
            <w:r>
              <w:t>Per contract terms (typically 24–72 hours)</w:t>
            </w:r>
          </w:p>
        </w:tc>
        <w:tc>
          <w:tcPr>
            <w:tcW w:type="dxa" w:w="3135"/>
            <w:shd w:val="clear" w:color="auto" w:fill="FFFFFF"/>
          </w:tcPr>
          <w:p>
            <w:r>
              <w:t>Affected clients/partners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Affected individuals</w:t>
            </w:r>
          </w:p>
        </w:tc>
        <w:tc>
          <w:tcPr>
            <w:tcW w:type="dxa" w:w="3135"/>
            <w:shd w:val="clear" w:color="auto" w:fill="EBF0F9"/>
          </w:tcPr>
          <w:p>
            <w:r>
              <w:t>Without undue delay if high risk to rights/freedoms</w:t>
            </w:r>
          </w:p>
        </w:tc>
        <w:tc>
          <w:tcPr>
            <w:tcW w:type="dxa" w:w="3135"/>
            <w:shd w:val="clear" w:color="auto" w:fill="EBF0F9"/>
          </w:tcPr>
          <w:p>
            <w:r>
              <w:t>Affected data subjects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State breach notification laws</w:t>
            </w:r>
          </w:p>
        </w:tc>
        <w:tc>
          <w:tcPr>
            <w:tcW w:type="dxa" w:w="3135"/>
            <w:shd w:val="clear" w:color="auto" w:fill="FFFFFF"/>
          </w:tcPr>
          <w:p>
            <w:r>
              <w:t>Per applicable state/territory law</w:t>
            </w:r>
          </w:p>
        </w:tc>
        <w:tc>
          <w:tcPr>
            <w:tcW w:type="dxa" w:w="3135"/>
            <w:shd w:val="clear" w:color="auto" w:fill="FFFFFF"/>
          </w:tcPr>
          <w:p>
            <w:r>
              <w:t>Regulatory authority + individuals</w:t>
            </w:r>
          </w:p>
        </w:tc>
      </w:tr>
    </w:tbl>
    <w:p/>
    <w:p>
      <w:pPr>
        <w:pStyle w:val="Heading2"/>
      </w:pPr>
      <w:r>
        <w:rPr>
          <w:color w:val="1F497D"/>
        </w:rPr>
        <w:t>3.5 Security Event Monitoring (SIEM)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SIEM deployed</w:t>
            </w:r>
          </w:p>
        </w:tc>
        <w:tc>
          <w:tcPr>
            <w:tcW w:type="dxa" w:w="4703"/>
            <w:shd w:val="clear" w:color="auto" w:fill="EBF0F9"/>
          </w:tcPr>
          <w:p>
            <w:r>
              <w:t>Enterprise SIEM solution deployed and configured for all critical log sources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Log sources</w:t>
            </w:r>
          </w:p>
        </w:tc>
        <w:tc>
          <w:tcPr>
            <w:tcW w:type="dxa" w:w="4703"/>
            <w:shd w:val="clear" w:color="auto" w:fill="FFFFFF"/>
          </w:tcPr>
          <w:p>
            <w:r>
              <w:t>Minimum log sources: Firewalls, IDS/IPS, endpoints (EDR), servers, authentication systems, applications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Retention</w:t>
            </w:r>
          </w:p>
        </w:tc>
        <w:tc>
          <w:tcPr>
            <w:tcW w:type="dxa" w:w="4703"/>
            <w:shd w:val="clear" w:color="auto" w:fill="EBF0F9"/>
          </w:tcPr>
          <w:p>
            <w:r>
              <w:t>Security event logs retained for minimum 12 months (hot) + 6 years (archive)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Alert tuning</w:t>
            </w:r>
          </w:p>
        </w:tc>
        <w:tc>
          <w:tcPr>
            <w:tcW w:type="dxa" w:w="4703"/>
            <w:shd w:val="clear" w:color="auto" w:fill="FFFFFF"/>
          </w:tcPr>
          <w:p>
            <w:r>
              <w:t>SIEM rules reviewed and tuned quarterly to reduce false positives and improve detection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24/7 monitoring</w:t>
            </w:r>
          </w:p>
        </w:tc>
        <w:tc>
          <w:tcPr>
            <w:tcW w:type="dxa" w:w="4703"/>
            <w:shd w:val="clear" w:color="auto" w:fill="EBF0F9"/>
          </w:tcPr>
          <w:p>
            <w:r>
              <w:t>Critical and High severity alerts monitored 24/7 (internal SOC or managed SOC)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Correlation rules</w:t>
            </w:r>
          </w:p>
        </w:tc>
        <w:tc>
          <w:tcPr>
            <w:tcW w:type="dxa" w:w="4703"/>
            <w:shd w:val="clear" w:color="auto" w:fill="FFFFFF"/>
          </w:tcPr>
          <w:p>
            <w:r>
              <w:t>Rules cover MITRE ATT&amp;CK techniques relevant to organisation's threat profile</w:t>
            </w:r>
          </w:p>
        </w:tc>
      </w:tr>
    </w:tbl>
    <w:p/>
    <w:p>
      <w:pPr>
        <w:pStyle w:val="Heading2"/>
      </w:pPr>
      <w:r>
        <w:rPr>
          <w:color w:val="1F497D"/>
        </w:rPr>
        <w:t>3.6 IR Plan Testing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Control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Tabletop exercise</w:t>
            </w:r>
          </w:p>
        </w:tc>
        <w:tc>
          <w:tcPr>
            <w:tcW w:type="dxa" w:w="4703"/>
            <w:shd w:val="clear" w:color="auto" w:fill="EBF0F9"/>
          </w:tcPr>
          <w:p>
            <w:r>
              <w:t>Conducted annually with SIRT and senior stakeholders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Technical exercise</w:t>
            </w:r>
          </w:p>
        </w:tc>
        <w:tc>
          <w:tcPr>
            <w:tcW w:type="dxa" w:w="4703"/>
            <w:shd w:val="clear" w:color="auto" w:fill="FFFFFF"/>
          </w:tcPr>
          <w:p>
            <w:r>
              <w:t>Simulated incident exercise (e.g., purple team / simulation) conducted annually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Post-exercise</w:t>
            </w:r>
          </w:p>
        </w:tc>
        <w:tc>
          <w:tcPr>
            <w:tcW w:type="dxa" w:w="4703"/>
            <w:shd w:val="clear" w:color="auto" w:fill="EBF0F9"/>
          </w:tcPr>
          <w:p>
            <w:r>
              <w:t>Results documented; improvement actions tracked in action register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IR Plan update</w:t>
            </w:r>
          </w:p>
        </w:tc>
        <w:tc>
          <w:tcPr>
            <w:tcW w:type="dxa" w:w="4703"/>
            <w:shd w:val="clear" w:color="auto" w:fill="FFFFFF"/>
          </w:tcPr>
          <w:p>
            <w:r>
              <w:t>IR Plan updated after each exercise and after real incidents</w:t>
            </w:r>
          </w:p>
        </w:tc>
      </w:tr>
    </w:tbl>
    <w:p/>
    <w:p>
      <w:pPr>
        <w:pStyle w:val="Heading1"/>
      </w:pPr>
      <w:r>
        <w:rPr>
          <w:color w:val="1F497D"/>
        </w:rPr>
        <w:t>4. Roles and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703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CISO</w:t>
            </w:r>
          </w:p>
        </w:tc>
        <w:tc>
          <w:tcPr>
            <w:tcW w:type="dxa" w:w="4703"/>
            <w:shd w:val="clear" w:color="auto" w:fill="EBF0F9"/>
          </w:tcPr>
          <w:p>
            <w:r>
              <w:t>Policy ownership; IR Plan maintenance; regulatory notification decisions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Security Operations</w:t>
            </w:r>
          </w:p>
        </w:tc>
        <w:tc>
          <w:tcPr>
            <w:tcW w:type="dxa" w:w="4703"/>
            <w:shd w:val="clear" w:color="auto" w:fill="FFFFFF"/>
          </w:tcPr>
          <w:p>
            <w:r>
              <w:t>24/7 SIEM monitoring; initial triage; incident declaration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SIRT Members</w:t>
            </w:r>
          </w:p>
        </w:tc>
        <w:tc>
          <w:tcPr>
            <w:tcW w:type="dxa" w:w="4703"/>
            <w:shd w:val="clear" w:color="auto" w:fill="EBF0F9"/>
          </w:tcPr>
          <w:p>
            <w:r>
              <w:t>Execute IR Plan phases per roles defined in 3.3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IT Operations</w:t>
            </w:r>
          </w:p>
        </w:tc>
        <w:tc>
          <w:tcPr>
            <w:tcW w:type="dxa" w:w="4703"/>
            <w:shd w:val="clear" w:color="auto" w:fill="FFFFFF"/>
          </w:tcPr>
          <w:p>
            <w:r>
              <w:t>Technical recovery; system isolation; backup restoration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HR</w:t>
            </w:r>
          </w:p>
        </w:tc>
        <w:tc>
          <w:tcPr>
            <w:tcW w:type="dxa" w:w="4703"/>
            <w:shd w:val="clear" w:color="auto" w:fill="EBF0F9"/>
          </w:tcPr>
          <w:p>
            <w:r>
              <w:t>Support staff-related incidents; manage insider threat investigations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t>Legal/Compliance</w:t>
            </w:r>
          </w:p>
        </w:tc>
        <w:tc>
          <w:tcPr>
            <w:tcW w:type="dxa" w:w="4703"/>
            <w:shd w:val="clear" w:color="auto" w:fill="FFFFFF"/>
          </w:tcPr>
          <w:p>
            <w:r>
              <w:t>Regulatory notification; legal hold; evidence management</w:t>
            </w:r>
          </w:p>
        </w:tc>
      </w:tr>
      <w:tr>
        <w:tc>
          <w:tcPr>
            <w:tcW w:type="dxa" w:w="4703"/>
            <w:shd w:val="clear" w:color="auto" w:fill="EBF0F9"/>
          </w:tcPr>
          <w:p>
            <w:r>
              <w:t>All Staff</w:t>
            </w:r>
          </w:p>
        </w:tc>
        <w:tc>
          <w:tcPr>
            <w:tcW w:type="dxa" w:w="4703"/>
            <w:shd w:val="clear" w:color="auto" w:fill="EBF0F9"/>
          </w:tcPr>
          <w:p>
            <w:r>
              <w:t>Report suspicious activity immediately; cooperate with investigations</w:t>
            </w:r>
          </w:p>
        </w:tc>
      </w:tr>
    </w:tbl>
    <w:p/>
    <w:p>
      <w:pPr>
        <w:pStyle w:val="Heading1"/>
      </w:pPr>
      <w:r>
        <w:rPr>
          <w:color w:val="1F497D"/>
        </w:rPr>
        <w:t>5. Required Evidence /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Document / Evidence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1</w:t>
            </w:r>
          </w:p>
        </w:tc>
        <w:tc>
          <w:tcPr>
            <w:tcW w:type="dxa" w:w="3135"/>
            <w:shd w:val="clear" w:color="auto" w:fill="EBF0F9"/>
          </w:tcPr>
          <w:p>
            <w:r>
              <w:t>Incident Response Plan document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review; post-incident update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2</w:t>
            </w:r>
          </w:p>
        </w:tc>
        <w:tc>
          <w:tcPr>
            <w:tcW w:type="dxa" w:w="3135"/>
            <w:shd w:val="clear" w:color="auto" w:fill="FFFFFF"/>
          </w:tcPr>
          <w:p>
            <w:r>
              <w:t>SIRT roster with roles, contacts, and escalation paths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3</w:t>
            </w:r>
          </w:p>
        </w:tc>
        <w:tc>
          <w:tcPr>
            <w:tcW w:type="dxa" w:w="3135"/>
            <w:shd w:val="clear" w:color="auto" w:fill="EBF0F9"/>
          </w:tcPr>
          <w:p>
            <w:r>
              <w:t>Incident severity classification matrix with SLAs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4</w:t>
            </w:r>
          </w:p>
        </w:tc>
        <w:tc>
          <w:tcPr>
            <w:tcW w:type="dxa" w:w="3135"/>
            <w:shd w:val="clear" w:color="auto" w:fill="FFFFFF"/>
          </w:tcPr>
          <w:p>
            <w:r>
              <w:t>Tabletop exercise results and action items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5</w:t>
            </w:r>
          </w:p>
        </w:tc>
        <w:tc>
          <w:tcPr>
            <w:tcW w:type="dxa" w:w="3135"/>
            <w:shd w:val="clear" w:color="auto" w:fill="EBF0F9"/>
          </w:tcPr>
          <w:p>
            <w:r>
              <w:t>Incident log/ticketing system evidence</w:t>
            </w:r>
          </w:p>
        </w:tc>
        <w:tc>
          <w:tcPr>
            <w:tcW w:type="dxa" w:w="3135"/>
            <w:shd w:val="clear" w:color="auto" w:fill="EBF0F9"/>
          </w:tcPr>
          <w:p>
            <w:r>
              <w:t>Ongoing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6</w:t>
            </w:r>
          </w:p>
        </w:tc>
        <w:tc>
          <w:tcPr>
            <w:tcW w:type="dxa" w:w="3135"/>
            <w:shd w:val="clear" w:color="auto" w:fill="FFFFFF"/>
          </w:tcPr>
          <w:p>
            <w:r>
              <w:t>Breach notification policy and regulatory obligation mapping</w:t>
            </w:r>
          </w:p>
        </w:tc>
        <w:tc>
          <w:tcPr>
            <w:tcW w:type="dxa" w:w="3135"/>
            <w:shd w:val="clear" w:color="auto" w:fill="FFFFFF"/>
          </w:tcPr>
          <w:p>
            <w:r>
              <w:t>Annual review</w:t>
            </w:r>
          </w:p>
        </w:tc>
      </w:tr>
      <w:tr>
        <w:tc>
          <w:tcPr>
            <w:tcW w:type="dxa" w:w="3135"/>
            <w:shd w:val="clear" w:color="auto" w:fill="EBF0F9"/>
          </w:tcPr>
          <w:p>
            <w:r>
              <w:t>7</w:t>
            </w:r>
          </w:p>
        </w:tc>
        <w:tc>
          <w:tcPr>
            <w:tcW w:type="dxa" w:w="3135"/>
            <w:shd w:val="clear" w:color="auto" w:fill="EBF0F9"/>
          </w:tcPr>
          <w:p>
            <w:r>
              <w:t>SIEM configuration and alert coverage evidence</w:t>
            </w:r>
          </w:p>
        </w:tc>
        <w:tc>
          <w:tcPr>
            <w:tcW w:type="dxa" w:w="3135"/>
            <w:shd w:val="clear" w:color="auto" w:fill="EBF0F9"/>
          </w:tcPr>
          <w:p>
            <w:r>
              <w:t>Annual / on change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>8</w:t>
            </w:r>
          </w:p>
        </w:tc>
        <w:tc>
          <w:tcPr>
            <w:tcW w:type="dxa" w:w="3135"/>
            <w:shd w:val="clear" w:color="auto" w:fill="FFFFFF"/>
          </w:tcPr>
          <w:p>
            <w:r>
              <w:t>Post-incident review reports (sample)</w:t>
            </w:r>
          </w:p>
        </w:tc>
        <w:tc>
          <w:tcPr>
            <w:tcW w:type="dxa" w:w="3135"/>
            <w:shd w:val="clear" w:color="auto" w:fill="FFFFFF"/>
          </w:tcPr>
          <w:p>
            <w:r>
              <w:t>Per P1/P2 incident</w:t>
            </w:r>
          </w:p>
        </w:tc>
      </w:tr>
    </w:tbl>
    <w:p/>
    <w:p>
      <w:pPr>
        <w:pStyle w:val="Heading1"/>
      </w:pPr>
      <w:r>
        <w:rPr>
          <w:color w:val="1F497D"/>
        </w:rPr>
        <w:t>6. Exceptions</w:t>
      </w:r>
    </w:p>
    <w:p>
      <w:r>
        <w:t>No exceptions to breach notification obligations. SIRT activation exceptions require CISO written approval; all deviations documented in incident record.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