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aps/>
          <w:color w:val="2E5C99"/>
          <w:sz w:val="26"/>
          <w:szCs w:val="26"/>
        </w:rPr>
        <w:t xml:space="preserve">PROJECT PROGRESS REPORT</w:t>
      </w:r>
    </w:p>
    <w:p>
      <w:pPr>
        <w:spacing w:after="300" w:before="300"/>
        <w:jc w:val="center"/>
      </w:pPr>
      <w:r>
        <w:rPr>
          <w:b/>
          <w:bCs/>
          <w:color w:val="1F3864"/>
          <w:sz w:val="52"/>
          <w:szCs w:val="52"/>
        </w:rPr>
        <w:t xml:space="preserve">New-Product Analogue Selector</w:t>
      </w:r>
    </w:p>
    <w:p>
      <w:pPr>
        <w:jc w:val="center"/>
      </w:pPr>
      <w:r>
        <w:rPr>
          <w:i/>
          <w:iCs/>
          <w:color w:val="444444"/>
          <w:sz w:val="26"/>
          <w:szCs w:val="26"/>
        </w:rPr>
        <w:t xml:space="preserve">A Decision-Support System for Cold-Start Demand Forecasting in Regional Grocery Distribution</w:t>
      </w:r>
    </w:p>
    <w:p>
      <w:pPr>
        <w:spacing w:before="500"/>
        <w:jc w:val="center"/>
      </w:pPr>
      <w:r>
        <w:rPr>
          <w:b/>
          <w:bCs/>
          <w:color w:val="2E5C99"/>
          <w:sz w:val="24"/>
          <w:szCs w:val="24"/>
        </w:rPr>
        <w:t xml:space="preserve">Phase 1 Milestone Report — 35% Project Completion</w:t>
      </w:r>
    </w:p>
    <w:p>
      <w:pPr>
        <w:pBdr>
          <w:top w:val="single" w:color="CCCCCC" w:sz="4" w:space="10"/>
        </w:pBdr>
        <w:spacing w:before="900"/>
        <w:jc w:val="center"/>
      </w:pPr>
    </w:p>
    <w:p>
      <w:pPr>
        <w:spacing w:before="400"/>
        <w:jc w:val="center"/>
      </w:pPr>
      <w:r>
        <w:rPr>
          <w:color w:val="595959"/>
          <w:sz w:val="22"/>
          <w:szCs w:val="22"/>
        </w:rPr>
        <w:t xml:space="preserve">Center of Excellence (COE) Capstone Project</w:t>
      </w:r>
    </w:p>
    <w:p>
      <w:pPr>
        <w:jc w:val="center"/>
      </w:pPr>
      <w:r>
        <w:rPr>
          <w:color w:val="595959"/>
          <w:sz w:val="22"/>
          <w:szCs w:val="22"/>
        </w:rPr>
        <w:t xml:space="preserve">Submitted as part of the Phase 1 deliverable</w:t>
      </w:r>
    </w:p>
    <w:p>
      <w:pPr>
        <w:spacing w:before="700"/>
        <w:jc w:val="center"/>
      </w:pPr>
      <w:r>
        <w:rPr>
          <w:color w:val="595959"/>
          <w:sz w:val="20"/>
          <w:szCs w:val="20"/>
        </w:rPr>
        <w:t xml:space="preserve">Report Date: September 2026</w:t>
      </w:r>
    </w:p>
    <w:p>
      <w:r>
        <w:br w:type="page"/>
      </w:r>
    </w:p>
    <w:p>
      <w:pPr>
        <w:pStyle w:val="Heading1"/>
        <w:pBdr>
          <w:bottom w:val="single" w:color="1F3864" w:sz="6" w:space="4"/>
        </w:pBdr>
        <w:spacing w:after="160" w:before="360"/>
      </w:pPr>
      <w:r>
        <w:rPr>
          <w:b/>
          <w:bCs/>
          <w:color w:val="1F3864"/>
          <w:sz w:val="30"/>
          <w:szCs w:val="30"/>
        </w:rPr>
        <w:t xml:space="preserve">1. Executive Summary</w:t>
      </w:r>
    </w:p>
    <w:p>
      <w:pPr>
        <w:spacing w:after="160" w:line="300"/>
        <w:jc w:val="both"/>
      </w:pPr>
      <w:r>
        <w:rPr>
          <w:sz w:val="21"/>
          <w:szCs w:val="21"/>
        </w:rPr>
        <w:t xml:space="preserve">Regional grocery distributors regularly introduce new products (“cold-start SKUs”) that carry zero historical sales data. Today this gap is bridged by manual planner intuition, which routinely produces Week 1 stockouts on winners and severe perishable-inventory waste on losers. This project delivers a decision-support system, the New-Product Analogue Selector, that replaces guesswork with an interpretable, auditable forecasting pipeline.</w:t>
      </w:r>
    </w:p>
    <w:p>
      <w:pPr>
        <w:spacing w:after="160" w:line="300"/>
        <w:jc w:val="both"/>
      </w:pPr>
      <w:r>
        <w:rPr>
          <w:sz w:val="21"/>
          <w:szCs w:val="21"/>
        </w:rPr>
        <w:t xml:space="preserve">The system retrieves the most similar historical products for a new cold-start item using a weighted Gower similarity metric across seven attributes (category, subcategory, price tier, pack size, shelf life, festival linkage, and weather sensitivity), synthesizes an 8-week launch curve from the retrieved analogues, attaches a transparent per-attribute explanation and a formal confidence score to every recommendation, and records every system output and human planner override in an append-only, database-trigger-protected audit ledger.</w:t>
      </w:r>
    </w:p>
    <w:p>
      <w:pPr>
        <w:spacing w:after="160" w:line="300"/>
        <w:jc w:val="both"/>
      </w:pPr>
      <w:r>
        <w:rPr>
          <w:sz w:val="21"/>
          <w:szCs w:val="21"/>
        </w:rPr>
        <w:t xml:space="preserve">As of this report, the project has reached the 35% completion milestone (“Phase 1”). All foundational components are implemented and functioning end-to-end: the synthetic data generator, the SQLite schema with immutability triggers, the baseline and analogue-selector forecasting engines, the explainability and confidence-scoring logic, the audit-logging subsystem, a benchmarking harness, a FastAPI backend exposing the full pipeline as REST endpoints, and an automated test suite. On held-out evaluation data, the analogue selector already reduces weighted forecast error (WAPE) by roughly one-fifth relative to a naive category-average baseline.</w:t>
      </w:r>
    </w:p>
    <w:p>
      <w:pPr>
        <w:pStyle w:val="Heading1"/>
        <w:pBdr>
          <w:bottom w:val="single" w:color="1F3864" w:sz="6" w:space="4"/>
        </w:pBdr>
        <w:spacing w:after="160" w:before="360"/>
      </w:pPr>
      <w:r>
        <w:rPr>
          <w:b/>
          <w:bCs/>
          <w:color w:val="1F3864"/>
          <w:sz w:val="30"/>
          <w:szCs w:val="30"/>
        </w:rPr>
        <w:t xml:space="preserve">2. Problem Context and Motivation</w:t>
      </w:r>
    </w:p>
    <w:p>
      <w:pPr>
        <w:spacing w:after="160" w:line="300"/>
        <w:jc w:val="both"/>
      </w:pPr>
      <w:r>
        <w:rPr>
          <w:sz w:val="21"/>
          <w:szCs w:val="21"/>
        </w:rPr>
        <w:t xml:space="preserve">Cold-start demand forecasting is a well-known blind spot in retail planning software: statistical and machine-learning forecasters that rely on a product's own sales history have, by definition, nothing to learn from for a brand-new SKU. In practice, planners fall back on informal reasoning such as “this new pastry is kind of like that other cookie,” an approach that is inconsistent across planners, impossible to audit, and prone to systematic bias.</w:t>
      </w:r>
    </w:p>
    <w:p>
      <w:pPr>
        <w:spacing w:after="160" w:line="300"/>
        <w:jc w:val="both"/>
      </w:pPr>
      <w:r>
        <w:rPr>
          <w:sz w:val="21"/>
          <w:szCs w:val="21"/>
        </w:rPr>
        <w:t xml:space="preserve">The business consequences are concrete and measurable:</w:t>
      </w:r>
    </w:p>
    <w:p>
      <w:pPr>
        <w:pStyle w:val="ListParagraph"/>
        <w:numPr>
          <w:ilvl w:val="0"/>
          <w:numId w:val="2"/>
        </w:numPr>
        <w:spacing w:after="80"/>
      </w:pPr>
      <w:r>
        <w:rPr>
          <w:sz w:val="21"/>
          <w:szCs w:val="21"/>
        </w:rPr>
        <w:t xml:space="preserve">Week 1 stockouts on products that turn out to be popular, resulting in lost sales and shelf-space penalties from retail partners.</w:t>
      </w:r>
    </w:p>
    <w:p>
      <w:pPr>
        <w:pStyle w:val="ListParagraph"/>
        <w:numPr>
          <w:ilvl w:val="0"/>
          <w:numId w:val="2"/>
        </w:numPr>
        <w:spacing w:after="80"/>
      </w:pPr>
      <w:r>
        <w:rPr>
          <w:sz w:val="21"/>
          <w:szCs w:val="21"/>
        </w:rPr>
        <w:t xml:space="preserve">Overstocking of perishable new items that underperform, resulting in write-offs and waste.</w:t>
      </w:r>
    </w:p>
    <w:p>
      <w:pPr>
        <w:pStyle w:val="ListParagraph"/>
        <w:numPr>
          <w:ilvl w:val="0"/>
          <w:numId w:val="2"/>
        </w:numPr>
        <w:spacing w:after="80"/>
      </w:pPr>
      <w:r>
        <w:rPr>
          <w:sz w:val="21"/>
          <w:szCs w:val="21"/>
        </w:rPr>
        <w:t xml:space="preserve">No institutional record of why a particular launch quantity was chosen, making it impossible to learn from past launch decisions or defend them during audits.</w:t>
      </w:r>
    </w:p>
    <w:p>
      <w:pPr>
        <w:spacing w:after="160" w:line="300"/>
        <w:jc w:val="both"/>
      </w:pPr>
      <w:r>
        <w:rPr>
          <w:sz w:val="21"/>
          <w:szCs w:val="21"/>
        </w:rPr>
        <w:t xml:space="preserve">The project addresses this gap directly by formalizing the planner's implicit “this is like that” reasoning into a quantitative, explainable, and auditable algorithm.</w:t>
      </w:r>
    </w:p>
    <w:p>
      <w:pPr>
        <w:pStyle w:val="Heading1"/>
        <w:pBdr>
          <w:bottom w:val="single" w:color="1F3864" w:sz="6" w:space="4"/>
        </w:pBdr>
        <w:spacing w:after="160" w:before="360"/>
      </w:pPr>
      <w:r>
        <w:rPr>
          <w:b/>
          <w:bCs/>
          <w:color w:val="1F3864"/>
          <w:sz w:val="30"/>
          <w:szCs w:val="30"/>
        </w:rPr>
        <w:t xml:space="preserve">3. Project Objectives</w:t>
      </w:r>
    </w:p>
    <w:p>
      <w:pPr>
        <w:pStyle w:val="ListParagraph"/>
        <w:numPr>
          <w:ilvl w:val="0"/>
          <w:numId w:val="2"/>
        </w:numPr>
        <w:spacing w:after="80"/>
      </w:pPr>
      <w:r>
        <w:rPr>
          <w:b/>
          <w:bCs/>
          <w:sz w:val="21"/>
          <w:szCs w:val="21"/>
        </w:rPr>
        <w:t xml:space="preserve">Objective 1 — Analogue Retrieval: </w:t>
      </w:r>
      <w:r>
        <w:rPr>
          <w:sz w:val="21"/>
          <w:szCs w:val="21"/>
        </w:rPr>
        <w:t xml:space="preserve">Automatically identify the most relevant historical products for any new cold-start item using a multi-attribute similarity model.</w:t>
      </w:r>
    </w:p>
    <w:p>
      <w:pPr>
        <w:pStyle w:val="ListParagraph"/>
        <w:numPr>
          <w:ilvl w:val="0"/>
          <w:numId w:val="2"/>
        </w:numPr>
        <w:spacing w:after="80"/>
      </w:pPr>
      <w:r>
        <w:rPr>
          <w:b/>
          <w:bCs/>
          <w:sz w:val="21"/>
          <w:szCs w:val="21"/>
        </w:rPr>
        <w:t xml:space="preserve">Objective 2 — Explainability: </w:t>
      </w:r>
      <w:r>
        <w:rPr>
          <w:sz w:val="21"/>
          <w:szCs w:val="21"/>
        </w:rPr>
        <w:t xml:space="preserve">Ensure every recommendation is accompanied by a transparent, attribute-level breakdown of why it was chosen, not a black-box score.</w:t>
      </w:r>
    </w:p>
    <w:p>
      <w:pPr>
        <w:pStyle w:val="ListParagraph"/>
        <w:numPr>
          <w:ilvl w:val="0"/>
          <w:numId w:val="2"/>
        </w:numPr>
        <w:spacing w:after="80"/>
      </w:pPr>
      <w:r>
        <w:rPr>
          <w:b/>
          <w:bCs/>
          <w:sz w:val="21"/>
          <w:szCs w:val="21"/>
        </w:rPr>
        <w:t xml:space="preserve">Objective 3 — Confidence Quantification: </w:t>
      </w:r>
      <w:r>
        <w:rPr>
          <w:sz w:val="21"/>
          <w:szCs w:val="21"/>
        </w:rPr>
        <w:t xml:space="preserve">Provide an explicit, formally defined confidence score that reflects analogue quality, pool depth, and forecast variance, so planners know when to trust the system.</w:t>
      </w:r>
    </w:p>
    <w:p>
      <w:pPr>
        <w:pStyle w:val="ListParagraph"/>
        <w:numPr>
          <w:ilvl w:val="0"/>
          <w:numId w:val="2"/>
        </w:numPr>
        <w:spacing w:after="80"/>
      </w:pPr>
      <w:r>
        <w:rPr>
          <w:b/>
          <w:bCs/>
          <w:sz w:val="21"/>
          <w:szCs w:val="21"/>
        </w:rPr>
        <w:t xml:space="preserve">Objective 4 — Launch Forecasting: </w:t>
      </w:r>
      <w:r>
        <w:rPr>
          <w:sz w:val="21"/>
          <w:szCs w:val="21"/>
        </w:rPr>
        <w:t xml:space="preserve">Synthesize an 8-week launch curve (W1–W8) from top-k analogues and demonstrate measurable improvement over a naive category-average baseline.</w:t>
      </w:r>
    </w:p>
    <w:p>
      <w:pPr>
        <w:pStyle w:val="ListParagraph"/>
        <w:numPr>
          <w:ilvl w:val="0"/>
          <w:numId w:val="2"/>
        </w:numPr>
        <w:spacing w:after="80"/>
      </w:pPr>
      <w:r>
        <w:rPr>
          <w:b/>
          <w:bCs/>
          <w:sz w:val="21"/>
          <w:szCs w:val="21"/>
        </w:rPr>
        <w:t xml:space="preserve">Objective 5 — Auditability &amp; Governance: </w:t>
      </w:r>
      <w:r>
        <w:rPr>
          <w:sz w:val="21"/>
          <w:szCs w:val="21"/>
        </w:rPr>
        <w:t xml:space="preserve">Maintain an immutable, append-only audit trail of every system recommendation and human override, enforced at the database level.</w:t>
      </w:r>
    </w:p>
    <w:p>
      <w:pPr>
        <w:pStyle w:val="ListParagraph"/>
        <w:numPr>
          <w:ilvl w:val="0"/>
          <w:numId w:val="2"/>
        </w:numPr>
        <w:spacing w:after="80"/>
      </w:pPr>
      <w:r>
        <w:rPr>
          <w:b/>
          <w:bCs/>
          <w:sz w:val="21"/>
          <w:szCs w:val="21"/>
        </w:rPr>
        <w:t xml:space="preserve">Objective 6 — Usability: </w:t>
      </w:r>
      <w:r>
        <w:rPr>
          <w:sz w:val="21"/>
          <w:szCs w:val="21"/>
        </w:rPr>
        <w:t xml:space="preserve">Expose the full pipeline through a REST API and web interface so planners can browse, query, and override forecasts interactively.</w:t>
      </w:r>
    </w:p>
    <w:p>
      <w:pPr>
        <w:pStyle w:val="Heading1"/>
        <w:pBdr>
          <w:bottom w:val="single" w:color="1F3864" w:sz="6" w:space="4"/>
        </w:pBdr>
        <w:spacing w:after="160" w:before="360"/>
      </w:pPr>
      <w:r>
        <w:rPr>
          <w:b/>
          <w:bCs/>
          <w:color w:val="1F3864"/>
          <w:sz w:val="30"/>
          <w:szCs w:val="30"/>
        </w:rPr>
        <w:t xml:space="preserve">4. System Architecture and Repository Structure</w:t>
      </w:r>
    </w:p>
    <w:p>
      <w:pPr>
        <w:spacing w:after="160" w:line="300"/>
        <w:jc w:val="both"/>
      </w:pPr>
      <w:r>
        <w:rPr>
          <w:sz w:val="21"/>
          <w:szCs w:val="21"/>
        </w:rPr>
        <w:t xml:space="preserve">The system is implemented as a Python backend (FastAPI) backed by a SQLite data warehouse, with a lightweight static web frontend. The repository is organized as follows:</w:t>
      </w:r>
    </w:p>
    <w:p>
      <w:pPr>
        <w:pStyle w:val="Heading3"/>
        <w:spacing w:after="100" w:before="200"/>
      </w:pPr>
      <w:r>
        <w:rPr>
          <w:b/>
          <w:bCs/>
          <w:color w:val="333333"/>
          <w:sz w:val="21"/>
          <w:szCs w:val="21"/>
        </w:rPr>
        <w:t xml:space="preserve">4.1 Repository Layout</w:t>
      </w:r>
    </w:p>
    <w:p>
      <w:pPr>
        <w:pStyle w:val="ListParagraph"/>
        <w:numPr>
          <w:ilvl w:val="0"/>
          <w:numId w:val="2"/>
        </w:numPr>
        <w:spacing w:after="80"/>
      </w:pPr>
      <w:r>
        <w:rPr>
          <w:sz w:val="21"/>
          <w:szCs w:val="21"/>
        </w:rPr>
        <w:t xml:space="preserve">db/ — schema.sql (formal SQLite schema plus immutability triggers) and the warehouse.db database instance.</w:t>
      </w:r>
    </w:p>
    <w:p>
      <w:pPr>
        <w:pStyle w:val="ListParagraph"/>
        <w:numPr>
          <w:ilvl w:val="0"/>
          <w:numId w:val="2"/>
        </w:numPr>
        <w:spacing w:after="80"/>
      </w:pPr>
      <w:r>
        <w:rPr>
          <w:sz w:val="21"/>
          <w:szCs w:val="21"/>
        </w:rPr>
        <w:t xml:space="preserve">docs/ — data schema (ER diagram and data dictionary), architecture diagram, stakeholder assumptions, risk register, and the 35% milestone deliverables matrix (PROGRESS.md).</w:t>
      </w:r>
    </w:p>
    <w:p>
      <w:pPr>
        <w:pStyle w:val="ListParagraph"/>
        <w:numPr>
          <w:ilvl w:val="0"/>
          <w:numId w:val="2"/>
        </w:numPr>
        <w:spacing w:after="80"/>
      </w:pPr>
      <w:r>
        <w:rPr>
          <w:sz w:val="21"/>
          <w:szCs w:val="21"/>
        </w:rPr>
        <w:t xml:space="preserve">scripts/ — generate_synthetic_data.py, a deterministic (seed = 42) synthetic dataset generator.</w:t>
      </w:r>
    </w:p>
    <w:p>
      <w:pPr>
        <w:pStyle w:val="ListParagraph"/>
        <w:numPr>
          <w:ilvl w:val="0"/>
          <w:numId w:val="2"/>
        </w:numPr>
        <w:spacing w:after="80"/>
      </w:pPr>
      <w:r>
        <w:rPr>
          <w:sz w:val="21"/>
          <w:szCs w:val="21"/>
        </w:rPr>
        <w:t xml:space="preserve">src/ — core engine: baseline.py (naive benchmark), analogue_selector.py (weighted Gower similarity, explainability, confidence scoring), audit_log.py (append-only audit logger), evaluate.py (benchmarking harness), and disruption_scenarios.py (Phase 2 stub).</w:t>
      </w:r>
    </w:p>
    <w:p>
      <w:pPr>
        <w:pStyle w:val="ListParagraph"/>
        <w:numPr>
          <w:ilvl w:val="0"/>
          <w:numId w:val="2"/>
        </w:numPr>
        <w:spacing w:after="80"/>
      </w:pPr>
      <w:r>
        <w:rPr>
          <w:sz w:val="21"/>
          <w:szCs w:val="21"/>
        </w:rPr>
        <w:t xml:space="preserve">tests/ — test_pipeline.py, an 8-test unit and integration suite.</w:t>
      </w:r>
    </w:p>
    <w:p>
      <w:pPr>
        <w:pStyle w:val="ListParagraph"/>
        <w:numPr>
          <w:ilvl w:val="0"/>
          <w:numId w:val="2"/>
        </w:numPr>
        <w:spacing w:after="80"/>
      </w:pPr>
      <w:r>
        <w:rPr>
          <w:sz w:val="21"/>
          <w:szCs w:val="21"/>
        </w:rPr>
        <w:t xml:space="preserve">app.py — the FastAPI web application exposing the full system as REST endpoints.</w:t>
      </w:r>
    </w:p>
    <w:p>
      <w:pPr>
        <w:pStyle w:val="ListParagraph"/>
        <w:numPr>
          <w:ilvl w:val="0"/>
          <w:numId w:val="2"/>
        </w:numPr>
        <w:spacing w:after="80"/>
      </w:pPr>
      <w:r>
        <w:rPr>
          <w:sz w:val="21"/>
          <w:szCs w:val="21"/>
        </w:rPr>
        <w:t xml:space="preserve">demo.py — a complete, narrated end-to-end command-line demonstration of the pipeline.</w:t>
      </w:r>
    </w:p>
    <w:p>
      <w:pPr>
        <w:pStyle w:val="ListParagraph"/>
        <w:numPr>
          <w:ilvl w:val="0"/>
          <w:numId w:val="2"/>
        </w:numPr>
        <w:spacing w:after="80"/>
      </w:pPr>
      <w:r>
        <w:rPr>
          <w:sz w:val="21"/>
          <w:szCs w:val="21"/>
        </w:rPr>
        <w:t xml:space="preserve">requirements.txt, launch.bat — dependency manifest and a one-click Windows launcher.</w:t>
      </w:r>
    </w:p>
    <w:p>
      <w:pPr>
        <w:pStyle w:val="Heading3"/>
        <w:spacing w:after="100" w:before="200"/>
      </w:pPr>
      <w:r>
        <w:rPr>
          <w:b/>
          <w:bCs/>
          <w:color w:val="333333"/>
          <w:sz w:val="21"/>
          <w:szCs w:val="21"/>
        </w:rPr>
        <w:t xml:space="preserve">4.2 Technology Stack</w:t>
      </w:r>
    </w:p>
    <w:p>
      <w:pPr>
        <w:pStyle w:val="ListParagraph"/>
        <w:numPr>
          <w:ilvl w:val="0"/>
          <w:numId w:val="2"/>
        </w:numPr>
        <w:spacing w:after="80"/>
      </w:pPr>
      <w:r>
        <w:rPr>
          <w:sz w:val="21"/>
          <w:szCs w:val="21"/>
        </w:rPr>
        <w:t xml:space="preserve">Backend framework: FastAPI, served via Uvicorn, with CORS enabled for the frontend.</w:t>
      </w:r>
    </w:p>
    <w:p>
      <w:pPr>
        <w:pStyle w:val="ListParagraph"/>
        <w:numPr>
          <w:ilvl w:val="0"/>
          <w:numId w:val="2"/>
        </w:numPr>
        <w:spacing w:after="80"/>
      </w:pPr>
      <w:r>
        <w:rPr>
          <w:sz w:val="21"/>
          <w:szCs w:val="21"/>
        </w:rPr>
        <w:t xml:space="preserve">Data processing: pandas and NumPy for tabular manipulation and similarity computation.</w:t>
      </w:r>
    </w:p>
    <w:p>
      <w:pPr>
        <w:pStyle w:val="ListParagraph"/>
        <w:numPr>
          <w:ilvl w:val="0"/>
          <w:numId w:val="2"/>
        </w:numPr>
        <w:spacing w:after="80"/>
      </w:pPr>
      <w:r>
        <w:rPr>
          <w:sz w:val="21"/>
          <w:szCs w:val="21"/>
        </w:rPr>
        <w:t xml:space="preserve">Modeling: scikit-learn utilities supporting the similarity and evaluation pipeline.</w:t>
      </w:r>
    </w:p>
    <w:p>
      <w:pPr>
        <w:pStyle w:val="ListParagraph"/>
        <w:numPr>
          <w:ilvl w:val="0"/>
          <w:numId w:val="2"/>
        </w:numPr>
        <w:spacing w:after="80"/>
      </w:pPr>
      <w:r>
        <w:rPr>
          <w:sz w:val="21"/>
          <w:szCs w:val="21"/>
        </w:rPr>
        <w:t xml:space="preserve">Persistence: SQLite, chosen for zero-configuration deployment and native support for enforcement triggers.</w:t>
      </w:r>
    </w:p>
    <w:p>
      <w:pPr>
        <w:pStyle w:val="ListParagraph"/>
        <w:numPr>
          <w:ilvl w:val="0"/>
          <w:numId w:val="2"/>
        </w:numPr>
        <w:spacing w:after="80"/>
      </w:pPr>
      <w:r>
        <w:rPr>
          <w:sz w:val="21"/>
          <w:szCs w:val="21"/>
        </w:rPr>
        <w:t xml:space="preserve">Frontend: a static HTML/CSS/JS interface served directly by FastAPI's StaticFiles mount.</w:t>
      </w:r>
    </w:p>
    <w:p>
      <w:pPr>
        <w:pStyle w:val="Heading3"/>
        <w:spacing w:after="100" w:before="200"/>
      </w:pPr>
      <w:r>
        <w:rPr>
          <w:b/>
          <w:bCs/>
          <w:color w:val="333333"/>
          <w:sz w:val="21"/>
          <w:szCs w:val="21"/>
        </w:rPr>
        <w:t xml:space="preserve">4.3 REST API Surface (app.py)</w:t>
      </w:r>
    </w:p>
    <w:p>
      <w:pPr>
        <w:spacing w:after="160" w:line="300"/>
        <w:jc w:val="both"/>
      </w:pPr>
      <w:r>
        <w:rPr>
          <w:sz w:val="21"/>
          <w:szCs w:val="21"/>
        </w:rPr>
        <w:t xml:space="preserve">The backend exposes the following endpoints, which together cover the full workflow from catalogue browsing to auditable planner overrides: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2300"/>
        <w:gridCol w:w="5300"/>
      </w:tblGrid>
      <w:tr>
        <w:trPr>
          <w:tblHeader/>
        </w:trPr>
        <w:tc>
          <w:tcPr>
            <w:tcW w:type="dxa" w:w="1750"/>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2300"/>
            <w:shd w:fill="1F3864"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5300"/>
            <w:shd w:fill="1F3864" w:val="clear"/>
            <w:tcMar>
              <w:top w:type="dxa" w:w="80"/>
              <w:left w:type="dxa" w:w="100"/>
              <w:bottom w:type="dxa" w:w="80"/>
              <w:right w:type="dxa" w:w="100"/>
            </w:tcMar>
            <w:vAlign w:val="center"/>
          </w:tcPr>
          <w:p>
            <w:pPr>
              <w:jc w:val="left"/>
            </w:pPr>
            <w:r>
              <w:rPr>
                <w:b/>
                <w:bCs/>
                <w:color w:val="FFFFFF"/>
                <w:sz w:val="20"/>
                <w:szCs w:val="20"/>
              </w:rPr>
              <w:t xml:space="preserve">Purpose</w:t>
            </w:r>
          </w:p>
        </w:tc>
      </w:tr>
      <w:tr>
        <w:tc>
          <w:tcPr>
            <w:tcW w:type="dxa" w:w="1750"/>
            <w:tcMar>
              <w:top w:type="dxa" w:w="80"/>
              <w:left w:type="dxa" w:w="100"/>
              <w:bottom w:type="dxa" w:w="80"/>
              <w:right w:type="dxa" w:w="100"/>
            </w:tcMar>
            <w:vAlign w:val="center"/>
          </w:tcPr>
          <w:p>
            <w:pPr>
              <w:jc w:val="left"/>
            </w:pPr>
            <w:r>
              <w:rPr>
                <w:b w:val="false"/>
                <w:bCs w:val="false"/>
                <w:color w:val="1A1A1A"/>
                <w:sz w:val="20"/>
                <w:szCs w:val="20"/>
              </w:rPr>
              <w:t xml:space="preserve">GET</w:t>
            </w:r>
          </w:p>
        </w:tc>
        <w:tc>
          <w:tcPr>
            <w:tcW w:type="dxa" w:w="2300"/>
            <w:tcMar>
              <w:top w:type="dxa" w:w="80"/>
              <w:left w:type="dxa" w:w="100"/>
              <w:bottom w:type="dxa" w:w="80"/>
              <w:right w:type="dxa" w:w="100"/>
            </w:tcMar>
            <w:vAlign w:val="center"/>
          </w:tcPr>
          <w:p>
            <w:pPr>
              <w:jc w:val="left"/>
            </w:pPr>
            <w:r>
              <w:rPr>
                <w:b w:val="false"/>
                <w:bCs w:val="false"/>
                <w:color w:val="1A1A1A"/>
                <w:sz w:val="20"/>
                <w:szCs w:val="20"/>
              </w:rPr>
              <w:t xml:space="preserve">/api/health</w:t>
            </w:r>
          </w:p>
        </w:tc>
        <w:tc>
          <w:tcPr>
            <w:tcW w:type="dxa" w:w="5300"/>
            <w:tcMar>
              <w:top w:type="dxa" w:w="80"/>
              <w:left w:type="dxa" w:w="100"/>
              <w:bottom w:type="dxa" w:w="80"/>
              <w:right w:type="dxa" w:w="100"/>
            </w:tcMar>
            <w:vAlign w:val="center"/>
          </w:tcPr>
          <w:p>
            <w:pPr>
              <w:jc w:val="left"/>
            </w:pPr>
            <w:r>
              <w:rPr>
                <w:b w:val="false"/>
                <w:bCs w:val="false"/>
                <w:color w:val="1A1A1A"/>
                <w:sz w:val="20"/>
                <w:szCs w:val="20"/>
              </w:rPr>
              <w:t xml:space="preserve">Reports service status, DB connectivity, product count, and model-load state.</w:t>
            </w:r>
          </w:p>
        </w:tc>
      </w:tr>
      <w:tr>
        <w:tc>
          <w:tcPr>
            <w:tcW w:type="dxa" w:w="175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GET</w:t>
            </w:r>
          </w:p>
        </w:tc>
        <w:tc>
          <w:tcPr>
            <w:tcW w:type="dxa" w:w="230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/api/products</w:t>
            </w:r>
          </w:p>
        </w:tc>
        <w:tc>
          <w:tcPr>
            <w:tcW w:type="dxa" w:w="530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Lists catalogue products, optionally filtered by historical vs. cold-start status.</w:t>
            </w:r>
          </w:p>
        </w:tc>
      </w:tr>
      <w:tr>
        <w:tc>
          <w:tcPr>
            <w:tcW w:type="dxa" w:w="1750"/>
            <w:tcMar>
              <w:top w:type="dxa" w:w="80"/>
              <w:left w:type="dxa" w:w="100"/>
              <w:bottom w:type="dxa" w:w="80"/>
              <w:right w:type="dxa" w:w="100"/>
            </w:tcMar>
            <w:vAlign w:val="center"/>
          </w:tcPr>
          <w:p>
            <w:pPr>
              <w:jc w:val="left"/>
            </w:pPr>
            <w:r>
              <w:rPr>
                <w:b w:val="false"/>
                <w:bCs w:val="false"/>
                <w:color w:val="1A1A1A"/>
                <w:sz w:val="20"/>
                <w:szCs w:val="20"/>
              </w:rPr>
              <w:t xml:space="preserve">POST</w:t>
            </w:r>
          </w:p>
        </w:tc>
        <w:tc>
          <w:tcPr>
            <w:tcW w:type="dxa" w:w="2300"/>
            <w:tcMar>
              <w:top w:type="dxa" w:w="80"/>
              <w:left w:type="dxa" w:w="100"/>
              <w:bottom w:type="dxa" w:w="80"/>
              <w:right w:type="dxa" w:w="100"/>
            </w:tcMar>
            <w:vAlign w:val="center"/>
          </w:tcPr>
          <w:p>
            <w:pPr>
              <w:jc w:val="left"/>
            </w:pPr>
            <w:r>
              <w:rPr>
                <w:b w:val="false"/>
                <w:bCs w:val="false"/>
                <w:color w:val="1A1A1A"/>
                <w:sz w:val="20"/>
                <w:szCs w:val="20"/>
              </w:rPr>
              <w:t xml:space="preserve">/api/analogues</w:t>
            </w:r>
          </w:p>
        </w:tc>
        <w:tc>
          <w:tcPr>
            <w:tcW w:type="dxa" w:w="5300"/>
            <w:tcMar>
              <w:top w:type="dxa" w:w="80"/>
              <w:left w:type="dxa" w:w="100"/>
              <w:bottom w:type="dxa" w:w="80"/>
              <w:right w:type="dxa" w:w="100"/>
            </w:tcMar>
            <w:vAlign w:val="center"/>
          </w:tcPr>
          <w:p>
            <w:pPr>
              <w:jc w:val="left"/>
            </w:pPr>
            <w:r>
              <w:rPr>
                <w:b w:val="false"/>
                <w:bCs w:val="false"/>
                <w:color w:val="1A1A1A"/>
                <w:sz w:val="20"/>
                <w:szCs w:val="20"/>
              </w:rPr>
              <w:t xml:space="preserve">Core endpoint: retrieves top-k analogues, per-attribute explanations, an 8-week forecast, and the naive baseline forecast for a given or custom product.</w:t>
            </w:r>
          </w:p>
        </w:tc>
      </w:tr>
      <w:tr>
        <w:tc>
          <w:tcPr>
            <w:tcW w:type="dxa" w:w="175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POST</w:t>
            </w:r>
          </w:p>
        </w:tc>
        <w:tc>
          <w:tcPr>
            <w:tcW w:type="dxa" w:w="230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/api/audit/override</w:t>
            </w:r>
          </w:p>
        </w:tc>
        <w:tc>
          <w:tcPr>
            <w:tcW w:type="dxa" w:w="530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Records a planner override into the immutable audit log with full change metadata and rationale.</w:t>
            </w:r>
          </w:p>
        </w:tc>
      </w:tr>
      <w:tr>
        <w:tc>
          <w:tcPr>
            <w:tcW w:type="dxa" w:w="1750"/>
            <w:tcMar>
              <w:top w:type="dxa" w:w="80"/>
              <w:left w:type="dxa" w:w="100"/>
              <w:bottom w:type="dxa" w:w="80"/>
              <w:right w:type="dxa" w:w="100"/>
            </w:tcMar>
            <w:vAlign w:val="center"/>
          </w:tcPr>
          <w:p>
            <w:pPr>
              <w:jc w:val="left"/>
            </w:pPr>
            <w:r>
              <w:rPr>
                <w:b w:val="false"/>
                <w:bCs w:val="false"/>
                <w:color w:val="1A1A1A"/>
                <w:sz w:val="20"/>
                <w:szCs w:val="20"/>
              </w:rPr>
              <w:t xml:space="preserve">GET</w:t>
            </w:r>
          </w:p>
        </w:tc>
        <w:tc>
          <w:tcPr>
            <w:tcW w:type="dxa" w:w="2300"/>
            <w:tcMar>
              <w:top w:type="dxa" w:w="80"/>
              <w:left w:type="dxa" w:w="100"/>
              <w:bottom w:type="dxa" w:w="80"/>
              <w:right w:type="dxa" w:w="100"/>
            </w:tcMar>
            <w:vAlign w:val="center"/>
          </w:tcPr>
          <w:p>
            <w:pPr>
              <w:jc w:val="left"/>
            </w:pPr>
            <w:r>
              <w:rPr>
                <w:b w:val="false"/>
                <w:bCs w:val="false"/>
                <w:color w:val="1A1A1A"/>
                <w:sz w:val="20"/>
                <w:szCs w:val="20"/>
              </w:rPr>
              <w:t xml:space="preserve">/api/audit/trail</w:t>
            </w:r>
          </w:p>
        </w:tc>
        <w:tc>
          <w:tcPr>
            <w:tcW w:type="dxa" w:w="5300"/>
            <w:tcMar>
              <w:top w:type="dxa" w:w="80"/>
              <w:left w:type="dxa" w:w="100"/>
              <w:bottom w:type="dxa" w:w="80"/>
              <w:right w:type="dxa" w:w="100"/>
            </w:tcMar>
            <w:vAlign w:val="center"/>
          </w:tcPr>
          <w:p>
            <w:pPr>
              <w:jc w:val="left"/>
            </w:pPr>
            <w:r>
              <w:rPr>
                <w:b w:val="false"/>
                <w:bCs w:val="false"/>
                <w:color w:val="1A1A1A"/>
                <w:sz w:val="20"/>
                <w:szCs w:val="20"/>
              </w:rPr>
              <w:t xml:space="preserve">Retrieves the full (or per-product) audit history.</w:t>
            </w:r>
          </w:p>
        </w:tc>
      </w:tr>
      <w:tr>
        <w:tc>
          <w:tcPr>
            <w:tcW w:type="dxa" w:w="175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POST</w:t>
            </w:r>
          </w:p>
        </w:tc>
        <w:tc>
          <w:tcPr>
            <w:tcW w:type="dxa" w:w="230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/api/audit/test-tamper</w:t>
            </w:r>
          </w:p>
        </w:tc>
        <w:tc>
          <w:tcPr>
            <w:tcW w:type="dxa" w:w="530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Deliberately attempts an unauthorized UPDATE on an audit record to verify the database trigger blocks it.</w:t>
            </w:r>
          </w:p>
        </w:tc>
      </w:tr>
      <w:tr>
        <w:tc>
          <w:tcPr>
            <w:tcW w:type="dxa" w:w="1750"/>
            <w:tcMar>
              <w:top w:type="dxa" w:w="80"/>
              <w:left w:type="dxa" w:w="100"/>
              <w:bottom w:type="dxa" w:w="80"/>
              <w:right w:type="dxa" w:w="100"/>
            </w:tcMar>
            <w:vAlign w:val="center"/>
          </w:tcPr>
          <w:p>
            <w:pPr>
              <w:jc w:val="left"/>
            </w:pPr>
            <w:r>
              <w:rPr>
                <w:b w:val="false"/>
                <w:bCs w:val="false"/>
                <w:color w:val="1A1A1A"/>
                <w:sz w:val="20"/>
                <w:szCs w:val="20"/>
              </w:rPr>
              <w:t xml:space="preserve">GET</w:t>
            </w:r>
          </w:p>
        </w:tc>
        <w:tc>
          <w:tcPr>
            <w:tcW w:type="dxa" w:w="2300"/>
            <w:tcMar>
              <w:top w:type="dxa" w:w="80"/>
              <w:left w:type="dxa" w:w="100"/>
              <w:bottom w:type="dxa" w:w="80"/>
              <w:right w:type="dxa" w:w="100"/>
            </w:tcMar>
            <w:vAlign w:val="center"/>
          </w:tcPr>
          <w:p>
            <w:pPr>
              <w:jc w:val="left"/>
            </w:pPr>
            <w:r>
              <w:rPr>
                <w:b w:val="false"/>
                <w:bCs w:val="false"/>
                <w:color w:val="1A1A1A"/>
                <w:sz w:val="20"/>
                <w:szCs w:val="20"/>
              </w:rPr>
              <w:t xml:space="preserve">/api/benchmark</w:t>
            </w:r>
          </w:p>
        </w:tc>
        <w:tc>
          <w:tcPr>
            <w:tcW w:type="dxa" w:w="5300"/>
            <w:tcMar>
              <w:top w:type="dxa" w:w="80"/>
              <w:left w:type="dxa" w:w="100"/>
              <w:bottom w:type="dxa" w:w="80"/>
              <w:right w:type="dxa" w:w="100"/>
            </w:tcMar>
            <w:vAlign w:val="center"/>
          </w:tcPr>
          <w:p>
            <w:pPr>
              <w:jc w:val="left"/>
            </w:pPr>
            <w:r>
              <w:rPr>
                <w:b w:val="false"/>
                <w:bCs w:val="false"/>
                <w:color w:val="1A1A1A"/>
                <w:sz w:val="20"/>
                <w:szCs w:val="20"/>
              </w:rPr>
              <w:t xml:space="preserve">Runs the evaluation harness and returns overall, weekly, and per-product benchmark results.</w:t>
            </w:r>
          </w:p>
        </w:tc>
      </w:tr>
    </w:tbl>
    <w:p>
      <w:pPr>
        <w:spacing w:after="200"/>
      </w:pPr>
    </w:p>
    <w:p>
      <w:pPr>
        <w:pStyle w:val="Heading1"/>
        <w:pBdr>
          <w:bottom w:val="single" w:color="1F3864" w:sz="6" w:space="4"/>
        </w:pBdr>
        <w:spacing w:after="160" w:before="360"/>
      </w:pPr>
      <w:r>
        <w:rPr>
          <w:b/>
          <w:bCs/>
          <w:color w:val="1F3864"/>
          <w:sz w:val="30"/>
          <w:szCs w:val="30"/>
        </w:rPr>
        <w:t xml:space="preserve">5. Methodology</w:t>
      </w:r>
    </w:p>
    <w:p>
      <w:pPr>
        <w:pStyle w:val="Heading3"/>
        <w:spacing w:after="100" w:before="200"/>
      </w:pPr>
      <w:r>
        <w:rPr>
          <w:b/>
          <w:bCs/>
          <w:color w:val="333333"/>
          <w:sz w:val="21"/>
          <w:szCs w:val="21"/>
        </w:rPr>
        <w:t xml:space="preserve">5.1 Weighted Gower Similarity</w:t>
      </w:r>
    </w:p>
    <w:p>
      <w:pPr>
        <w:spacing w:after="160" w:line="300"/>
        <w:jc w:val="both"/>
      </w:pPr>
      <w:r>
        <w:rPr>
          <w:sz w:val="21"/>
          <w:szCs w:val="21"/>
        </w:rPr>
        <w:t xml:space="preserve">Each candidate historical product is compared against the target cold-start product across seven attributes. For each attribute m, a normalized distance dₘ ∈ [0, 1] is computed (categorical attributes use exact-match distance; numeric attributes such as pack size and shelf life use range-normalized absolute difference), and converted into an affinity score sₘ = 1 − dₘ. The attribute weights, which were set to reflect their expected predictive importance for launch-curve shape, are:</w:t>
      </w:r>
    </w:p>
    <w:p>
      <w:pPr>
        <w:pStyle w:val="ListParagraph"/>
        <w:numPr>
          <w:ilvl w:val="0"/>
          <w:numId w:val="2"/>
        </w:numPr>
        <w:spacing w:after="80"/>
      </w:pPr>
      <w:r>
        <w:rPr>
          <w:sz w:val="21"/>
          <w:szCs w:val="21"/>
        </w:rPr>
        <w:t xml:space="preserve">category — weight 0.25</w:t>
      </w:r>
    </w:p>
    <w:p>
      <w:pPr>
        <w:pStyle w:val="ListParagraph"/>
        <w:numPr>
          <w:ilvl w:val="0"/>
          <w:numId w:val="2"/>
        </w:numPr>
        <w:spacing w:after="80"/>
      </w:pPr>
      <w:r>
        <w:rPr>
          <w:sz w:val="21"/>
          <w:szCs w:val="21"/>
        </w:rPr>
        <w:t xml:space="preserve">subcategory — weight 0.20</w:t>
      </w:r>
    </w:p>
    <w:p>
      <w:pPr>
        <w:pStyle w:val="ListParagraph"/>
        <w:numPr>
          <w:ilvl w:val="0"/>
          <w:numId w:val="2"/>
        </w:numPr>
        <w:spacing w:after="80"/>
      </w:pPr>
      <w:r>
        <w:rPr>
          <w:sz w:val="21"/>
          <w:szCs w:val="21"/>
        </w:rPr>
        <w:t xml:space="preserve">festival linkage — weight 0.15</w:t>
      </w:r>
    </w:p>
    <w:p>
      <w:pPr>
        <w:pStyle w:val="ListParagraph"/>
        <w:numPr>
          <w:ilvl w:val="0"/>
          <w:numId w:val="2"/>
        </w:numPr>
        <w:spacing w:after="80"/>
      </w:pPr>
      <w:r>
        <w:rPr>
          <w:sz w:val="21"/>
          <w:szCs w:val="21"/>
        </w:rPr>
        <w:t xml:space="preserve">price tier — weight 0.15</w:t>
      </w:r>
    </w:p>
    <w:p>
      <w:pPr>
        <w:pStyle w:val="ListParagraph"/>
        <w:numPr>
          <w:ilvl w:val="0"/>
          <w:numId w:val="2"/>
        </w:numPr>
        <w:spacing w:after="80"/>
      </w:pPr>
      <w:r>
        <w:rPr>
          <w:sz w:val="21"/>
          <w:szCs w:val="21"/>
        </w:rPr>
        <w:t xml:space="preserve">pack size — weight 0.10</w:t>
      </w:r>
    </w:p>
    <w:p>
      <w:pPr>
        <w:pStyle w:val="ListParagraph"/>
        <w:numPr>
          <w:ilvl w:val="0"/>
          <w:numId w:val="2"/>
        </w:numPr>
        <w:spacing w:after="80"/>
      </w:pPr>
      <w:r>
        <w:rPr>
          <w:sz w:val="21"/>
          <w:szCs w:val="21"/>
        </w:rPr>
        <w:t xml:space="preserve">shelf life — weight 0.08</w:t>
      </w:r>
    </w:p>
    <w:p>
      <w:pPr>
        <w:pStyle w:val="ListParagraph"/>
        <w:numPr>
          <w:ilvl w:val="0"/>
          <w:numId w:val="2"/>
        </w:numPr>
        <w:spacing w:after="80"/>
      </w:pPr>
      <w:r>
        <w:rPr>
          <w:sz w:val="21"/>
          <w:szCs w:val="21"/>
        </w:rPr>
        <w:t xml:space="preserve">weather sensitivity — weight 0.07</w:t>
      </w:r>
    </w:p>
    <w:p>
      <w:pPr>
        <w:spacing w:after="160" w:line="300"/>
        <w:jc w:val="both"/>
      </w:pPr>
      <w:r>
        <w:rPr>
          <w:sz w:val="21"/>
          <w:szCs w:val="21"/>
        </w:rPr>
        <w:t xml:space="preserve">The weighted sum of attribute affinities produces the overall similarity score used to rank and retrieve the top-k analogues. Critically, each attribute's contribution is retained individually (not only summed), which is what makes the per-analogue explanation possible.</w:t>
      </w:r>
    </w:p>
    <w:p>
      <w:pPr>
        <w:pStyle w:val="Heading3"/>
        <w:spacing w:after="100" w:before="200"/>
      </w:pPr>
      <w:r>
        <w:rPr>
          <w:b/>
          <w:bCs/>
          <w:color w:val="333333"/>
          <w:sz w:val="21"/>
          <w:szCs w:val="21"/>
        </w:rPr>
        <w:t xml:space="preserve">5.2 Explainability</w:t>
      </w:r>
    </w:p>
    <w:p>
      <w:pPr>
        <w:spacing w:after="160" w:line="300"/>
        <w:jc w:val="both"/>
      </w:pPr>
      <w:r>
        <w:rPr>
          <w:sz w:val="21"/>
          <w:szCs w:val="21"/>
        </w:rPr>
        <w:t xml:space="preserve">For every retrieved analogue, the system reports the exact contribution of each attribute to the total similarity score, both as a raw value and as a percentage of the total. This turns the recommendation from an opaque number into a statement a planner can inspect and challenge, e.g. “this analogue was chosen primarily because of category and festival-linkage similarity, not price tier.”</w:t>
      </w:r>
    </w:p>
    <w:p>
      <w:pPr>
        <w:pStyle w:val="Heading3"/>
        <w:spacing w:after="100" w:before="200"/>
      </w:pPr>
      <w:r>
        <w:rPr>
          <w:b/>
          <w:bCs/>
          <w:color w:val="333333"/>
          <w:sz w:val="21"/>
          <w:szCs w:val="21"/>
        </w:rPr>
        <w:t xml:space="preserve">5.3 Confidence Scoring</w:t>
      </w:r>
    </w:p>
    <w:p>
      <w:pPr>
        <w:spacing w:after="160" w:line="300"/>
        <w:jc w:val="both"/>
      </w:pPr>
      <w:r>
        <w:rPr>
          <w:sz w:val="21"/>
          <w:szCs w:val="21"/>
        </w:rPr>
        <w:t xml:space="preserve">Beyond similarity, the system reports a single confidence score C for each forecast, combining three factors: the average similarity of the top-k analogues, the coefficient of variation (CV) across their historical launch curves (penalizing forecasts built from analogues that disagree with one another), and the fraction of the requested k analogues that were actually available and valid. Formally:</w:t>
      </w:r>
    </w:p>
    <w:p>
      <w:pPr>
        <w:spacing w:after="200" w:before="100"/>
        <w:jc w:val="center"/>
      </w:pPr>
      <w:r>
        <w:rPr>
          <w:i/>
          <w:iCs/>
          <w:color w:val="1F3864"/>
          <w:sz w:val="22"/>
          <w:szCs w:val="22"/>
        </w:rPr>
        <w:t xml:space="preserve">C = min( 1.0,  S̅ₖ  ×  (1 − CV(curves) / 2)  ×  (Nᵥₐₗᵢᵈ / k) )</w:t>
      </w:r>
    </w:p>
    <w:p>
      <w:pPr>
        <w:spacing w:after="160" w:line="300"/>
        <w:jc w:val="both"/>
      </w:pPr>
      <w:r>
        <w:rPr>
          <w:sz w:val="21"/>
          <w:szCs w:val="21"/>
        </w:rPr>
        <w:t xml:space="preserve">This gives planners a single, defensible number for how much weight to put on a given forecast, and it degrades gracefully (rather than silently) when the analogue pool for a novel product category is thin or absent.</w:t>
      </w:r>
    </w:p>
    <w:p>
      <w:pPr>
        <w:pStyle w:val="Heading3"/>
        <w:spacing w:after="100" w:before="200"/>
      </w:pPr>
      <w:r>
        <w:rPr>
          <w:b/>
          <w:bCs/>
          <w:color w:val="333333"/>
          <w:sz w:val="21"/>
          <w:szCs w:val="21"/>
        </w:rPr>
        <w:t xml:space="preserve">5.4 Launch Forecast Synthesis and Baseline</w:t>
      </w:r>
    </w:p>
    <w:p>
      <w:pPr>
        <w:spacing w:after="160" w:line="300"/>
        <w:jc w:val="both"/>
      </w:pPr>
      <w:r>
        <w:rPr>
          <w:sz w:val="21"/>
          <w:szCs w:val="21"/>
        </w:rPr>
        <w:t xml:space="preserve">The top-k analogues' historical 8-week launch curves are combined into a single similarity-weighted forecast curve for the new product. This is benchmarked against a deliberately simple naive baseline, a category-average forecaster (optionally stratified by price tier), so that the value added by analogue retrieval can be measured honestly rather than assumed.</w:t>
      </w:r>
    </w:p>
    <w:p>
      <w:pPr>
        <w:pStyle w:val="Heading3"/>
        <w:spacing w:after="100" w:before="200"/>
      </w:pPr>
      <w:r>
        <w:rPr>
          <w:b/>
          <w:bCs/>
          <w:color w:val="333333"/>
          <w:sz w:val="21"/>
          <w:szCs w:val="21"/>
        </w:rPr>
        <w:t xml:space="preserve">5.5 Immutable Audit Logging</w:t>
      </w:r>
    </w:p>
    <w:p>
      <w:pPr>
        <w:spacing w:after="160" w:line="300"/>
        <w:jc w:val="both"/>
      </w:pPr>
      <w:r>
        <w:rPr>
          <w:sz w:val="21"/>
          <w:szCs w:val="21"/>
        </w:rPr>
        <w:t xml:space="preserve">Every system-generated recommendation and every human planner override is written to a plan_changes table capturing the product, the field changed, the old and new values, who made the change, and the stated reason. Two SQLite triggers, trg_prevent_plan_changes_update and trg_prevent_plan_changes_delete, reject any UPDATE or DELETE against this table at the database engine level, so the audit trail cannot be silently rewritten even by a compromised or careless application layer. This is verified programmatically by a dedicated tamper-test endpoint and by the automated test suite.</w:t>
      </w:r>
    </w:p>
    <w:p>
      <w:pPr>
        <w:pStyle w:val="Heading1"/>
        <w:pBdr>
          <w:bottom w:val="single" w:color="1F3864" w:sz="6" w:space="4"/>
        </w:pBdr>
        <w:spacing w:after="160" w:before="360"/>
      </w:pPr>
      <w:r>
        <w:rPr>
          <w:b/>
          <w:bCs/>
          <w:color w:val="1F3864"/>
          <w:sz w:val="30"/>
          <w:szCs w:val="30"/>
        </w:rPr>
        <w:t xml:space="preserve">6. Phase 1 Quantitative Results</w:t>
      </w:r>
    </w:p>
    <w:p>
      <w:pPr>
        <w:spacing w:after="160" w:line="300"/>
        <w:jc w:val="both"/>
      </w:pPr>
      <w:r>
        <w:rPr>
          <w:sz w:val="21"/>
          <w:szCs w:val="21"/>
        </w:rPr>
        <w:t xml:space="preserve">The analogue selector was evaluated against the naive category-average baseline on 12 held-out cold-start products across the full 8-week launch horizon, using Weighted Absolute Percentage Error (WAPE) and Mean Absolute Percentage Error (MAPE) as the accuracy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350"/>
        <w:gridCol w:w="2000"/>
        <w:gridCol w:w="1700"/>
      </w:tblGrid>
      <w:tr>
        <w:trPr>
          <w:tblHeader/>
        </w:trPr>
        <w:tc>
          <w:tcPr>
            <w:tcW w:type="dxa" w:w="3300"/>
            <w:shd w:fill="1F3864" w:val="clear"/>
            <w:tcMar>
              <w:top w:type="dxa" w:w="80"/>
              <w:left w:type="dxa" w:w="100"/>
              <w:bottom w:type="dxa" w:w="80"/>
              <w:right w:type="dxa" w:w="100"/>
            </w:tcMar>
            <w:vAlign w:val="center"/>
          </w:tcPr>
          <w:p>
            <w:pPr>
              <w:jc w:val="left"/>
            </w:pPr>
            <w:r>
              <w:rPr>
                <w:b/>
                <w:bCs/>
                <w:color w:val="FFFFFF"/>
                <w:sz w:val="20"/>
                <w:szCs w:val="20"/>
              </w:rPr>
              <w:t xml:space="preserve">Model</w:t>
            </w:r>
          </w:p>
        </w:tc>
        <w:tc>
          <w:tcPr>
            <w:tcW w:type="dxa" w:w="2350"/>
            <w:shd w:fill="1F3864" w:val="clear"/>
            <w:tcMar>
              <w:top w:type="dxa" w:w="80"/>
              <w:left w:type="dxa" w:w="100"/>
              <w:bottom w:type="dxa" w:w="80"/>
              <w:right w:type="dxa" w:w="100"/>
            </w:tcMar>
            <w:vAlign w:val="center"/>
          </w:tcPr>
          <w:p>
            <w:pPr>
              <w:jc w:val="center"/>
            </w:pPr>
            <w:r>
              <w:rPr>
                <w:b/>
                <w:bCs/>
                <w:color w:val="FFFFFF"/>
                <w:sz w:val="20"/>
                <w:szCs w:val="20"/>
              </w:rPr>
              <w:t xml:space="preserve">WAPE</w:t>
            </w:r>
          </w:p>
        </w:tc>
        <w:tc>
          <w:tcPr>
            <w:tcW w:type="dxa" w:w="2000"/>
            <w:shd w:fill="1F3864" w:val="clear"/>
            <w:tcMar>
              <w:top w:type="dxa" w:w="80"/>
              <w:left w:type="dxa" w:w="100"/>
              <w:bottom w:type="dxa" w:w="80"/>
              <w:right w:type="dxa" w:w="100"/>
            </w:tcMar>
            <w:vAlign w:val="center"/>
          </w:tcPr>
          <w:p>
            <w:pPr>
              <w:jc w:val="center"/>
            </w:pPr>
            <w:r>
              <w:rPr>
                <w:b/>
                <w:bCs/>
                <w:color w:val="FFFFFF"/>
                <w:sz w:val="20"/>
                <w:szCs w:val="20"/>
              </w:rPr>
              <w:t xml:space="preserve">MAPE</w:t>
            </w:r>
          </w:p>
        </w:tc>
        <w:tc>
          <w:tcPr>
            <w:tcW w:type="dxa" w:w="1700"/>
            <w:shd w:fill="1F3864" w:val="clear"/>
            <w:tcMar>
              <w:top w:type="dxa" w:w="80"/>
              <w:left w:type="dxa" w:w="100"/>
              <w:bottom w:type="dxa" w:w="80"/>
              <w:right w:type="dxa" w:w="100"/>
            </w:tcMar>
            <w:vAlign w:val="center"/>
          </w:tcPr>
          <w:p>
            <w:pPr>
              <w:jc w:val="center"/>
            </w:pPr>
            <w:r>
              <w:rPr>
                <w:b/>
                <w:bCs/>
                <w:color w:val="FFFFFF"/>
                <w:sz w:val="20"/>
                <w:szCs w:val="20"/>
              </w:rPr>
              <w:t xml:space="preserve">vs. Baseline</w:t>
            </w:r>
          </w:p>
        </w:tc>
      </w:tr>
      <w:tr>
        <w:tc>
          <w:tcPr>
            <w:tcW w:type="dxa" w:w="3300"/>
            <w:tcMar>
              <w:top w:type="dxa" w:w="80"/>
              <w:left w:type="dxa" w:w="100"/>
              <w:bottom w:type="dxa" w:w="80"/>
              <w:right w:type="dxa" w:w="100"/>
            </w:tcMar>
            <w:vAlign w:val="center"/>
          </w:tcPr>
          <w:p>
            <w:pPr>
              <w:jc w:val="left"/>
            </w:pPr>
            <w:r>
              <w:rPr>
                <w:b w:val="false"/>
                <w:bCs w:val="false"/>
                <w:color w:val="1A1A1A"/>
                <w:sz w:val="20"/>
                <w:szCs w:val="20"/>
              </w:rPr>
              <w:t xml:space="preserve">Naive Baseline Forecaster</w:t>
            </w:r>
          </w:p>
        </w:tc>
        <w:tc>
          <w:tcPr>
            <w:tcW w:type="dxa" w:w="2350"/>
            <w:tcMar>
              <w:top w:type="dxa" w:w="80"/>
              <w:left w:type="dxa" w:w="100"/>
              <w:bottom w:type="dxa" w:w="80"/>
              <w:right w:type="dxa" w:w="100"/>
            </w:tcMar>
            <w:vAlign w:val="center"/>
          </w:tcPr>
          <w:p>
            <w:pPr>
              <w:jc w:val="center"/>
            </w:pPr>
            <w:r>
              <w:rPr>
                <w:b w:val="false"/>
                <w:bCs w:val="false"/>
                <w:color w:val="1A1A1A"/>
                <w:sz w:val="20"/>
                <w:szCs w:val="20"/>
              </w:rPr>
              <w:t xml:space="preserve">31.82%</w:t>
            </w:r>
          </w:p>
        </w:tc>
        <w:tc>
          <w:tcPr>
            <w:tcW w:type="dxa" w:w="2000"/>
            <w:tcMar>
              <w:top w:type="dxa" w:w="80"/>
              <w:left w:type="dxa" w:w="100"/>
              <w:bottom w:type="dxa" w:w="80"/>
              <w:right w:type="dxa" w:w="100"/>
            </w:tcMar>
            <w:vAlign w:val="center"/>
          </w:tcPr>
          <w:p>
            <w:pPr>
              <w:jc w:val="center"/>
            </w:pPr>
            <w:r>
              <w:rPr>
                <w:b w:val="false"/>
                <w:bCs w:val="false"/>
                <w:color w:val="1A1A1A"/>
                <w:sz w:val="20"/>
                <w:szCs w:val="20"/>
              </w:rPr>
              <w:t xml:space="preserve">40.12%</w:t>
            </w:r>
          </w:p>
        </w:tc>
        <w:tc>
          <w:tcPr>
            <w:tcW w:type="dxa" w:w="1700"/>
            <w:tcMar>
              <w:top w:type="dxa" w:w="80"/>
              <w:left w:type="dxa" w:w="100"/>
              <w:bottom w:type="dxa" w:w="80"/>
              <w:right w:type="dxa" w:w="100"/>
            </w:tcMar>
            <w:vAlign w:val="center"/>
          </w:tcPr>
          <w:p>
            <w:pPr>
              <w:jc w:val="center"/>
            </w:pPr>
            <w:r>
              <w:rPr>
                <w:b w:val="false"/>
                <w:bCs w:val="false"/>
                <w:color w:val="1A1A1A"/>
                <w:sz w:val="20"/>
                <w:szCs w:val="20"/>
              </w:rPr>
              <w:t xml:space="preserve">Reference</w:t>
            </w:r>
          </w:p>
        </w:tc>
      </w:tr>
      <w:tr>
        <w:tc>
          <w:tcPr>
            <w:tcW w:type="dxa" w:w="330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Analogue Selector (v1)</w:t>
            </w:r>
          </w:p>
        </w:tc>
        <w:tc>
          <w:tcPr>
            <w:tcW w:type="dxa" w:w="2350"/>
            <w:shd w:fill="EDF2FA" w:val="clear"/>
            <w:tcMar>
              <w:top w:type="dxa" w:w="80"/>
              <w:left w:type="dxa" w:w="100"/>
              <w:bottom w:type="dxa" w:w="80"/>
              <w:right w:type="dxa" w:w="100"/>
            </w:tcMar>
            <w:vAlign w:val="center"/>
          </w:tcPr>
          <w:p>
            <w:pPr>
              <w:jc w:val="center"/>
            </w:pPr>
            <w:r>
              <w:rPr>
                <w:b w:val="false"/>
                <w:bCs w:val="false"/>
                <w:color w:val="1A1A1A"/>
                <w:sz w:val="20"/>
                <w:szCs w:val="20"/>
              </w:rPr>
              <w:t xml:space="preserve">25.36%</w:t>
            </w:r>
          </w:p>
        </w:tc>
        <w:tc>
          <w:tcPr>
            <w:tcW w:type="dxa" w:w="2000"/>
            <w:shd w:fill="EDF2FA" w:val="clear"/>
            <w:tcMar>
              <w:top w:type="dxa" w:w="80"/>
              <w:left w:type="dxa" w:w="100"/>
              <w:bottom w:type="dxa" w:w="80"/>
              <w:right w:type="dxa" w:w="100"/>
            </w:tcMar>
            <w:vAlign w:val="center"/>
          </w:tcPr>
          <w:p>
            <w:pPr>
              <w:jc w:val="center"/>
            </w:pPr>
            <w:r>
              <w:rPr>
                <w:b w:val="false"/>
                <w:bCs w:val="false"/>
                <w:color w:val="1A1A1A"/>
                <w:sz w:val="20"/>
                <w:szCs w:val="20"/>
              </w:rPr>
              <w:t xml:space="preserve">32.69%</w:t>
            </w:r>
          </w:p>
        </w:tc>
        <w:tc>
          <w:tcPr>
            <w:tcW w:type="dxa" w:w="1700"/>
            <w:shd w:fill="EDF2FA" w:val="clear"/>
            <w:tcMar>
              <w:top w:type="dxa" w:w="80"/>
              <w:left w:type="dxa" w:w="100"/>
              <w:bottom w:type="dxa" w:w="80"/>
              <w:right w:type="dxa" w:w="100"/>
            </w:tcMar>
            <w:vAlign w:val="center"/>
          </w:tcPr>
          <w:p>
            <w:pPr>
              <w:jc w:val="center"/>
            </w:pPr>
            <w:r>
              <w:rPr>
                <w:b w:val="false"/>
                <w:bCs w:val="false"/>
                <w:color w:val="1A1A1A"/>
                <w:sz w:val="20"/>
                <w:szCs w:val="20"/>
              </w:rPr>
              <w:t xml:space="preserve">+6.46 pts (−20.3%)</w:t>
            </w:r>
          </w:p>
        </w:tc>
      </w:tr>
    </w:tbl>
    <w:p>
      <w:pPr>
        <w:spacing w:after="200" w:before="200"/>
      </w:pPr>
    </w:p>
    <w:p>
      <w:pPr>
        <w:spacing w:after="160" w:line="300"/>
        <w:jc w:val="both"/>
      </w:pPr>
      <w:r>
        <w:rPr>
          <w:sz w:val="21"/>
          <w:szCs w:val="21"/>
        </w:rPr>
        <w:t xml:space="preserve">The improvement is consistent across the forecast horizon rather than concentrated in a single week, which suggests the analogue approach is capturing genuine shape information from historical launches rather than overfitting to one part of the curve:</w:t>
      </w:r>
    </w:p>
    <w:p>
      <w:pPr>
        <w:pStyle w:val="ListParagraph"/>
        <w:numPr>
          <w:ilvl w:val="0"/>
          <w:numId w:val="2"/>
        </w:numPr>
        <w:spacing w:after="80"/>
      </w:pPr>
      <w:r>
        <w:rPr>
          <w:sz w:val="21"/>
          <w:szCs w:val="21"/>
        </w:rPr>
        <w:t xml:space="preserve">Week 1 (initial stocking surge): baseline WAPE 27.63% vs. selector WAPE 21.27% (+6.36 pts).</w:t>
      </w:r>
    </w:p>
    <w:p>
      <w:pPr>
        <w:pStyle w:val="ListParagraph"/>
        <w:numPr>
          <w:ilvl w:val="0"/>
          <w:numId w:val="2"/>
        </w:numPr>
        <w:spacing w:after="80"/>
      </w:pPr>
      <w:r>
        <w:rPr>
          <w:sz w:val="21"/>
          <w:szCs w:val="21"/>
        </w:rPr>
        <w:t xml:space="preserve">Week 2 (early repeat / promotional period): baseline WAPE 31.81% vs. selector WAPE 22.12% (+9.69 pts).</w:t>
      </w:r>
    </w:p>
    <w:p>
      <w:pPr>
        <w:pStyle w:val="ListParagraph"/>
        <w:numPr>
          <w:ilvl w:val="0"/>
          <w:numId w:val="2"/>
        </w:numPr>
        <w:spacing w:after="80"/>
      </w:pPr>
      <w:r>
        <w:rPr>
          <w:sz w:val="21"/>
          <w:szCs w:val="21"/>
        </w:rPr>
        <w:t xml:space="preserve">Week 4 (post-trial stabilization): baseline WAPE 30.77% vs. selector WAPE 22.47% (+8.30 pts).</w:t>
      </w:r>
    </w:p>
    <w:p>
      <w:pPr>
        <w:pStyle w:val="ListParagraph"/>
        <w:numPr>
          <w:ilvl w:val="0"/>
          <w:numId w:val="2"/>
        </w:numPr>
        <w:spacing w:after="80"/>
      </w:pPr>
      <w:r>
        <w:rPr>
          <w:sz w:val="21"/>
          <w:szCs w:val="21"/>
        </w:rPr>
        <w:t xml:space="preserve">Week 7 (steady state): baseline WAPE 30.03% vs. selector WAPE 20.18% (+9.85 pts).</w:t>
      </w:r>
    </w:p>
    <w:p>
      <w:pPr>
        <w:spacing w:after="160" w:line="300"/>
        <w:jc w:val="both"/>
      </w:pPr>
      <w:r>
        <w:rPr>
          <w:sz w:val="21"/>
          <w:szCs w:val="21"/>
        </w:rPr>
        <w:t xml:space="preserve">Overall, the analogue selector reduces weighted forecast error by roughly one-fifth relative to the naive baseline, providing an early quantitative signal that the core hypothesis of the project — that attribute-based analogue retrieval outperforms simple category averaging for cold-start forecasting — holds on synthetic evaluation data. Validation against real distributor data is planned for a later phase.</w:t>
      </w:r>
    </w:p>
    <w:p>
      <w:pPr>
        <w:pStyle w:val="Heading1"/>
        <w:pBdr>
          <w:bottom w:val="single" w:color="1F3864" w:sz="6" w:space="4"/>
        </w:pBdr>
        <w:spacing w:after="160" w:before="360"/>
      </w:pPr>
      <w:r>
        <w:rPr>
          <w:b/>
          <w:bCs/>
          <w:color w:val="1F3864"/>
          <w:sz w:val="30"/>
          <w:szCs w:val="30"/>
        </w:rPr>
        <w:t xml:space="preserve">7. Testing, Validation, and Resilience</w:t>
      </w:r>
    </w:p>
    <w:p>
      <w:pPr>
        <w:spacing w:after="160" w:line="300"/>
        <w:jc w:val="both"/>
      </w:pPr>
      <w:r>
        <w:rPr>
          <w:sz w:val="21"/>
          <w:szCs w:val="21"/>
        </w:rPr>
        <w:t xml:space="preserve">Correctness and robustness were validated through two complementary mechanisms:</w:t>
      </w:r>
    </w:p>
    <w:p>
      <w:pPr>
        <w:pStyle w:val="ListParagraph"/>
        <w:numPr>
          <w:ilvl w:val="0"/>
          <w:numId w:val="2"/>
        </w:numPr>
        <w:spacing w:after="80"/>
      </w:pPr>
      <w:r>
        <w:rPr>
          <w:b/>
          <w:bCs/>
          <w:sz w:val="21"/>
          <w:szCs w:val="21"/>
        </w:rPr>
        <w:t xml:space="preserve">Automated test suite (tests/test_pipeline.py): </w:t>
      </w:r>
      <w:r>
        <w:rPr>
          <w:sz w:val="21"/>
          <w:szCs w:val="21"/>
        </w:rPr>
        <w:t xml:space="preserve">eight unit and integration tests covering schema creation, trigger-based immutability enforcement, synthetic data generation, the analogue selector's contract, correctness of the explainability breakdown, and edge-case handling. All tests are run via python -m unittest discover.</w:t>
      </w:r>
    </w:p>
    <w:p>
      <w:pPr>
        <w:pStyle w:val="ListParagraph"/>
        <w:numPr>
          <w:ilvl w:val="0"/>
          <w:numId w:val="2"/>
        </w:numPr>
        <w:spacing w:after="80"/>
      </w:pPr>
      <w:r>
        <w:rPr>
          <w:b/>
          <w:bCs/>
          <w:sz w:val="21"/>
          <w:szCs w:val="21"/>
        </w:rPr>
        <w:t xml:space="preserve">End-to-end demonstration (demo.py): </w:t>
      </w:r>
      <w:r>
        <w:rPr>
          <w:sz w:val="21"/>
          <w:szCs w:val="21"/>
        </w:rPr>
        <w:t xml:space="preserve">a fully narrated seven-step walkthrough of the live pipeline — catalogue indexing, cold-start candidate selection, analogue retrieval with explainability, forecast generation against the baseline, planner override logging, database-trigger tamper verification, and a graceful-degradation test on an out-of-catalogue product category.</w:t>
      </w:r>
    </w:p>
    <w:p>
      <w:pPr>
        <w:spacing w:after="160" w:line="300"/>
        <w:jc w:val="both"/>
      </w:pPr>
      <w:r>
        <w:rPr>
          <w:sz w:val="21"/>
          <w:szCs w:val="21"/>
        </w:rPr>
        <w:t xml:space="preserve">The graceful-degradation test is a particularly important resilience check: when demo.py presents a completely novel category (“Plant-Based Dairy Alternative”) that has no representation in the historical catalogue, the system does not fail or fabricate a confident answer. Instead it flags the forecast as degraded, states the reason (zero category history), penalizes the confidence score accordingly, and falls back to a safe default curve — behavior that is essential for a system that will eventually face real, unpredictable new-product submissions.</w:t>
      </w:r>
    </w:p>
    <w:p>
      <w:pPr>
        <w:pStyle w:val="Heading1"/>
        <w:pBdr>
          <w:bottom w:val="single" w:color="1F3864" w:sz="6" w:space="4"/>
        </w:pBdr>
        <w:spacing w:after="160" w:before="360"/>
      </w:pPr>
      <w:r>
        <w:rPr>
          <w:b/>
          <w:bCs/>
          <w:color w:val="1F3864"/>
          <w:sz w:val="30"/>
          <w:szCs w:val="30"/>
        </w:rPr>
        <w:t xml:space="preserve">8. Milestone Status (35% Completion)</w:t>
      </w:r>
    </w:p>
    <w:p>
      <w:pPr>
        <w:spacing w:after="160" w:line="300"/>
        <w:jc w:val="both"/>
      </w:pPr>
      <w:r>
        <w:rPr>
          <w:sz w:val="21"/>
          <w:szCs w:val="21"/>
        </w:rPr>
        <w:t xml:space="preserve">The table below summarizes what has been delivered in this phase against the project's planned scope.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50"/>
      </w:tblGrid>
      <w:tr>
        <w:trPr>
          <w:tblHeader/>
        </w:trPr>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Deliverable</w:t>
            </w:r>
          </w:p>
        </w:tc>
        <w:tc>
          <w:tcPr>
            <w:tcW w:type="dxa" w:w="1600"/>
            <w:shd w:fill="1F3864" w:val="clear"/>
            <w:tcMar>
              <w:top w:type="dxa" w:w="80"/>
              <w:left w:type="dxa" w:w="100"/>
              <w:bottom w:type="dxa" w:w="80"/>
              <w:right w:type="dxa" w:w="100"/>
            </w:tcMar>
            <w:vAlign w:val="center"/>
          </w:tcPr>
          <w:p>
            <w:pPr>
              <w:jc w:val="center"/>
            </w:pPr>
            <w:r>
              <w:rPr>
                <w:b/>
                <w:bCs/>
                <w:color w:val="FFFFFF"/>
                <w:sz w:val="20"/>
                <w:szCs w:val="20"/>
              </w:rPr>
              <w:t xml:space="preserve">Status</w:t>
            </w:r>
          </w:p>
        </w:tc>
        <w:tc>
          <w:tcPr>
            <w:tcW w:type="dxa" w:w="3550"/>
            <w:shd w:fill="1F3864"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4200"/>
            <w:tcMar>
              <w:top w:type="dxa" w:w="80"/>
              <w:left w:type="dxa" w:w="100"/>
              <w:bottom w:type="dxa" w:w="80"/>
              <w:right w:type="dxa" w:w="100"/>
            </w:tcMar>
            <w:vAlign w:val="center"/>
          </w:tcPr>
          <w:p>
            <w:pPr>
              <w:jc w:val="left"/>
            </w:pPr>
            <w:r>
              <w:rPr>
                <w:b w:val="false"/>
                <w:bCs w:val="false"/>
                <w:color w:val="1A1A1A"/>
                <w:sz w:val="20"/>
                <w:szCs w:val="20"/>
              </w:rPr>
              <w:t xml:space="preserve">SQLite schema + immutability triggers</w:t>
            </w:r>
          </w:p>
        </w:tc>
        <w:tc>
          <w:tcPr>
            <w:tcW w:type="dxa" w:w="1600"/>
            <w:tcMar>
              <w:top w:type="dxa" w:w="80"/>
              <w:left w:type="dxa" w:w="100"/>
              <w:bottom w:type="dxa" w:w="80"/>
              <w:right w:type="dxa" w:w="100"/>
            </w:tcMar>
            <w:vAlign w:val="center"/>
          </w:tcPr>
          <w:p>
            <w:pPr>
              <w:jc w:val="center"/>
            </w:pPr>
            <w:r>
              <w:rPr>
                <w:b w:val="false"/>
                <w:bCs w:val="false"/>
                <w:color w:val="1A1A1A"/>
                <w:sz w:val="20"/>
                <w:szCs w:val="20"/>
              </w:rPr>
              <w:t xml:space="preserve">Complete</w:t>
            </w:r>
          </w:p>
        </w:tc>
        <w:tc>
          <w:tcPr>
            <w:tcW w:type="dxa" w:w="3550"/>
            <w:tcMar>
              <w:top w:type="dxa" w:w="80"/>
              <w:left w:type="dxa" w:w="100"/>
              <w:bottom w:type="dxa" w:w="80"/>
              <w:right w:type="dxa" w:w="100"/>
            </w:tcMar>
            <w:vAlign w:val="center"/>
          </w:tcPr>
          <w:p>
            <w:pPr>
              <w:jc w:val="left"/>
            </w:pPr>
            <w:r>
              <w:rPr>
                <w:b w:val="false"/>
                <w:bCs w:val="false"/>
                <w:color w:val="1A1A1A"/>
                <w:sz w:val="20"/>
                <w:szCs w:val="20"/>
              </w:rPr>
              <w:t xml:space="preserve">db/schema.sql; verified by tamper tests.</w:t>
            </w:r>
          </w:p>
        </w:tc>
      </w:tr>
      <w:tr>
        <w:tc>
          <w:tcPr>
            <w:tcW w:type="dxa" w:w="420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Synthetic data generator (seed = 42)</w:t>
            </w:r>
          </w:p>
        </w:tc>
        <w:tc>
          <w:tcPr>
            <w:tcW w:type="dxa" w:w="1600"/>
            <w:shd w:fill="EDF2FA" w:val="clear"/>
            <w:tcMar>
              <w:top w:type="dxa" w:w="80"/>
              <w:left w:type="dxa" w:w="100"/>
              <w:bottom w:type="dxa" w:w="80"/>
              <w:right w:type="dxa" w:w="100"/>
            </w:tcMar>
            <w:vAlign w:val="center"/>
          </w:tcPr>
          <w:p>
            <w:pPr>
              <w:jc w:val="center"/>
            </w:pPr>
            <w:r>
              <w:rPr>
                <w:b w:val="false"/>
                <w:bCs w:val="false"/>
                <w:color w:val="1A1A1A"/>
                <w:sz w:val="20"/>
                <w:szCs w:val="20"/>
              </w:rPr>
              <w:t xml:space="preserve">Complete</w:t>
            </w:r>
          </w:p>
        </w:tc>
        <w:tc>
          <w:tcPr>
            <w:tcW w:type="dxa" w:w="355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15 stores, 80 historical products, 12 cold-start test products.</w:t>
            </w:r>
          </w:p>
        </w:tc>
      </w:tr>
      <w:tr>
        <w:tc>
          <w:tcPr>
            <w:tcW w:type="dxa" w:w="4200"/>
            <w:tcMar>
              <w:top w:type="dxa" w:w="80"/>
              <w:left w:type="dxa" w:w="100"/>
              <w:bottom w:type="dxa" w:w="80"/>
              <w:right w:type="dxa" w:w="100"/>
            </w:tcMar>
            <w:vAlign w:val="center"/>
          </w:tcPr>
          <w:p>
            <w:pPr>
              <w:jc w:val="left"/>
            </w:pPr>
            <w:r>
              <w:rPr>
                <w:b w:val="false"/>
                <w:bCs w:val="false"/>
                <w:color w:val="1A1A1A"/>
                <w:sz w:val="20"/>
                <w:szCs w:val="20"/>
              </w:rPr>
              <w:t xml:space="preserve">Naive category-average baseline</w:t>
            </w:r>
          </w:p>
        </w:tc>
        <w:tc>
          <w:tcPr>
            <w:tcW w:type="dxa" w:w="1600"/>
            <w:tcMar>
              <w:top w:type="dxa" w:w="80"/>
              <w:left w:type="dxa" w:w="100"/>
              <w:bottom w:type="dxa" w:w="80"/>
              <w:right w:type="dxa" w:w="100"/>
            </w:tcMar>
            <w:vAlign w:val="center"/>
          </w:tcPr>
          <w:p>
            <w:pPr>
              <w:jc w:val="center"/>
            </w:pPr>
            <w:r>
              <w:rPr>
                <w:b w:val="false"/>
                <w:bCs w:val="false"/>
                <w:color w:val="1A1A1A"/>
                <w:sz w:val="20"/>
                <w:szCs w:val="20"/>
              </w:rPr>
              <w:t xml:space="preserve">Complete</w:t>
            </w:r>
          </w:p>
        </w:tc>
        <w:tc>
          <w:tcPr>
            <w:tcW w:type="dxa" w:w="3550"/>
            <w:tcMar>
              <w:top w:type="dxa" w:w="80"/>
              <w:left w:type="dxa" w:w="100"/>
              <w:bottom w:type="dxa" w:w="80"/>
              <w:right w:type="dxa" w:w="100"/>
            </w:tcMar>
            <w:vAlign w:val="center"/>
          </w:tcPr>
          <w:p>
            <w:pPr>
              <w:jc w:val="left"/>
            </w:pPr>
            <w:r>
              <w:rPr>
                <w:b w:val="false"/>
                <w:bCs w:val="false"/>
                <w:color w:val="1A1A1A"/>
                <w:sz w:val="20"/>
                <w:szCs w:val="20"/>
              </w:rPr>
              <w:t xml:space="preserve">src/baseline.py; used as the evaluation reference.</w:t>
            </w:r>
          </w:p>
        </w:tc>
      </w:tr>
      <w:tr>
        <w:tc>
          <w:tcPr>
            <w:tcW w:type="dxa" w:w="420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Weighted Gower analogue selector</w:t>
            </w:r>
          </w:p>
        </w:tc>
        <w:tc>
          <w:tcPr>
            <w:tcW w:type="dxa" w:w="1600"/>
            <w:shd w:fill="EDF2FA" w:val="clear"/>
            <w:tcMar>
              <w:top w:type="dxa" w:w="80"/>
              <w:left w:type="dxa" w:w="100"/>
              <w:bottom w:type="dxa" w:w="80"/>
              <w:right w:type="dxa" w:w="100"/>
            </w:tcMar>
            <w:vAlign w:val="center"/>
          </w:tcPr>
          <w:p>
            <w:pPr>
              <w:jc w:val="center"/>
            </w:pPr>
            <w:r>
              <w:rPr>
                <w:b w:val="false"/>
                <w:bCs w:val="false"/>
                <w:color w:val="1A1A1A"/>
                <w:sz w:val="20"/>
                <w:szCs w:val="20"/>
              </w:rPr>
              <w:t xml:space="preserve">Complete</w:t>
            </w:r>
          </w:p>
        </w:tc>
        <w:tc>
          <w:tcPr>
            <w:tcW w:type="dxa" w:w="355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src/analogue_selector.py; 7 weighted attributes.</w:t>
            </w:r>
          </w:p>
        </w:tc>
      </w:tr>
      <w:tr>
        <w:tc>
          <w:tcPr>
            <w:tcW w:type="dxa" w:w="4200"/>
            <w:tcMar>
              <w:top w:type="dxa" w:w="80"/>
              <w:left w:type="dxa" w:w="100"/>
              <w:bottom w:type="dxa" w:w="80"/>
              <w:right w:type="dxa" w:w="100"/>
            </w:tcMar>
            <w:vAlign w:val="center"/>
          </w:tcPr>
          <w:p>
            <w:pPr>
              <w:jc w:val="left"/>
            </w:pPr>
            <w:r>
              <w:rPr>
                <w:b w:val="false"/>
                <w:bCs w:val="false"/>
                <w:color w:val="1A1A1A"/>
                <w:sz w:val="20"/>
                <w:szCs w:val="20"/>
              </w:rPr>
              <w:t xml:space="preserve">Explainability breakdown</w:t>
            </w:r>
          </w:p>
        </w:tc>
        <w:tc>
          <w:tcPr>
            <w:tcW w:type="dxa" w:w="1600"/>
            <w:tcMar>
              <w:top w:type="dxa" w:w="80"/>
              <w:left w:type="dxa" w:w="100"/>
              <w:bottom w:type="dxa" w:w="80"/>
              <w:right w:type="dxa" w:w="100"/>
            </w:tcMar>
            <w:vAlign w:val="center"/>
          </w:tcPr>
          <w:p>
            <w:pPr>
              <w:jc w:val="center"/>
            </w:pPr>
            <w:r>
              <w:rPr>
                <w:b w:val="false"/>
                <w:bCs w:val="false"/>
                <w:color w:val="1A1A1A"/>
                <w:sz w:val="20"/>
                <w:szCs w:val="20"/>
              </w:rPr>
              <w:t xml:space="preserve">Complete</w:t>
            </w:r>
          </w:p>
        </w:tc>
        <w:tc>
          <w:tcPr>
            <w:tcW w:type="dxa" w:w="3550"/>
            <w:tcMar>
              <w:top w:type="dxa" w:w="80"/>
              <w:left w:type="dxa" w:w="100"/>
              <w:bottom w:type="dxa" w:w="80"/>
              <w:right w:type="dxa" w:w="100"/>
            </w:tcMar>
            <w:vAlign w:val="center"/>
          </w:tcPr>
          <w:p>
            <w:pPr>
              <w:jc w:val="left"/>
            </w:pPr>
            <w:r>
              <w:rPr>
                <w:b w:val="false"/>
                <w:bCs w:val="false"/>
                <w:color w:val="1A1A1A"/>
                <w:sz w:val="20"/>
                <w:szCs w:val="20"/>
              </w:rPr>
              <w:t xml:space="preserve">Per-attribute contribution, raw and % of total.</w:t>
            </w:r>
          </w:p>
        </w:tc>
      </w:tr>
      <w:tr>
        <w:tc>
          <w:tcPr>
            <w:tcW w:type="dxa" w:w="420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Confidence scoring formula</w:t>
            </w:r>
          </w:p>
        </w:tc>
        <w:tc>
          <w:tcPr>
            <w:tcW w:type="dxa" w:w="1600"/>
            <w:shd w:fill="EDF2FA" w:val="clear"/>
            <w:tcMar>
              <w:top w:type="dxa" w:w="80"/>
              <w:left w:type="dxa" w:w="100"/>
              <w:bottom w:type="dxa" w:w="80"/>
              <w:right w:type="dxa" w:w="100"/>
            </w:tcMar>
            <w:vAlign w:val="center"/>
          </w:tcPr>
          <w:p>
            <w:pPr>
              <w:jc w:val="center"/>
            </w:pPr>
            <w:r>
              <w:rPr>
                <w:b w:val="false"/>
                <w:bCs w:val="false"/>
                <w:color w:val="1A1A1A"/>
                <w:sz w:val="20"/>
                <w:szCs w:val="20"/>
              </w:rPr>
              <w:t xml:space="preserve">Complete</w:t>
            </w:r>
          </w:p>
        </w:tc>
        <w:tc>
          <w:tcPr>
            <w:tcW w:type="dxa" w:w="355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Combines similarity, curve variance, analogue depth.</w:t>
            </w:r>
          </w:p>
        </w:tc>
      </w:tr>
      <w:tr>
        <w:tc>
          <w:tcPr>
            <w:tcW w:type="dxa" w:w="4200"/>
            <w:tcMar>
              <w:top w:type="dxa" w:w="80"/>
              <w:left w:type="dxa" w:w="100"/>
              <w:bottom w:type="dxa" w:w="80"/>
              <w:right w:type="dxa" w:w="100"/>
            </w:tcMar>
            <w:vAlign w:val="center"/>
          </w:tcPr>
          <w:p>
            <w:pPr>
              <w:jc w:val="left"/>
            </w:pPr>
            <w:r>
              <w:rPr>
                <w:b w:val="false"/>
                <w:bCs w:val="false"/>
                <w:color w:val="1A1A1A"/>
                <w:sz w:val="20"/>
                <w:szCs w:val="20"/>
              </w:rPr>
              <w:t xml:space="preserve">Immutable audit logger</w:t>
            </w:r>
          </w:p>
        </w:tc>
        <w:tc>
          <w:tcPr>
            <w:tcW w:type="dxa" w:w="1600"/>
            <w:tcMar>
              <w:top w:type="dxa" w:w="80"/>
              <w:left w:type="dxa" w:w="100"/>
              <w:bottom w:type="dxa" w:w="80"/>
              <w:right w:type="dxa" w:w="100"/>
            </w:tcMar>
            <w:vAlign w:val="center"/>
          </w:tcPr>
          <w:p>
            <w:pPr>
              <w:jc w:val="center"/>
            </w:pPr>
            <w:r>
              <w:rPr>
                <w:b w:val="false"/>
                <w:bCs w:val="false"/>
                <w:color w:val="1A1A1A"/>
                <w:sz w:val="20"/>
                <w:szCs w:val="20"/>
              </w:rPr>
              <w:t xml:space="preserve">Complete</w:t>
            </w:r>
          </w:p>
        </w:tc>
        <w:tc>
          <w:tcPr>
            <w:tcW w:type="dxa" w:w="3550"/>
            <w:tcMar>
              <w:top w:type="dxa" w:w="80"/>
              <w:left w:type="dxa" w:w="100"/>
              <w:bottom w:type="dxa" w:w="80"/>
              <w:right w:type="dxa" w:w="100"/>
            </w:tcMar>
            <w:vAlign w:val="center"/>
          </w:tcPr>
          <w:p>
            <w:pPr>
              <w:jc w:val="left"/>
            </w:pPr>
            <w:r>
              <w:rPr>
                <w:b w:val="false"/>
                <w:bCs w:val="false"/>
                <w:color w:val="1A1A1A"/>
                <w:sz w:val="20"/>
                <w:szCs w:val="20"/>
              </w:rPr>
              <w:t xml:space="preserve">src/audit_log.py; append-only, trigger-enforced.</w:t>
            </w:r>
          </w:p>
        </w:tc>
      </w:tr>
      <w:tr>
        <w:tc>
          <w:tcPr>
            <w:tcW w:type="dxa" w:w="420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Benchmark evaluation harness</w:t>
            </w:r>
          </w:p>
        </w:tc>
        <w:tc>
          <w:tcPr>
            <w:tcW w:type="dxa" w:w="1600"/>
            <w:shd w:fill="EDF2FA" w:val="clear"/>
            <w:tcMar>
              <w:top w:type="dxa" w:w="80"/>
              <w:left w:type="dxa" w:w="100"/>
              <w:bottom w:type="dxa" w:w="80"/>
              <w:right w:type="dxa" w:w="100"/>
            </w:tcMar>
            <w:vAlign w:val="center"/>
          </w:tcPr>
          <w:p>
            <w:pPr>
              <w:jc w:val="center"/>
            </w:pPr>
            <w:r>
              <w:rPr>
                <w:b w:val="false"/>
                <w:bCs w:val="false"/>
                <w:color w:val="1A1A1A"/>
                <w:sz w:val="20"/>
                <w:szCs w:val="20"/>
              </w:rPr>
              <w:t xml:space="preserve">Complete</w:t>
            </w:r>
          </w:p>
        </w:tc>
        <w:tc>
          <w:tcPr>
            <w:tcW w:type="dxa" w:w="355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src/evaluate.py; MAPE / WAPE, weekly + per-product.</w:t>
            </w:r>
          </w:p>
        </w:tc>
      </w:tr>
      <w:tr>
        <w:tc>
          <w:tcPr>
            <w:tcW w:type="dxa" w:w="4200"/>
            <w:tcMar>
              <w:top w:type="dxa" w:w="80"/>
              <w:left w:type="dxa" w:w="100"/>
              <w:bottom w:type="dxa" w:w="80"/>
              <w:right w:type="dxa" w:w="100"/>
            </w:tcMar>
            <w:vAlign w:val="center"/>
          </w:tcPr>
          <w:p>
            <w:pPr>
              <w:jc w:val="left"/>
            </w:pPr>
            <w:r>
              <w:rPr>
                <w:b w:val="false"/>
                <w:bCs w:val="false"/>
                <w:color w:val="1A1A1A"/>
                <w:sz w:val="20"/>
                <w:szCs w:val="20"/>
              </w:rPr>
              <w:t xml:space="preserve">FastAPI backend (7 endpoints)</w:t>
            </w:r>
          </w:p>
        </w:tc>
        <w:tc>
          <w:tcPr>
            <w:tcW w:type="dxa" w:w="1600"/>
            <w:tcMar>
              <w:top w:type="dxa" w:w="80"/>
              <w:left w:type="dxa" w:w="100"/>
              <w:bottom w:type="dxa" w:w="80"/>
              <w:right w:type="dxa" w:w="100"/>
            </w:tcMar>
            <w:vAlign w:val="center"/>
          </w:tcPr>
          <w:p>
            <w:pPr>
              <w:jc w:val="center"/>
            </w:pPr>
            <w:r>
              <w:rPr>
                <w:b w:val="false"/>
                <w:bCs w:val="false"/>
                <w:color w:val="1A1A1A"/>
                <w:sz w:val="20"/>
                <w:szCs w:val="20"/>
              </w:rPr>
              <w:t xml:space="preserve">Complete</w:t>
            </w:r>
          </w:p>
        </w:tc>
        <w:tc>
          <w:tcPr>
            <w:tcW w:type="dxa" w:w="3550"/>
            <w:tcMar>
              <w:top w:type="dxa" w:w="80"/>
              <w:left w:type="dxa" w:w="100"/>
              <w:bottom w:type="dxa" w:w="80"/>
              <w:right w:type="dxa" w:w="100"/>
            </w:tcMar>
            <w:vAlign w:val="center"/>
          </w:tcPr>
          <w:p>
            <w:pPr>
              <w:jc w:val="left"/>
            </w:pPr>
            <w:r>
              <w:rPr>
                <w:b w:val="false"/>
                <w:bCs w:val="false"/>
                <w:color w:val="1A1A1A"/>
                <w:sz w:val="20"/>
                <w:szCs w:val="20"/>
              </w:rPr>
              <w:t xml:space="preserve">app.py; full pipeline exposed as REST API.</w:t>
            </w:r>
          </w:p>
        </w:tc>
      </w:tr>
      <w:tr>
        <w:tc>
          <w:tcPr>
            <w:tcW w:type="dxa" w:w="420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Automated test suite (8 tests)</w:t>
            </w:r>
          </w:p>
        </w:tc>
        <w:tc>
          <w:tcPr>
            <w:tcW w:type="dxa" w:w="1600"/>
            <w:shd w:fill="EDF2FA" w:val="clear"/>
            <w:tcMar>
              <w:top w:type="dxa" w:w="80"/>
              <w:left w:type="dxa" w:w="100"/>
              <w:bottom w:type="dxa" w:w="80"/>
              <w:right w:type="dxa" w:w="100"/>
            </w:tcMar>
            <w:vAlign w:val="center"/>
          </w:tcPr>
          <w:p>
            <w:pPr>
              <w:jc w:val="center"/>
            </w:pPr>
            <w:r>
              <w:rPr>
                <w:b w:val="false"/>
                <w:bCs w:val="false"/>
                <w:color w:val="1A1A1A"/>
                <w:sz w:val="20"/>
                <w:szCs w:val="20"/>
              </w:rPr>
              <w:t xml:space="preserve">Complete</w:t>
            </w:r>
          </w:p>
        </w:tc>
        <w:tc>
          <w:tcPr>
            <w:tcW w:type="dxa" w:w="355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tests/test_pipeline.py.</w:t>
            </w:r>
          </w:p>
        </w:tc>
      </w:tr>
      <w:tr>
        <w:tc>
          <w:tcPr>
            <w:tcW w:type="dxa" w:w="4200"/>
            <w:tcMar>
              <w:top w:type="dxa" w:w="80"/>
              <w:left w:type="dxa" w:w="100"/>
              <w:bottom w:type="dxa" w:w="80"/>
              <w:right w:type="dxa" w:w="100"/>
            </w:tcMar>
            <w:vAlign w:val="center"/>
          </w:tcPr>
          <w:p>
            <w:pPr>
              <w:jc w:val="left"/>
            </w:pPr>
            <w:r>
              <w:rPr>
                <w:b w:val="false"/>
                <w:bCs w:val="false"/>
                <w:color w:val="1A1A1A"/>
                <w:sz w:val="20"/>
                <w:szCs w:val="20"/>
              </w:rPr>
              <w:t xml:space="preserve">End-to-end demo script</w:t>
            </w:r>
          </w:p>
        </w:tc>
        <w:tc>
          <w:tcPr>
            <w:tcW w:type="dxa" w:w="1600"/>
            <w:tcMar>
              <w:top w:type="dxa" w:w="80"/>
              <w:left w:type="dxa" w:w="100"/>
              <w:bottom w:type="dxa" w:w="80"/>
              <w:right w:type="dxa" w:w="100"/>
            </w:tcMar>
            <w:vAlign w:val="center"/>
          </w:tcPr>
          <w:p>
            <w:pPr>
              <w:jc w:val="center"/>
            </w:pPr>
            <w:r>
              <w:rPr>
                <w:b w:val="false"/>
                <w:bCs w:val="false"/>
                <w:color w:val="1A1A1A"/>
                <w:sz w:val="20"/>
                <w:szCs w:val="20"/>
              </w:rPr>
              <w:t xml:space="preserve">Complete</w:t>
            </w:r>
          </w:p>
        </w:tc>
        <w:tc>
          <w:tcPr>
            <w:tcW w:type="dxa" w:w="3550"/>
            <w:tcMar>
              <w:top w:type="dxa" w:w="80"/>
              <w:left w:type="dxa" w:w="100"/>
              <w:bottom w:type="dxa" w:w="80"/>
              <w:right w:type="dxa" w:w="100"/>
            </w:tcMar>
            <w:vAlign w:val="center"/>
          </w:tcPr>
          <w:p>
            <w:pPr>
              <w:jc w:val="left"/>
            </w:pPr>
            <w:r>
              <w:rPr>
                <w:b w:val="false"/>
                <w:bCs w:val="false"/>
                <w:color w:val="1A1A1A"/>
                <w:sz w:val="20"/>
                <w:szCs w:val="20"/>
              </w:rPr>
              <w:t xml:space="preserve">demo.py; 7-step narrated walkthrough.</w:t>
            </w:r>
          </w:p>
        </w:tc>
      </w:tr>
      <w:tr>
        <w:tc>
          <w:tcPr>
            <w:tcW w:type="dxa" w:w="420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Documentation (README, data schema, architecture, risk register, assumptions)</w:t>
            </w:r>
          </w:p>
        </w:tc>
        <w:tc>
          <w:tcPr>
            <w:tcW w:type="dxa" w:w="1600"/>
            <w:shd w:fill="EDF2FA" w:val="clear"/>
            <w:tcMar>
              <w:top w:type="dxa" w:w="80"/>
              <w:left w:type="dxa" w:w="100"/>
              <w:bottom w:type="dxa" w:w="80"/>
              <w:right w:type="dxa" w:w="100"/>
            </w:tcMar>
            <w:vAlign w:val="center"/>
          </w:tcPr>
          <w:p>
            <w:pPr>
              <w:jc w:val="center"/>
            </w:pPr>
            <w:r>
              <w:rPr>
                <w:b w:val="false"/>
                <w:bCs w:val="false"/>
                <w:color w:val="1A1A1A"/>
                <w:sz w:val="20"/>
                <w:szCs w:val="20"/>
              </w:rPr>
              <w:t xml:space="preserve">Complete</w:t>
            </w:r>
          </w:p>
        </w:tc>
        <w:tc>
          <w:tcPr>
            <w:tcW w:type="dxa" w:w="355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docs/ directory.</w:t>
            </w:r>
          </w:p>
        </w:tc>
      </w:tr>
      <w:tr>
        <w:tc>
          <w:tcPr>
            <w:tcW w:type="dxa" w:w="4200"/>
            <w:tcMar>
              <w:top w:type="dxa" w:w="80"/>
              <w:left w:type="dxa" w:w="100"/>
              <w:bottom w:type="dxa" w:w="80"/>
              <w:right w:type="dxa" w:w="100"/>
            </w:tcMar>
            <w:vAlign w:val="center"/>
          </w:tcPr>
          <w:p>
            <w:pPr>
              <w:jc w:val="left"/>
            </w:pPr>
            <w:r>
              <w:rPr>
                <w:b w:val="false"/>
                <w:bCs w:val="false"/>
                <w:color w:val="1A1A1A"/>
                <w:sz w:val="20"/>
                <w:szCs w:val="20"/>
              </w:rPr>
              <w:t xml:space="preserve">Disruption scenario simulation engine</w:t>
            </w:r>
          </w:p>
        </w:tc>
        <w:tc>
          <w:tcPr>
            <w:tcW w:type="dxa" w:w="1600"/>
            <w:tcMar>
              <w:top w:type="dxa" w:w="80"/>
              <w:left w:type="dxa" w:w="100"/>
              <w:bottom w:type="dxa" w:w="80"/>
              <w:right w:type="dxa" w:w="100"/>
            </w:tcMar>
            <w:vAlign w:val="center"/>
          </w:tcPr>
          <w:p>
            <w:pPr>
              <w:jc w:val="center"/>
            </w:pPr>
            <w:r>
              <w:rPr>
                <w:b w:val="false"/>
                <w:bCs w:val="false"/>
                <w:color w:val="1A1A1A"/>
                <w:sz w:val="20"/>
                <w:szCs w:val="20"/>
              </w:rPr>
              <w:t xml:space="preserve">Planned — Phase 2</w:t>
            </w:r>
          </w:p>
        </w:tc>
        <w:tc>
          <w:tcPr>
            <w:tcW w:type="dxa" w:w="3550"/>
            <w:tcMar>
              <w:top w:type="dxa" w:w="80"/>
              <w:left w:type="dxa" w:w="100"/>
              <w:bottom w:type="dxa" w:w="80"/>
              <w:right w:type="dxa" w:w="100"/>
            </w:tcMar>
            <w:vAlign w:val="center"/>
          </w:tcPr>
          <w:p>
            <w:pPr>
              <w:jc w:val="left"/>
            </w:pPr>
            <w:r>
              <w:rPr>
                <w:b w:val="false"/>
                <w:bCs w:val="false"/>
                <w:color w:val="1A1A1A"/>
                <w:sz w:val="20"/>
                <w:szCs w:val="20"/>
              </w:rPr>
              <w:t xml:space="preserve">src/disruption_scenarios.py currently a stub.</w:t>
            </w:r>
          </w:p>
        </w:tc>
      </w:tr>
      <w:tr>
        <w:tc>
          <w:tcPr>
            <w:tcW w:type="dxa" w:w="420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Promotional de-biasing</w:t>
            </w:r>
          </w:p>
        </w:tc>
        <w:tc>
          <w:tcPr>
            <w:tcW w:type="dxa" w:w="1600"/>
            <w:shd w:fill="EDF2FA" w:val="clear"/>
            <w:tcMar>
              <w:top w:type="dxa" w:w="80"/>
              <w:left w:type="dxa" w:w="100"/>
              <w:bottom w:type="dxa" w:w="80"/>
              <w:right w:type="dxa" w:w="100"/>
            </w:tcMar>
            <w:vAlign w:val="center"/>
          </w:tcPr>
          <w:p>
            <w:pPr>
              <w:jc w:val="center"/>
            </w:pPr>
            <w:r>
              <w:rPr>
                <w:b w:val="false"/>
                <w:bCs w:val="false"/>
                <w:color w:val="1A1A1A"/>
                <w:sz w:val="20"/>
                <w:szCs w:val="20"/>
              </w:rPr>
              <w:t xml:space="preserve">Planned — Phase 2</w:t>
            </w:r>
          </w:p>
        </w:tc>
        <w:tc>
          <w:tcPr>
            <w:tcW w:type="dxa" w:w="355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Not yet started.</w:t>
            </w:r>
          </w:p>
        </w:tc>
      </w:tr>
      <w:tr>
        <w:tc>
          <w:tcPr>
            <w:tcW w:type="dxa" w:w="4200"/>
            <w:tcMar>
              <w:top w:type="dxa" w:w="80"/>
              <w:left w:type="dxa" w:w="100"/>
              <w:bottom w:type="dxa" w:w="80"/>
              <w:right w:type="dxa" w:w="100"/>
            </w:tcMar>
            <w:vAlign w:val="center"/>
          </w:tcPr>
          <w:p>
            <w:pPr>
              <w:jc w:val="left"/>
            </w:pPr>
            <w:r>
              <w:rPr>
                <w:b w:val="false"/>
                <w:bCs w:val="false"/>
                <w:color w:val="1A1A1A"/>
                <w:sz w:val="20"/>
                <w:szCs w:val="20"/>
              </w:rPr>
              <w:t xml:space="preserve">Interactive planner dashboard UI</w:t>
            </w:r>
          </w:p>
        </w:tc>
        <w:tc>
          <w:tcPr>
            <w:tcW w:type="dxa" w:w="1600"/>
            <w:tcMar>
              <w:top w:type="dxa" w:w="80"/>
              <w:left w:type="dxa" w:w="100"/>
              <w:bottom w:type="dxa" w:w="80"/>
              <w:right w:type="dxa" w:w="100"/>
            </w:tcMar>
            <w:vAlign w:val="center"/>
          </w:tcPr>
          <w:p>
            <w:pPr>
              <w:jc w:val="center"/>
            </w:pPr>
            <w:r>
              <w:rPr>
                <w:b w:val="false"/>
                <w:bCs w:val="false"/>
                <w:color w:val="1A1A1A"/>
                <w:sz w:val="20"/>
                <w:szCs w:val="20"/>
              </w:rPr>
              <w:t xml:space="preserve">In progress</w:t>
            </w:r>
          </w:p>
        </w:tc>
        <w:tc>
          <w:tcPr>
            <w:tcW w:type="dxa" w:w="3550"/>
            <w:tcMar>
              <w:top w:type="dxa" w:w="80"/>
              <w:left w:type="dxa" w:w="100"/>
              <w:bottom w:type="dxa" w:w="80"/>
              <w:right w:type="dxa" w:w="100"/>
            </w:tcMar>
            <w:vAlign w:val="center"/>
          </w:tcPr>
          <w:p>
            <w:pPr>
              <w:jc w:val="left"/>
            </w:pPr>
            <w:r>
              <w:rPr>
                <w:b w:val="false"/>
                <w:bCs w:val="false"/>
                <w:color w:val="1A1A1A"/>
                <w:sz w:val="20"/>
                <w:szCs w:val="20"/>
              </w:rPr>
              <w:t xml:space="preserve">Static frontend scaffolded; full UI is Phase 2.</w:t>
            </w:r>
          </w:p>
        </w:tc>
      </w:tr>
      <w:tr>
        <w:tc>
          <w:tcPr>
            <w:tcW w:type="dxa" w:w="420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Stakeholder validation with real planners</w:t>
            </w:r>
          </w:p>
        </w:tc>
        <w:tc>
          <w:tcPr>
            <w:tcW w:type="dxa" w:w="1600"/>
            <w:shd w:fill="EDF2FA" w:val="clear"/>
            <w:tcMar>
              <w:top w:type="dxa" w:w="80"/>
              <w:left w:type="dxa" w:w="100"/>
              <w:bottom w:type="dxa" w:w="80"/>
              <w:right w:type="dxa" w:w="100"/>
            </w:tcMar>
            <w:vAlign w:val="center"/>
          </w:tcPr>
          <w:p>
            <w:pPr>
              <w:jc w:val="center"/>
            </w:pPr>
            <w:r>
              <w:rPr>
                <w:b w:val="false"/>
                <w:bCs w:val="false"/>
                <w:color w:val="1A1A1A"/>
                <w:sz w:val="20"/>
                <w:szCs w:val="20"/>
              </w:rPr>
              <w:t xml:space="preserve">Planned — Phase 2</w:t>
            </w:r>
          </w:p>
        </w:tc>
        <w:tc>
          <w:tcPr>
            <w:tcW w:type="dxa" w:w="3550"/>
            <w:shd w:fill="EDF2FA" w:val="clear"/>
            <w:tcMar>
              <w:top w:type="dxa" w:w="80"/>
              <w:left w:type="dxa" w:w="100"/>
              <w:bottom w:type="dxa" w:w="80"/>
              <w:right w:type="dxa" w:w="100"/>
            </w:tcMar>
            <w:vAlign w:val="center"/>
          </w:tcPr>
          <w:p>
            <w:pPr>
              <w:jc w:val="left"/>
            </w:pPr>
            <w:r>
              <w:rPr>
                <w:b w:val="false"/>
                <w:bCs w:val="false"/>
                <w:color w:val="1A1A1A"/>
                <w:sz w:val="20"/>
                <w:szCs w:val="20"/>
              </w:rPr>
              <w:t xml:space="preserve">Requires access to production-representative data.</w:t>
            </w:r>
          </w:p>
        </w:tc>
      </w:tr>
    </w:tbl>
    <w:p>
      <w:pPr>
        <w:spacing w:after="200" w:before="200"/>
      </w:pPr>
    </w:p>
    <w:p>
      <w:pPr>
        <w:spacing w:after="160" w:line="300"/>
        <w:jc w:val="both"/>
      </w:pPr>
      <w:r>
        <w:rPr>
          <w:sz w:val="21"/>
          <w:szCs w:val="21"/>
        </w:rPr>
        <w:t xml:space="preserve">Of the sixteen tracked deliverables, twelve are fully complete, one is in progress, and three are explicitly scoped for Phase 2, consistent with the project's 35% completion milestone.</w:t>
      </w:r>
    </w:p>
    <w:p>
      <w:pPr>
        <w:pStyle w:val="Heading1"/>
        <w:pBdr>
          <w:bottom w:val="single" w:color="1F3864" w:sz="6" w:space="4"/>
        </w:pBdr>
        <w:spacing w:after="160" w:before="360"/>
      </w:pPr>
      <w:r>
        <w:rPr>
          <w:b/>
          <w:bCs/>
          <w:color w:val="1F3864"/>
          <w:sz w:val="30"/>
          <w:szCs w:val="30"/>
        </w:rPr>
        <w:t xml:space="preserve">9. Known Risks and Mitigations</w:t>
      </w:r>
    </w:p>
    <w:p>
      <w:pPr>
        <w:pStyle w:val="ListParagraph"/>
        <w:numPr>
          <w:ilvl w:val="0"/>
          <w:numId w:val="2"/>
        </w:numPr>
        <w:spacing w:after="80"/>
      </w:pPr>
      <w:r>
        <w:rPr>
          <w:b/>
          <w:bCs/>
          <w:sz w:val="21"/>
          <w:szCs w:val="21"/>
        </w:rPr>
        <w:t xml:space="preserve">Synthetic data risk: </w:t>
      </w:r>
      <w:r>
        <w:rPr>
          <w:sz w:val="21"/>
          <w:szCs w:val="21"/>
        </w:rPr>
        <w:t xml:space="preserve">current benchmark results are computed on synthetic, seeded data rather than real distributor sales history. Mitigation: the data generator is designed to produce realistic launch-curve shapes and category structure, and Phase 2 includes a stakeholder validation step against real or real-like data.</w:t>
      </w:r>
    </w:p>
    <w:p>
      <w:pPr>
        <w:pStyle w:val="ListParagraph"/>
        <w:numPr>
          <w:ilvl w:val="0"/>
          <w:numId w:val="2"/>
        </w:numPr>
        <w:spacing w:after="80"/>
      </w:pPr>
      <w:r>
        <w:rPr>
          <w:b/>
          <w:bCs/>
          <w:sz w:val="21"/>
          <w:szCs w:val="21"/>
        </w:rPr>
        <w:t xml:space="preserve">Cold-start-of-cold-start risk: </w:t>
      </w:r>
      <w:r>
        <w:rPr>
          <w:sz w:val="21"/>
          <w:szCs w:val="21"/>
        </w:rPr>
        <w:t xml:space="preserve">a genuinely novel category with no historical analogues cannot be forecast with high confidence by design. Mitigation: implemented graceful degradation with explicit confidence penalization and a safe fallback curve, rather than a false-confidence output.</w:t>
      </w:r>
    </w:p>
    <w:p>
      <w:pPr>
        <w:pStyle w:val="ListParagraph"/>
        <w:numPr>
          <w:ilvl w:val="0"/>
          <w:numId w:val="2"/>
        </w:numPr>
        <w:spacing w:after="80"/>
      </w:pPr>
      <w:r>
        <w:rPr>
          <w:b/>
          <w:bCs/>
          <w:sz w:val="21"/>
          <w:szCs w:val="21"/>
        </w:rPr>
        <w:t xml:space="preserve">Audit tampering risk: </w:t>
      </w:r>
      <w:r>
        <w:rPr>
          <w:sz w:val="21"/>
          <w:szCs w:val="21"/>
        </w:rPr>
        <w:t xml:space="preserve">a compromised application layer could attempt to rewrite planner history. Mitigation: enforcement is pushed down to the database layer via SQLite triggers, which is verified by an automated tamper-test endpoint and unit tests.</w:t>
      </w:r>
    </w:p>
    <w:p>
      <w:pPr>
        <w:pStyle w:val="ListParagraph"/>
        <w:numPr>
          <w:ilvl w:val="0"/>
          <w:numId w:val="2"/>
        </w:numPr>
        <w:spacing w:after="80"/>
      </w:pPr>
      <w:r>
        <w:rPr>
          <w:b/>
          <w:bCs/>
          <w:sz w:val="21"/>
          <w:szCs w:val="21"/>
        </w:rPr>
        <w:t xml:space="preserve">Attribute-weighting risk: </w:t>
      </w:r>
      <w:r>
        <w:rPr>
          <w:sz w:val="21"/>
          <w:szCs w:val="21"/>
        </w:rPr>
        <w:t xml:space="preserve">the current similarity weights were set by domain judgment rather than learned from data. Mitigation: weights are exposed as a configurable parameter (custom_weights) in the API, allowing sensitivity analysis and future data-driven tuning.</w:t>
      </w:r>
    </w:p>
    <w:p>
      <w:pPr>
        <w:pStyle w:val="Heading1"/>
        <w:pBdr>
          <w:bottom w:val="single" w:color="1F3864" w:sz="6" w:space="4"/>
        </w:pBdr>
        <w:spacing w:after="160" w:before="360"/>
      </w:pPr>
      <w:r>
        <w:rPr>
          <w:b/>
          <w:bCs/>
          <w:color w:val="1F3864"/>
          <w:sz w:val="30"/>
          <w:szCs w:val="30"/>
        </w:rPr>
        <w:t xml:space="preserve">10. Phase 2 Plan</w:t>
      </w:r>
    </w:p>
    <w:p>
      <w:pPr>
        <w:pStyle w:val="ListParagraph"/>
        <w:numPr>
          <w:ilvl w:val="0"/>
          <w:numId w:val="2"/>
        </w:numPr>
        <w:spacing w:after="80"/>
      </w:pPr>
      <w:r>
        <w:rPr>
          <w:sz w:val="21"/>
          <w:szCs w:val="21"/>
        </w:rPr>
        <w:t xml:space="preserve">Implement the disruption-scenario simulation engine (src/disruption_scenarios.py) to stress-test forecasts under supply shocks, competitor launches, and demand spikes.</w:t>
      </w:r>
    </w:p>
    <w:p>
      <w:pPr>
        <w:pStyle w:val="ListParagraph"/>
        <w:numPr>
          <w:ilvl w:val="0"/>
          <w:numId w:val="2"/>
        </w:numPr>
        <w:spacing w:after="80"/>
      </w:pPr>
      <w:r>
        <w:rPr>
          <w:sz w:val="21"/>
          <w:szCs w:val="21"/>
        </w:rPr>
        <w:t xml:space="preserve">Add promotional de-biasing so historical launch curves inflated by one-off promotions do not distort analogue forecasts.</w:t>
      </w:r>
    </w:p>
    <w:p>
      <w:pPr>
        <w:pStyle w:val="ListParagraph"/>
        <w:numPr>
          <w:ilvl w:val="0"/>
          <w:numId w:val="2"/>
        </w:numPr>
        <w:spacing w:after="80"/>
      </w:pPr>
      <w:r>
        <w:rPr>
          <w:sz w:val="21"/>
          <w:szCs w:val="21"/>
        </w:rPr>
        <w:t xml:space="preserve">Build out the interactive planner dashboard on top of the existing static frontend and REST API.</w:t>
      </w:r>
    </w:p>
    <w:p>
      <w:pPr>
        <w:pStyle w:val="ListParagraph"/>
        <w:numPr>
          <w:ilvl w:val="0"/>
          <w:numId w:val="2"/>
        </w:numPr>
        <w:spacing w:after="80"/>
      </w:pPr>
      <w:r>
        <w:rPr>
          <w:sz w:val="21"/>
          <w:szCs w:val="21"/>
        </w:rPr>
        <w:t xml:space="preserve">Conduct stakeholder validation sessions with demand planners, and where possible, replace or augment the synthetic dataset with real distributor sales history.</w:t>
      </w:r>
    </w:p>
    <w:p>
      <w:pPr>
        <w:pStyle w:val="ListParagraph"/>
        <w:numPr>
          <w:ilvl w:val="0"/>
          <w:numId w:val="2"/>
        </w:numPr>
        <w:spacing w:after="80"/>
      </w:pPr>
      <w:r>
        <w:rPr>
          <w:sz w:val="21"/>
          <w:szCs w:val="21"/>
        </w:rPr>
        <w:t xml:space="preserve">Extend the automated test suite and benchmark harness to cover the new Phase 2 components.</w:t>
      </w:r>
    </w:p>
    <w:p>
      <w:pPr>
        <w:pStyle w:val="Heading1"/>
        <w:pBdr>
          <w:bottom w:val="single" w:color="1F3864" w:sz="6" w:space="4"/>
        </w:pBdr>
        <w:spacing w:after="160" w:before="360"/>
      </w:pPr>
      <w:r>
        <w:rPr>
          <w:b/>
          <w:bCs/>
          <w:color w:val="1F3864"/>
          <w:sz w:val="30"/>
          <w:szCs w:val="30"/>
        </w:rPr>
        <w:t xml:space="preserve">11. Conclusion</w:t>
      </w:r>
    </w:p>
    <w:p>
      <w:pPr>
        <w:spacing w:after="160" w:line="300"/>
        <w:jc w:val="both"/>
      </w:pPr>
      <w:r>
        <w:rPr>
          <w:sz w:val="21"/>
          <w:szCs w:val="21"/>
        </w:rPr>
        <w:t xml:space="preserve">At the 35% milestone, the New-Product Analogue Selector has a complete, working Phase 1 pipeline: a documented data model, a transparent and explainable forecasting engine, a formally defined confidence score, a tamper-resistant audit trail, a benchmarking harness with a measurable and positive result against a naive baseline, a REST API exposing the full system, and an automated test suite validating its core guarantees. The foundation is in place to move confidently into Phase 2, which focuses on stress-testing, bias correction, real-world validation, and a full planner-facing user interface.</w:t>
      </w:r>
    </w:p>
    <w:p>
      <w:pPr>
        <w:spacing w:before="400"/>
      </w:pPr>
    </w:p>
    <w:p>
      <w:pPr>
        <w:pBdr>
          <w:top w:val="single" w:color="CCCCCC" w:sz="4" w:space="8"/>
        </w:pBdr>
        <w:spacing w:before="200"/>
      </w:pPr>
      <w:r>
        <w:rPr>
          <w:i/>
          <w:iCs/>
          <w:color w:val="595959"/>
          <w:sz w:val="18"/>
          <w:szCs w:val="18"/>
        </w:rPr>
        <w:t xml:space="preserve">Source repository reference: app.py, demo.py, README.md, requirements.txt, launch.bat, and the db/, docs/, scripts/, src/, static/, tests/ directories.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New-Product Analogue Selector — Phase 1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2026-09-08T09:09:53.961Z</dcterms:created>
  <dcterms:modified xsi:type="dcterms:W3CDTF">2026-09-08T09:09:53.971Z</dcterms:modified>
</cp:coreProperties>
</file>

<file path=docProps/custom.xml><?xml version="1.0" encoding="utf-8"?>
<Properties xmlns="http://schemas.openxmlformats.org/officeDocument/2006/custom-properties" xmlns:vt="http://schemas.openxmlformats.org/officeDocument/2006/docPropsVTypes"/>
</file>