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563EB"/>
          <w:sz w:val="22"/>
        </w:rPr>
        <w:t>PROJECT FINAL DELIVERABLE REPORT</w:t>
      </w:r>
    </w:p>
    <w:p>
      <w:pPr>
        <w:spacing w:after="80"/>
      </w:pPr>
      <w:r>
        <w:rPr>
          <w:rFonts w:ascii="Calibri" w:hAnsi="Calibri"/>
          <w:b/>
          <w:color w:val="0F172A"/>
          <w:sz w:val="52"/>
        </w:rPr>
        <w:t>New-Product Analogue Selector (DemandLens)</w:t>
      </w:r>
    </w:p>
    <w:p>
      <w:pPr>
        <w:spacing w:after="240"/>
      </w:pPr>
      <w:r>
        <w:rPr>
          <w:rFonts w:ascii="Calibri" w:hAnsi="Calibri"/>
          <w:color w:val="475569"/>
          <w:sz w:val="28"/>
        </w:rPr>
        <w:t>A Decision-Support System for Cold-Start Demand Forecasting &amp; Disruption Resilience in Regional Grocery Distribution</w:t>
      </w:r>
    </w:p>
    <w:p>
      <w:pPr>
        <w:spacing w:after="480"/>
      </w:pPr>
      <w:r>
        <w:rPr>
          <w:rFonts w:ascii="Calibri" w:hAnsi="Calibri"/>
          <w:i/>
          <w:color w:val="475569"/>
          <w:sz w:val="20"/>
        </w:rPr>
        <w:t>Final Capstone Deliverable Report — 100% Project Completion (Phase 1 &amp; Phase 2 Full Delivery)</w:t>
        <w:br/>
        <w:t>Center of Excellence (COE) Capstone Project</w:t>
        <w:br/>
        <w:t>Report Date: September 2026 | Milestone Status: Verified &amp; Approved</w:t>
      </w:r>
    </w:p>
    <w:p>
      <w:pPr>
        <w:spacing w:after="320"/>
      </w:pPr>
    </w:p>
    <w:p>
      <w:pPr>
        <w:spacing w:before="360" w:after="160"/>
      </w:pPr>
      <w:r>
        <w:rPr>
          <w:rFonts w:ascii="Calibri" w:hAnsi="Calibri"/>
          <w:b/>
          <w:color w:val="0F172A"/>
          <w:sz w:val="32"/>
        </w:rPr>
        <w:t>1. Executive Summary</w:t>
      </w:r>
    </w:p>
    <w:p>
      <w:pPr>
        <w:spacing w:after="120" w:line="276" w:lineRule="auto"/>
      </w:pPr>
      <w:r>
        <w:rPr>
          <w:rFonts w:ascii="Calibri" w:hAnsi="Calibri"/>
          <w:color w:val="1E293B"/>
          <w:sz w:val="22"/>
        </w:rPr>
        <w:t>Regional grocery distribution networks frequently introduce cold-start stock-keeping units (SKUs)—items with zero past sales history. Conventional forecasting models (such as ARIMA, Prophet, or recurrent neural networks) fail entirely because they require historical series data that does not exist at launch time. In practice, human demand planners rely on ad-hoc intuition (e.g., 'this artisanal pastry is probably like that chocolate chip cookie'), leading to widespread initial stockouts, costly perishable waste, and no audit trail of replenishment decisions.</w:t>
      </w:r>
    </w:p>
    <w:p>
      <w:pPr>
        <w:spacing w:after="120" w:line="276" w:lineRule="auto"/>
      </w:pPr>
      <w:r>
        <w:rPr>
          <w:rFonts w:ascii="Calibri" w:hAnsi="Calibri"/>
          <w:color w:val="1E293B"/>
          <w:sz w:val="22"/>
        </w:rPr>
        <w:t>This project delivers DemandLens, an enterprise decision-support platform that formalizes analogue selection into a transparent, auditable, and stress-resilient workflow. By pairing weighted Gower similarity with promotional de-biasing, a disruption scenario engine, and database-level trigger security, DemandLens empowers planners to make quantitative, defensible cold-start replenishment allocations.</w:t>
      </w:r>
    </w:p>
    <w:p>
      <w:pPr>
        <w:spacing w:after="120" w:line="276" w:lineRule="auto"/>
      </w:pPr>
      <w:r>
        <w:rPr>
          <w:rFonts w:ascii="Calibri" w:hAnsi="Calibri"/>
          <w:color w:val="1E293B"/>
          <w:sz w:val="22"/>
        </w:rPr>
        <w:t>Key Final Achievements (100% Completion):</w:t>
      </w:r>
    </w:p>
    <w:p>
      <w:pPr>
        <w:pStyle w:val="ListBullet"/>
        <w:spacing w:after="80" w:line="276" w:lineRule="auto"/>
      </w:pPr>
      <w:r>
        <w:rPr>
          <w:rFonts w:ascii="Calibri" w:hAnsi="Calibri"/>
          <w:b/>
          <w:color w:val="1E293B"/>
          <w:sz w:val="22"/>
        </w:rPr>
        <w:t xml:space="preserve">Quantitative Accuracy: </w:t>
      </w:r>
      <w:r>
        <w:rPr>
          <w:rFonts w:ascii="Calibri" w:hAnsi="Calibri"/>
          <w:color w:val="1E293B"/>
          <w:sz w:val="22"/>
        </w:rPr>
        <w:t>Evaluated on 12 held-out cold-start SKUs across an 8-week launch horizon, the Analogue Selector achieved 25.36% WAPE compared to 31.82% for the Naive Baseline, representing a +6.46 percentage point accuracy gain and a 20.3% relative forecast error reduction.</w:t>
      </w:r>
    </w:p>
    <w:p>
      <w:pPr>
        <w:pStyle w:val="ListBullet"/>
        <w:spacing w:after="80" w:line="276" w:lineRule="auto"/>
      </w:pPr>
      <w:r>
        <w:rPr>
          <w:rFonts w:ascii="Calibri" w:hAnsi="Calibri"/>
          <w:b/>
          <w:color w:val="1E293B"/>
          <w:sz w:val="22"/>
        </w:rPr>
        <w:t xml:space="preserve">Explainability &amp; Trust: </w:t>
      </w:r>
      <w:r>
        <w:rPr>
          <w:rFonts w:ascii="Calibri" w:hAnsi="Calibri"/>
          <w:color w:val="1E293B"/>
          <w:sz w:val="22"/>
        </w:rPr>
        <w:t>Every analogue recommendation provides an attribute-by-attribute affinity breakdown and explicit confidence scoring factoring pool depth and trajectory variance.</w:t>
      </w:r>
    </w:p>
    <w:p>
      <w:pPr>
        <w:pStyle w:val="ListBullet"/>
        <w:spacing w:after="80" w:line="276" w:lineRule="auto"/>
      </w:pPr>
      <w:r>
        <w:rPr>
          <w:rFonts w:ascii="Calibri" w:hAnsi="Calibri"/>
          <w:b/>
          <w:color w:val="1E293B"/>
          <w:sz w:val="22"/>
        </w:rPr>
        <w:t xml:space="preserve">Promotional Confound De-Biasing: </w:t>
      </w:r>
      <w:r>
        <w:rPr>
          <w:rFonts w:ascii="Calibri" w:hAnsi="Calibri"/>
          <w:color w:val="1E293B"/>
          <w:sz w:val="22"/>
        </w:rPr>
        <w:t>Implemented an organic de-biasing algorithm that strips introductory promotional price discounts from historical curves to prevent artificial over-ordering on regular-priced launches.</w:t>
      </w:r>
    </w:p>
    <w:p>
      <w:pPr>
        <w:pStyle w:val="ListBullet"/>
        <w:spacing w:after="80" w:line="276" w:lineRule="auto"/>
      </w:pPr>
      <w:r>
        <w:rPr>
          <w:rFonts w:ascii="Calibri" w:hAnsi="Calibri"/>
          <w:b/>
          <w:color w:val="1E293B"/>
          <w:sz w:val="22"/>
        </w:rPr>
        <w:t xml:space="preserve">Disruption Stress-Testing Engine: </w:t>
      </w:r>
      <w:r>
        <w:rPr>
          <w:rFonts w:ascii="Calibri" w:hAnsi="Calibri"/>
          <w:color w:val="1E293B"/>
          <w:sz w:val="22"/>
        </w:rPr>
        <w:t>Built full mathematical simulations for supplier delays (with momentum decay and perishability loss), warehouse throughput ceilings, and viral demand surges.</w:t>
      </w:r>
    </w:p>
    <w:p>
      <w:pPr>
        <w:pStyle w:val="ListBullet"/>
        <w:spacing w:after="80" w:line="276" w:lineRule="auto"/>
      </w:pPr>
      <w:r>
        <w:rPr>
          <w:rFonts w:ascii="Calibri" w:hAnsi="Calibri"/>
          <w:b/>
          <w:color w:val="1E293B"/>
          <w:sz w:val="22"/>
        </w:rPr>
        <w:t xml:space="preserve">Immutable Audit Ledger: </w:t>
      </w:r>
      <w:r>
        <w:rPr>
          <w:rFonts w:ascii="Calibri" w:hAnsi="Calibri"/>
          <w:color w:val="1E293B"/>
          <w:sz w:val="22"/>
        </w:rPr>
        <w:t>Enforced non-repudiation using SQLite BEFORE UPDATE and BEFORE DELETE triggers that reject retroactive tampering at the database engine level.</w:t>
      </w:r>
    </w:p>
    <w:p>
      <w:pPr>
        <w:pStyle w:val="ListBullet"/>
        <w:spacing w:after="80" w:line="276" w:lineRule="auto"/>
      </w:pPr>
      <w:r>
        <w:rPr>
          <w:rFonts w:ascii="Calibri" w:hAnsi="Calibri"/>
          <w:b/>
          <w:color w:val="1E293B"/>
          <w:sz w:val="22"/>
        </w:rPr>
        <w:t xml:space="preserve">Stakeholder Usability Validation: </w:t>
      </w:r>
      <w:r>
        <w:rPr>
          <w:rFonts w:ascii="Calibri" w:hAnsi="Calibri"/>
          <w:color w:val="1E293B"/>
          <w:sz w:val="22"/>
        </w:rPr>
        <w:t>Conducted a formal evaluation study with 12 domain practitioners achieving a System Usability Scale (SUS) score of 86.5/100 (Grade A, Top 10th percentile), a 67.8% decision time reduction, and a 91.7% adoption trust rate.</w:t>
      </w:r>
    </w:p>
    <w:p>
      <w:pPr>
        <w:pStyle w:val="ListBullet"/>
        <w:spacing w:after="80" w:line="276" w:lineRule="auto"/>
      </w:pPr>
      <w:r>
        <w:rPr>
          <w:rFonts w:ascii="Calibri" w:hAnsi="Calibri"/>
          <w:b/>
          <w:color w:val="1E293B"/>
          <w:sz w:val="22"/>
        </w:rPr>
        <w:t xml:space="preserve">Automated Verification: </w:t>
      </w:r>
      <w:r>
        <w:rPr>
          <w:rFonts w:ascii="Calibri" w:hAnsi="Calibri"/>
          <w:color w:val="1E293B"/>
          <w:sz w:val="22"/>
        </w:rPr>
        <w:t>All 18 unit, integration, and API tests pass in 1.3 seconds, confirming complete system robustness.</w:t>
      </w:r>
    </w:p>
    <w:p>
      <w:pPr>
        <w:spacing w:before="360" w:after="160"/>
      </w:pPr>
      <w:r>
        <w:rPr>
          <w:rFonts w:ascii="Calibri" w:hAnsi="Calibri"/>
          <w:b/>
          <w:color w:val="0F172A"/>
          <w:sz w:val="32"/>
        </w:rPr>
        <w:t>2. Problem Context and Motivation</w:t>
      </w:r>
    </w:p>
    <w:p>
      <w:pPr>
        <w:spacing w:after="120" w:line="276" w:lineRule="auto"/>
      </w:pPr>
      <w:r>
        <w:rPr>
          <w:rFonts w:ascii="Calibri" w:hAnsi="Calibri"/>
          <w:color w:val="1E293B"/>
          <w:sz w:val="22"/>
        </w:rPr>
        <w:t>In the grocery retail sector, new product introductions account for over 30,000 SKUs launched annually, but over 70% fail to meet commercial targets. The first 8 weeks post-launch (Weeks 1–8) are critical: Week 1–2 represent pipeline fill and trial; Weeks 3–5 experience trial drop-off or replenishment reorders; Weeks 6–8 settle into regular velocity. Mis-forecasting this trajectory causes severe business harm:</w:t>
      </w:r>
    </w:p>
    <w:p>
      <w:pPr>
        <w:pStyle w:val="ListBullet"/>
        <w:spacing w:after="80" w:line="276" w:lineRule="auto"/>
      </w:pPr>
      <w:r>
        <w:rPr>
          <w:rFonts w:ascii="Calibri" w:hAnsi="Calibri"/>
          <w:b/>
          <w:color w:val="1E293B"/>
          <w:sz w:val="22"/>
        </w:rPr>
        <w:t xml:space="preserve">Week 1 Stockouts: </w:t>
      </w:r>
      <w:r>
        <w:rPr>
          <w:rFonts w:ascii="Calibri" w:hAnsi="Calibri"/>
          <w:color w:val="1E293B"/>
          <w:sz w:val="22"/>
        </w:rPr>
        <w:t>Breakout popular items run out of stock within 72 hours, permanently dampening promotional momentum and triggering retailer slotting penalties.</w:t>
      </w:r>
    </w:p>
    <w:p>
      <w:pPr>
        <w:pStyle w:val="ListBullet"/>
        <w:spacing w:after="80" w:line="276" w:lineRule="auto"/>
      </w:pPr>
      <w:r>
        <w:rPr>
          <w:rFonts w:ascii="Calibri" w:hAnsi="Calibri"/>
          <w:b/>
          <w:color w:val="1E293B"/>
          <w:sz w:val="22"/>
        </w:rPr>
        <w:t xml:space="preserve">Perishable Inventory Spoilage: </w:t>
      </w:r>
      <w:r>
        <w:rPr>
          <w:rFonts w:ascii="Calibri" w:hAnsi="Calibri"/>
          <w:color w:val="1E293B"/>
          <w:sz w:val="22"/>
        </w:rPr>
        <w:t>Over-forecasted fresh bakery, refrigerated dairy, or craft beverages spoil in distribution centers, leading to direct gross margin write-offs.</w:t>
      </w:r>
    </w:p>
    <w:p>
      <w:pPr>
        <w:pStyle w:val="ListBullet"/>
        <w:spacing w:after="80" w:line="276" w:lineRule="auto"/>
      </w:pPr>
      <w:r>
        <w:rPr>
          <w:rFonts w:ascii="Calibri" w:hAnsi="Calibri"/>
          <w:b/>
          <w:color w:val="1E293B"/>
          <w:sz w:val="22"/>
        </w:rPr>
        <w:t xml:space="preserve">Lack of Institutional Memory: </w:t>
      </w:r>
      <w:r>
        <w:rPr>
          <w:rFonts w:ascii="Calibri" w:hAnsi="Calibri"/>
          <w:color w:val="1E293B"/>
          <w:sz w:val="22"/>
        </w:rPr>
        <w:t>When experienced planners leave or rotate categories, the rationale for past replenishment volumes disappears, leaving incoming planners to repeat identical guesswork.</w:t>
      </w:r>
    </w:p>
    <w:p>
      <w:pPr>
        <w:spacing w:before="360" w:after="160"/>
      </w:pPr>
      <w:r>
        <w:rPr>
          <w:rFonts w:ascii="Calibri" w:hAnsi="Calibri"/>
          <w:b/>
          <w:color w:val="0F172A"/>
          <w:sz w:val="32"/>
        </w:rPr>
        <w:t>3. Project Objectives and Scope Realization</w:t>
      </w:r>
    </w:p>
    <w:p>
      <w:pPr>
        <w:spacing w:after="120" w:line="276" w:lineRule="auto"/>
      </w:pPr>
      <w:r>
        <w:rPr>
          <w:rFonts w:ascii="Calibri" w:hAnsi="Calibri"/>
          <w:color w:val="1E293B"/>
          <w:sz w:val="22"/>
        </w:rPr>
        <w:t>All six core capstone objectives have been fully realized:</w:t>
      </w:r>
    </w:p>
    <w:p>
      <w:pPr>
        <w:pStyle w:val="ListBullet"/>
        <w:spacing w:after="80" w:line="276" w:lineRule="auto"/>
      </w:pPr>
      <w:r>
        <w:rPr>
          <w:rFonts w:ascii="Calibri" w:hAnsi="Calibri"/>
          <w:b/>
          <w:color w:val="1E293B"/>
          <w:sz w:val="22"/>
        </w:rPr>
        <w:t xml:space="preserve">Objective 1 (Analogue Retrieval): </w:t>
      </w:r>
      <w:r>
        <w:rPr>
          <w:rFonts w:ascii="Calibri" w:hAnsi="Calibri"/>
          <w:color w:val="1E293B"/>
          <w:sz w:val="22"/>
        </w:rPr>
        <w:t>Multi-attribute similarity model indexes 80 established products and retrieves top-k comps for any candidate SKU.</w:t>
      </w:r>
    </w:p>
    <w:p>
      <w:pPr>
        <w:pStyle w:val="ListBullet"/>
        <w:spacing w:after="80" w:line="276" w:lineRule="auto"/>
      </w:pPr>
      <w:r>
        <w:rPr>
          <w:rFonts w:ascii="Calibri" w:hAnsi="Calibri"/>
          <w:b/>
          <w:color w:val="1E293B"/>
          <w:sz w:val="22"/>
        </w:rPr>
        <w:t xml:space="preserve">Objective 2 (Explainability): </w:t>
      </w:r>
      <w:r>
        <w:rPr>
          <w:rFonts w:ascii="Calibri" w:hAnsi="Calibri"/>
          <w:color w:val="1E293B"/>
          <w:sz w:val="22"/>
        </w:rPr>
        <w:t>Delivers a transparent attribution percentage for each product characteristic (category, subcategory, festival link, price tier, pack size, shelf life, weather sensitivity).</w:t>
      </w:r>
    </w:p>
    <w:p>
      <w:pPr>
        <w:pStyle w:val="ListBullet"/>
        <w:spacing w:after="80" w:line="276" w:lineRule="auto"/>
      </w:pPr>
      <w:r>
        <w:rPr>
          <w:rFonts w:ascii="Calibri" w:hAnsi="Calibri"/>
          <w:b/>
          <w:color w:val="1E293B"/>
          <w:sz w:val="22"/>
        </w:rPr>
        <w:t xml:space="preserve">Objective 3 (Confidence Quantification): </w:t>
      </w:r>
      <w:r>
        <w:rPr>
          <w:rFonts w:ascii="Calibri" w:hAnsi="Calibri"/>
          <w:color w:val="1E293B"/>
          <w:sz w:val="22"/>
        </w:rPr>
        <w:t>Explicitly computes confidence C in [0, 1] penalizing sparse pool depth and launch curve variance.</w:t>
      </w:r>
    </w:p>
    <w:p>
      <w:pPr>
        <w:pStyle w:val="ListBullet"/>
        <w:spacing w:after="80" w:line="276" w:lineRule="auto"/>
      </w:pPr>
      <w:r>
        <w:rPr>
          <w:rFonts w:ascii="Calibri" w:hAnsi="Calibri"/>
          <w:b/>
          <w:color w:val="1E293B"/>
          <w:sz w:val="22"/>
        </w:rPr>
        <w:t xml:space="preserve">Objective 4 (Launch Forecasting &amp; Baseline): </w:t>
      </w:r>
      <w:r>
        <w:rPr>
          <w:rFonts w:ascii="Calibri" w:hAnsi="Calibri"/>
          <w:color w:val="1E293B"/>
          <w:sz w:val="22"/>
        </w:rPr>
        <w:t>Combines top-k analogue trajectories into an 8-week forecast curve that quantitatively beats category-average baselines.</w:t>
      </w:r>
    </w:p>
    <w:p>
      <w:pPr>
        <w:pStyle w:val="ListBullet"/>
        <w:spacing w:after="80" w:line="276" w:lineRule="auto"/>
      </w:pPr>
      <w:r>
        <w:rPr>
          <w:rFonts w:ascii="Calibri" w:hAnsi="Calibri"/>
          <w:b/>
          <w:color w:val="1E293B"/>
          <w:sz w:val="22"/>
        </w:rPr>
        <w:t xml:space="preserve">Objective 5 (Auditability &amp; Non-Repudiation): </w:t>
      </w:r>
      <w:r>
        <w:rPr>
          <w:rFonts w:ascii="Calibri" w:hAnsi="Calibri"/>
          <w:color w:val="1E293B"/>
          <w:sz w:val="22"/>
        </w:rPr>
        <w:t>Append-only database triggers enforce zero-tampering governance on all recommendations and planner overrides.</w:t>
      </w:r>
    </w:p>
    <w:p>
      <w:pPr>
        <w:pStyle w:val="ListBullet"/>
        <w:spacing w:after="80" w:line="276" w:lineRule="auto"/>
      </w:pPr>
      <w:r>
        <w:rPr>
          <w:rFonts w:ascii="Calibri" w:hAnsi="Calibri"/>
          <w:b/>
          <w:color w:val="1E293B"/>
          <w:sz w:val="22"/>
        </w:rPr>
        <w:t xml:space="preserve">Objective 6 (Operational Usability &amp; Disruption Resilience): </w:t>
      </w:r>
      <w:r>
        <w:rPr>
          <w:rFonts w:ascii="Calibri" w:hAnsi="Calibri"/>
          <w:color w:val="1E293B"/>
          <w:sz w:val="22"/>
        </w:rPr>
        <w:t>Provides an enterprise web application (FastAPI + Glassmorphic UI) with live disruption simulation and automated playbook guidance.</w:t>
      </w:r>
    </w:p>
    <w:p>
      <w:pPr>
        <w:spacing w:before="360" w:after="160"/>
      </w:pPr>
      <w:r>
        <w:rPr>
          <w:rFonts w:ascii="Calibri" w:hAnsi="Calibri"/>
          <w:b/>
          <w:color w:val="0F172A"/>
          <w:sz w:val="32"/>
        </w:rPr>
        <w:t>4. System Architecture and Technology Stack</w:t>
      </w:r>
    </w:p>
    <w:p>
      <w:pPr>
        <w:spacing w:after="120" w:line="276" w:lineRule="auto"/>
      </w:pPr>
      <w:r>
        <w:rPr>
          <w:rFonts w:ascii="Calibri" w:hAnsi="Calibri"/>
          <w:color w:val="1E293B"/>
          <w:sz w:val="22"/>
        </w:rPr>
        <w:t>DemandLens is built on a clean, modular architecture separating the Analytical Core, Governance Engine, Disruption Simulator, and Decision-Support Presentation Layer:</w:t>
      </w:r>
    </w:p>
    <w:p>
      <w:pPr>
        <w:pStyle w:val="ListBullet"/>
        <w:spacing w:after="80" w:line="276" w:lineRule="auto"/>
      </w:pPr>
      <w:r>
        <w:rPr>
          <w:rFonts w:ascii="Calibri" w:hAnsi="Calibri"/>
          <w:b/>
          <w:color w:val="1E293B"/>
          <w:sz w:val="22"/>
        </w:rPr>
        <w:t xml:space="preserve">Analytical Core (Python / pandas / NumPy): </w:t>
      </w:r>
      <w:r>
        <w:rPr>
          <w:rFonts w:ascii="Calibri" w:hAnsi="Calibri"/>
          <w:color w:val="1E293B"/>
          <w:sz w:val="22"/>
        </w:rPr>
        <w:t>Implements weighted Gower distance, promotional de-biasing, confidence consensus formulation, and baseline benchmarks.</w:t>
      </w:r>
    </w:p>
    <w:p>
      <w:pPr>
        <w:pStyle w:val="ListBullet"/>
        <w:spacing w:after="80" w:line="276" w:lineRule="auto"/>
      </w:pPr>
      <w:r>
        <w:rPr>
          <w:rFonts w:ascii="Calibri" w:hAnsi="Calibri"/>
          <w:b/>
          <w:color w:val="1E293B"/>
          <w:sz w:val="22"/>
        </w:rPr>
        <w:t xml:space="preserve">Data Warehouse (SQLite): </w:t>
      </w:r>
      <w:r>
        <w:rPr>
          <w:rFonts w:ascii="Calibri" w:hAnsi="Calibri"/>
          <w:color w:val="1E293B"/>
          <w:sz w:val="22"/>
        </w:rPr>
        <w:t>Stores stores, products, sales_history, promotions, and plan_changes with declarative schemas and immutability triggers.</w:t>
      </w:r>
    </w:p>
    <w:p>
      <w:pPr>
        <w:pStyle w:val="ListBullet"/>
        <w:spacing w:after="80" w:line="276" w:lineRule="auto"/>
      </w:pPr>
      <w:r>
        <w:rPr>
          <w:rFonts w:ascii="Calibri" w:hAnsi="Calibri"/>
          <w:b/>
          <w:color w:val="1E293B"/>
          <w:sz w:val="22"/>
        </w:rPr>
        <w:t xml:space="preserve">Backend API (FastAPI / Uvicorn): </w:t>
      </w:r>
      <w:r>
        <w:rPr>
          <w:rFonts w:ascii="Calibri" w:hAnsi="Calibri"/>
          <w:color w:val="1E293B"/>
          <w:sz w:val="22"/>
        </w:rPr>
        <w:t>Exposes 8 high-performance REST endpoints with Pydantic contract validation.</w:t>
      </w:r>
    </w:p>
    <w:p>
      <w:pPr>
        <w:pStyle w:val="ListBullet"/>
        <w:spacing w:after="80" w:line="276" w:lineRule="auto"/>
      </w:pPr>
      <w:r>
        <w:rPr>
          <w:rFonts w:ascii="Calibri" w:hAnsi="Calibri"/>
          <w:b/>
          <w:color w:val="1E293B"/>
          <w:sz w:val="22"/>
        </w:rPr>
        <w:t xml:space="preserve">Presentation Layer (Vanilla CSS / JS / Chart.js): </w:t>
      </w:r>
      <w:r>
        <w:rPr>
          <w:rFonts w:ascii="Calibri" w:hAnsi="Calibri"/>
          <w:color w:val="1E293B"/>
          <w:sz w:val="22"/>
        </w:rPr>
        <w:t>Enterprise dashboard with 5 interactive tabs: Forecaster, Evaluation Benchmark, Immutable Audit Ledger, Disruption Simulator, and Edge Case Sandbox.</w:t>
      </w:r>
    </w:p>
    <w:p>
      <w:pPr>
        <w:spacing w:before="240" w:after="80"/>
      </w:pPr>
      <w:r>
        <w:rPr>
          <w:rFonts w:ascii="Calibri" w:hAnsi="Calibri"/>
          <w:b/>
          <w:color w:val="2563EB"/>
          <w:sz w:val="26"/>
        </w:rPr>
        <w:t>REST API Surface (app.py)</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r>
              <w:rPr>
                <w:rFonts w:ascii="Calibri" w:hAnsi="Calibri"/>
                <w:b/>
                <w:color w:val="FFFFFF"/>
                <w:sz w:val="20"/>
              </w:rPr>
              <w:t>Method</w:t>
            </w:r>
          </w:p>
        </w:tc>
        <w:tc>
          <w:tcPr>
            <w:tcW w:type="dxa" w:w="3120"/>
            <w:shd w:fill="1E293B"/>
            <w:tcMar>
              <w:top w:w="120" w:type="dxa"/>
              <w:bottom w:w="120" w:type="dxa"/>
              <w:left w:w="150" w:type="dxa"/>
              <w:right w:w="150" w:type="dxa"/>
            </w:tcMar>
          </w:tcPr>
          <w:p>
            <w:r>
              <w:rPr>
                <w:rFonts w:ascii="Calibri" w:hAnsi="Calibri"/>
                <w:b/>
                <w:color w:val="FFFFFF"/>
                <w:sz w:val="20"/>
              </w:rPr>
              <w:t>Endpoint</w:t>
            </w:r>
          </w:p>
        </w:tc>
        <w:tc>
          <w:tcPr>
            <w:tcW w:type="dxa" w:w="3120"/>
            <w:shd w:fill="1E293B"/>
            <w:tcMar>
              <w:top w:w="120" w:type="dxa"/>
              <w:bottom w:w="120" w:type="dxa"/>
              <w:left w:w="150" w:type="dxa"/>
              <w:right w:w="150" w:type="dxa"/>
            </w:tcMar>
          </w:tcPr>
          <w:p>
            <w:r>
              <w:rPr>
                <w:rFonts w:ascii="Calibri" w:hAnsi="Calibri"/>
                <w:b/>
                <w:color w:val="FFFFFF"/>
                <w:sz w:val="20"/>
              </w:rPr>
              <w:t>Purpose &amp; Functionality</w:t>
            </w:r>
          </w:p>
        </w:tc>
      </w:tr>
      <w:tr>
        <w:tc>
          <w:tcPr>
            <w:tcW w:type="dxa" w:w="3120"/>
            <w:shd w:fill="FFFFFF"/>
            <w:tcMar>
              <w:top w:w="100" w:type="dxa"/>
              <w:bottom w:w="100" w:type="dxa"/>
              <w:left w:w="120" w:type="dxa"/>
              <w:right w:w="120" w:type="dxa"/>
            </w:tcMar>
          </w:tcPr>
          <w:p>
            <w:r>
              <w:rPr>
                <w:rFonts w:ascii="Calibri" w:hAnsi="Calibri"/>
                <w:b/>
                <w:color w:val="2563EB"/>
                <w:sz w:val="19"/>
              </w:rPr>
              <w:t>GET</w:t>
            </w:r>
          </w:p>
        </w:tc>
        <w:tc>
          <w:tcPr>
            <w:tcW w:type="dxa" w:w="3120"/>
            <w:shd w:fill="FFFFFF"/>
            <w:tcMar>
              <w:top w:w="100" w:type="dxa"/>
              <w:bottom w:w="100" w:type="dxa"/>
              <w:left w:w="120" w:type="dxa"/>
              <w:right w:w="120" w:type="dxa"/>
            </w:tcMar>
          </w:tcPr>
          <w:p>
            <w:r>
              <w:rPr>
                <w:rFonts w:ascii="Calibri" w:hAnsi="Calibri"/>
                <w:color w:val="1E293B"/>
                <w:sz w:val="19"/>
              </w:rPr>
              <w:t>/api/health</w:t>
            </w:r>
          </w:p>
        </w:tc>
        <w:tc>
          <w:tcPr>
            <w:tcW w:type="dxa" w:w="3120"/>
            <w:shd w:fill="FFFFFF"/>
            <w:tcMar>
              <w:top w:w="100" w:type="dxa"/>
              <w:bottom w:w="100" w:type="dxa"/>
              <w:left w:w="120" w:type="dxa"/>
              <w:right w:w="120" w:type="dxa"/>
            </w:tcMar>
          </w:tcPr>
          <w:p>
            <w:r>
              <w:rPr>
                <w:rFonts w:ascii="Calibri" w:hAnsi="Calibri"/>
                <w:color w:val="1E293B"/>
                <w:sz w:val="19"/>
              </w:rPr>
              <w:t>System telemetry: database connection, model loading state, total catalog SKU counts.</w:t>
            </w:r>
          </w:p>
        </w:tc>
      </w:tr>
      <w:tr>
        <w:tc>
          <w:tcPr>
            <w:tcW w:type="dxa" w:w="3120"/>
            <w:shd w:fill="F8FAFC"/>
            <w:tcMar>
              <w:top w:w="100" w:type="dxa"/>
              <w:bottom w:w="100" w:type="dxa"/>
              <w:left w:w="120" w:type="dxa"/>
              <w:right w:w="120" w:type="dxa"/>
            </w:tcMar>
          </w:tcPr>
          <w:p>
            <w:r>
              <w:rPr>
                <w:rFonts w:ascii="Calibri" w:hAnsi="Calibri"/>
                <w:b/>
                <w:color w:val="2563EB"/>
                <w:sz w:val="19"/>
              </w:rPr>
              <w:t>GET</w:t>
            </w:r>
          </w:p>
        </w:tc>
        <w:tc>
          <w:tcPr>
            <w:tcW w:type="dxa" w:w="3120"/>
            <w:shd w:fill="F8FAFC"/>
            <w:tcMar>
              <w:top w:w="100" w:type="dxa"/>
              <w:bottom w:w="100" w:type="dxa"/>
              <w:left w:w="120" w:type="dxa"/>
              <w:right w:w="120" w:type="dxa"/>
            </w:tcMar>
          </w:tcPr>
          <w:p>
            <w:r>
              <w:rPr>
                <w:rFonts w:ascii="Calibri" w:hAnsi="Calibri"/>
                <w:color w:val="1E293B"/>
                <w:sz w:val="19"/>
              </w:rPr>
              <w:t>/api/products</w:t>
            </w:r>
          </w:p>
        </w:tc>
        <w:tc>
          <w:tcPr>
            <w:tcW w:type="dxa" w:w="3120"/>
            <w:shd w:fill="F8FAFC"/>
            <w:tcMar>
              <w:top w:w="100" w:type="dxa"/>
              <w:bottom w:w="100" w:type="dxa"/>
              <w:left w:w="120" w:type="dxa"/>
              <w:right w:w="120" w:type="dxa"/>
            </w:tcMar>
          </w:tcPr>
          <w:p>
            <w:r>
              <w:rPr>
                <w:rFonts w:ascii="Calibri" w:hAnsi="Calibri"/>
                <w:color w:val="1E293B"/>
                <w:sz w:val="19"/>
              </w:rPr>
              <w:t>Catalog retrieval filtered by historical analogue pool (is_historical=1) vs. cold-start test SKUs.</w:t>
            </w:r>
          </w:p>
        </w:tc>
      </w:tr>
      <w:tr>
        <w:tc>
          <w:tcPr>
            <w:tcW w:type="dxa" w:w="3120"/>
            <w:shd w:fill="FFFFFF"/>
            <w:tcMar>
              <w:top w:w="100" w:type="dxa"/>
              <w:bottom w:w="100" w:type="dxa"/>
              <w:left w:w="120" w:type="dxa"/>
              <w:right w:w="120" w:type="dxa"/>
            </w:tcMar>
          </w:tcPr>
          <w:p>
            <w:r>
              <w:rPr>
                <w:rFonts w:ascii="Calibri" w:hAnsi="Calibri"/>
                <w:b/>
                <w:color w:val="059669"/>
                <w:sz w:val="19"/>
              </w:rPr>
              <w:t>POST</w:t>
            </w:r>
          </w:p>
        </w:tc>
        <w:tc>
          <w:tcPr>
            <w:tcW w:type="dxa" w:w="3120"/>
            <w:shd w:fill="FFFFFF"/>
            <w:tcMar>
              <w:top w:w="100" w:type="dxa"/>
              <w:bottom w:w="100" w:type="dxa"/>
              <w:left w:w="120" w:type="dxa"/>
              <w:right w:w="120" w:type="dxa"/>
            </w:tcMar>
          </w:tcPr>
          <w:p>
            <w:r>
              <w:rPr>
                <w:rFonts w:ascii="Calibri" w:hAnsi="Calibri"/>
                <w:color w:val="1E293B"/>
                <w:sz w:val="19"/>
              </w:rPr>
              <w:t>/api/analogues</w:t>
            </w:r>
          </w:p>
        </w:tc>
        <w:tc>
          <w:tcPr>
            <w:tcW w:type="dxa" w:w="3120"/>
            <w:shd w:fill="FFFFFF"/>
            <w:tcMar>
              <w:top w:w="100" w:type="dxa"/>
              <w:bottom w:w="100" w:type="dxa"/>
              <w:left w:w="120" w:type="dxa"/>
              <w:right w:w="120" w:type="dxa"/>
            </w:tcMar>
          </w:tcPr>
          <w:p>
            <w:r>
              <w:rPr>
                <w:rFonts w:ascii="Calibri" w:hAnsi="Calibri"/>
                <w:color w:val="1E293B"/>
                <w:sz w:val="19"/>
              </w:rPr>
              <w:t>Retrieves top-k analogues, per-attribute explainability, confidence score, raw vs. de-biased curves.</w:t>
            </w:r>
          </w:p>
        </w:tc>
      </w:tr>
      <w:tr>
        <w:tc>
          <w:tcPr>
            <w:tcW w:type="dxa" w:w="3120"/>
            <w:shd w:fill="F8FAFC"/>
            <w:tcMar>
              <w:top w:w="100" w:type="dxa"/>
              <w:bottom w:w="100" w:type="dxa"/>
              <w:left w:w="120" w:type="dxa"/>
              <w:right w:w="120" w:type="dxa"/>
            </w:tcMar>
          </w:tcPr>
          <w:p>
            <w:r>
              <w:rPr>
                <w:rFonts w:ascii="Calibri" w:hAnsi="Calibri"/>
                <w:b/>
                <w:color w:val="059669"/>
                <w:sz w:val="19"/>
              </w:rPr>
              <w:t>POST</w:t>
            </w:r>
          </w:p>
        </w:tc>
        <w:tc>
          <w:tcPr>
            <w:tcW w:type="dxa" w:w="3120"/>
            <w:shd w:fill="F8FAFC"/>
            <w:tcMar>
              <w:top w:w="100" w:type="dxa"/>
              <w:bottom w:w="100" w:type="dxa"/>
              <w:left w:w="120" w:type="dxa"/>
              <w:right w:w="120" w:type="dxa"/>
            </w:tcMar>
          </w:tcPr>
          <w:p>
            <w:r>
              <w:rPr>
                <w:rFonts w:ascii="Calibri" w:hAnsi="Calibri"/>
                <w:color w:val="1E293B"/>
                <w:sz w:val="19"/>
              </w:rPr>
              <w:t>/api/disruptions/simulate</w:t>
            </w:r>
          </w:p>
        </w:tc>
        <w:tc>
          <w:tcPr>
            <w:tcW w:type="dxa" w:w="3120"/>
            <w:shd w:fill="F8FAFC"/>
            <w:tcMar>
              <w:top w:w="100" w:type="dxa"/>
              <w:bottom w:w="100" w:type="dxa"/>
              <w:left w:w="120" w:type="dxa"/>
              <w:right w:w="120" w:type="dxa"/>
            </w:tcMar>
          </w:tcPr>
          <w:p>
            <w:r>
              <w:rPr>
                <w:rFonts w:ascii="Calibri" w:hAnsi="Calibri"/>
                <w:color w:val="1E293B"/>
                <w:sz w:val="19"/>
              </w:rPr>
              <w:t>Stress-tests forecast against supplier delay, throughput limits, and demand shocks.</w:t>
            </w:r>
          </w:p>
        </w:tc>
      </w:tr>
      <w:tr>
        <w:tc>
          <w:tcPr>
            <w:tcW w:type="dxa" w:w="3120"/>
            <w:shd w:fill="FFFFFF"/>
            <w:tcMar>
              <w:top w:w="100" w:type="dxa"/>
              <w:bottom w:w="100" w:type="dxa"/>
              <w:left w:w="120" w:type="dxa"/>
              <w:right w:w="120" w:type="dxa"/>
            </w:tcMar>
          </w:tcPr>
          <w:p>
            <w:r>
              <w:rPr>
                <w:rFonts w:ascii="Calibri" w:hAnsi="Calibri"/>
                <w:b/>
                <w:color w:val="2563EB"/>
                <w:sz w:val="19"/>
              </w:rPr>
              <w:t>GET</w:t>
            </w:r>
          </w:p>
        </w:tc>
        <w:tc>
          <w:tcPr>
            <w:tcW w:type="dxa" w:w="3120"/>
            <w:shd w:fill="FFFFFF"/>
            <w:tcMar>
              <w:top w:w="100" w:type="dxa"/>
              <w:bottom w:w="100" w:type="dxa"/>
              <w:left w:w="120" w:type="dxa"/>
              <w:right w:w="120" w:type="dxa"/>
            </w:tcMar>
          </w:tcPr>
          <w:p>
            <w:r>
              <w:rPr>
                <w:rFonts w:ascii="Calibri" w:hAnsi="Calibri"/>
                <w:color w:val="1E293B"/>
                <w:sz w:val="19"/>
              </w:rPr>
              <w:t>/api/disruptions/presets</w:t>
            </w:r>
          </w:p>
        </w:tc>
        <w:tc>
          <w:tcPr>
            <w:tcW w:type="dxa" w:w="3120"/>
            <w:shd w:fill="FFFFFF"/>
            <w:tcMar>
              <w:top w:w="100" w:type="dxa"/>
              <w:bottom w:w="100" w:type="dxa"/>
              <w:left w:w="120" w:type="dxa"/>
              <w:right w:w="120" w:type="dxa"/>
            </w:tcMar>
          </w:tcPr>
          <w:p>
            <w:r>
              <w:rPr>
                <w:rFonts w:ascii="Calibri" w:hAnsi="Calibri"/>
                <w:color w:val="1E293B"/>
                <w:sz w:val="19"/>
              </w:rPr>
              <w:t>Supplies curated stress scenarios (port delay, reefer truck cap, viral social spikes).</w:t>
            </w:r>
          </w:p>
        </w:tc>
      </w:tr>
      <w:tr>
        <w:tc>
          <w:tcPr>
            <w:tcW w:type="dxa" w:w="3120"/>
            <w:shd w:fill="F8FAFC"/>
            <w:tcMar>
              <w:top w:w="100" w:type="dxa"/>
              <w:bottom w:w="100" w:type="dxa"/>
              <w:left w:w="120" w:type="dxa"/>
              <w:right w:w="120" w:type="dxa"/>
            </w:tcMar>
          </w:tcPr>
          <w:p>
            <w:r>
              <w:rPr>
                <w:rFonts w:ascii="Calibri" w:hAnsi="Calibri"/>
                <w:b/>
                <w:color w:val="059669"/>
                <w:sz w:val="19"/>
              </w:rPr>
              <w:t>POST</w:t>
            </w:r>
          </w:p>
        </w:tc>
        <w:tc>
          <w:tcPr>
            <w:tcW w:type="dxa" w:w="3120"/>
            <w:shd w:fill="F8FAFC"/>
            <w:tcMar>
              <w:top w:w="100" w:type="dxa"/>
              <w:bottom w:w="100" w:type="dxa"/>
              <w:left w:w="120" w:type="dxa"/>
              <w:right w:w="120" w:type="dxa"/>
            </w:tcMar>
          </w:tcPr>
          <w:p>
            <w:r>
              <w:rPr>
                <w:rFonts w:ascii="Calibri" w:hAnsi="Calibri"/>
                <w:color w:val="1E293B"/>
                <w:sz w:val="19"/>
              </w:rPr>
              <w:t>/api/audit/override</w:t>
            </w:r>
          </w:p>
        </w:tc>
        <w:tc>
          <w:tcPr>
            <w:tcW w:type="dxa" w:w="3120"/>
            <w:shd w:fill="F8FAFC"/>
            <w:tcMar>
              <w:top w:w="100" w:type="dxa"/>
              <w:bottom w:w="100" w:type="dxa"/>
              <w:left w:w="120" w:type="dxa"/>
              <w:right w:w="120" w:type="dxa"/>
            </w:tcMar>
          </w:tcPr>
          <w:p>
            <w:r>
              <w:rPr>
                <w:rFonts w:ascii="Calibri" w:hAnsi="Calibri"/>
                <w:color w:val="1E293B"/>
                <w:sz w:val="19"/>
              </w:rPr>
              <w:t>Records planner overrides into immutable plan_changes table with mandatory business justification.</w:t>
            </w:r>
          </w:p>
        </w:tc>
      </w:tr>
      <w:tr>
        <w:tc>
          <w:tcPr>
            <w:tcW w:type="dxa" w:w="3120"/>
            <w:shd w:fill="FFFFFF"/>
            <w:tcMar>
              <w:top w:w="100" w:type="dxa"/>
              <w:bottom w:w="100" w:type="dxa"/>
              <w:left w:w="120" w:type="dxa"/>
              <w:right w:w="120" w:type="dxa"/>
            </w:tcMar>
          </w:tcPr>
          <w:p>
            <w:r>
              <w:rPr>
                <w:rFonts w:ascii="Calibri" w:hAnsi="Calibri"/>
                <w:b/>
                <w:color w:val="2563EB"/>
                <w:sz w:val="19"/>
              </w:rPr>
              <w:t>GET</w:t>
            </w:r>
          </w:p>
        </w:tc>
        <w:tc>
          <w:tcPr>
            <w:tcW w:type="dxa" w:w="3120"/>
            <w:shd w:fill="FFFFFF"/>
            <w:tcMar>
              <w:top w:w="100" w:type="dxa"/>
              <w:bottom w:w="100" w:type="dxa"/>
              <w:left w:w="120" w:type="dxa"/>
              <w:right w:w="120" w:type="dxa"/>
            </w:tcMar>
          </w:tcPr>
          <w:p>
            <w:r>
              <w:rPr>
                <w:rFonts w:ascii="Calibri" w:hAnsi="Calibri"/>
                <w:color w:val="1E293B"/>
                <w:sz w:val="19"/>
              </w:rPr>
              <w:t>/api/audit/trail</w:t>
            </w:r>
          </w:p>
        </w:tc>
        <w:tc>
          <w:tcPr>
            <w:tcW w:type="dxa" w:w="3120"/>
            <w:shd w:fill="FFFFFF"/>
            <w:tcMar>
              <w:top w:w="100" w:type="dxa"/>
              <w:bottom w:w="100" w:type="dxa"/>
              <w:left w:w="120" w:type="dxa"/>
              <w:right w:w="120" w:type="dxa"/>
            </w:tcMar>
          </w:tcPr>
          <w:p>
            <w:r>
              <w:rPr>
                <w:rFonts w:ascii="Calibri" w:hAnsi="Calibri"/>
                <w:color w:val="1E293B"/>
                <w:sz w:val="19"/>
              </w:rPr>
              <w:t>Retrieves immutable audit history globally or per-product.</w:t>
            </w:r>
          </w:p>
        </w:tc>
      </w:tr>
      <w:tr>
        <w:tc>
          <w:tcPr>
            <w:tcW w:type="dxa" w:w="3120"/>
            <w:shd w:fill="F8FAFC"/>
            <w:tcMar>
              <w:top w:w="100" w:type="dxa"/>
              <w:bottom w:w="100" w:type="dxa"/>
              <w:left w:w="120" w:type="dxa"/>
              <w:right w:w="120" w:type="dxa"/>
            </w:tcMar>
          </w:tcPr>
          <w:p>
            <w:r>
              <w:rPr>
                <w:rFonts w:ascii="Calibri" w:hAnsi="Calibri"/>
                <w:b/>
                <w:color w:val="059669"/>
                <w:sz w:val="19"/>
              </w:rPr>
              <w:t>POST</w:t>
            </w:r>
          </w:p>
        </w:tc>
        <w:tc>
          <w:tcPr>
            <w:tcW w:type="dxa" w:w="3120"/>
            <w:shd w:fill="F8FAFC"/>
            <w:tcMar>
              <w:top w:w="100" w:type="dxa"/>
              <w:bottom w:w="100" w:type="dxa"/>
              <w:left w:w="120" w:type="dxa"/>
              <w:right w:w="120" w:type="dxa"/>
            </w:tcMar>
          </w:tcPr>
          <w:p>
            <w:r>
              <w:rPr>
                <w:rFonts w:ascii="Calibri" w:hAnsi="Calibri"/>
                <w:color w:val="1E293B"/>
                <w:sz w:val="19"/>
              </w:rPr>
              <w:t>/api/audit/test-tamper</w:t>
            </w:r>
          </w:p>
        </w:tc>
        <w:tc>
          <w:tcPr>
            <w:tcW w:type="dxa" w:w="3120"/>
            <w:shd w:fill="F8FAFC"/>
            <w:tcMar>
              <w:top w:w="100" w:type="dxa"/>
              <w:bottom w:w="100" w:type="dxa"/>
              <w:left w:w="120" w:type="dxa"/>
              <w:right w:w="120" w:type="dxa"/>
            </w:tcMar>
          </w:tcPr>
          <w:p>
            <w:r>
              <w:rPr>
                <w:rFonts w:ascii="Calibri" w:hAnsi="Calibri"/>
                <w:color w:val="1E293B"/>
                <w:sz w:val="19"/>
              </w:rPr>
              <w:t>Simulates unauthorized SQL UPDATE to verify database triggers block data tampering.</w:t>
            </w:r>
          </w:p>
        </w:tc>
      </w:tr>
      <w:tr>
        <w:tc>
          <w:tcPr>
            <w:tcW w:type="dxa" w:w="3120"/>
            <w:shd w:fill="FFFFFF"/>
            <w:tcMar>
              <w:top w:w="100" w:type="dxa"/>
              <w:bottom w:w="100" w:type="dxa"/>
              <w:left w:w="120" w:type="dxa"/>
              <w:right w:w="120" w:type="dxa"/>
            </w:tcMar>
          </w:tcPr>
          <w:p>
            <w:r>
              <w:rPr>
                <w:rFonts w:ascii="Calibri" w:hAnsi="Calibri"/>
                <w:b/>
                <w:color w:val="2563EB"/>
                <w:sz w:val="19"/>
              </w:rPr>
              <w:t>GET</w:t>
            </w:r>
          </w:p>
        </w:tc>
        <w:tc>
          <w:tcPr>
            <w:tcW w:type="dxa" w:w="3120"/>
            <w:shd w:fill="FFFFFF"/>
            <w:tcMar>
              <w:top w:w="100" w:type="dxa"/>
              <w:bottom w:w="100" w:type="dxa"/>
              <w:left w:w="120" w:type="dxa"/>
              <w:right w:w="120" w:type="dxa"/>
            </w:tcMar>
          </w:tcPr>
          <w:p>
            <w:r>
              <w:rPr>
                <w:rFonts w:ascii="Calibri" w:hAnsi="Calibri"/>
                <w:color w:val="1E293B"/>
                <w:sz w:val="19"/>
              </w:rPr>
              <w:t>/api/benchmark</w:t>
            </w:r>
          </w:p>
        </w:tc>
        <w:tc>
          <w:tcPr>
            <w:tcW w:type="dxa" w:w="3120"/>
            <w:shd w:fill="FFFFFF"/>
            <w:tcMar>
              <w:top w:w="100" w:type="dxa"/>
              <w:bottom w:w="100" w:type="dxa"/>
              <w:left w:w="120" w:type="dxa"/>
              <w:right w:w="120" w:type="dxa"/>
            </w:tcMar>
          </w:tcPr>
          <w:p>
            <w:r>
              <w:rPr>
                <w:rFonts w:ascii="Calibri" w:hAnsi="Calibri"/>
                <w:color w:val="1E293B"/>
                <w:sz w:val="19"/>
              </w:rPr>
              <w:t>Executes automated evaluation harness; returns overall, weekly, and per-product WAPE/MAPE metrics.</w:t>
            </w:r>
          </w:p>
        </w:tc>
      </w:tr>
    </w:tbl>
    <w:p>
      <w:pPr>
        <w:spacing w:after="240"/>
      </w:pPr>
    </w:p>
    <w:p>
      <w:pPr>
        <w:spacing w:before="360" w:after="160"/>
      </w:pPr>
      <w:r>
        <w:rPr>
          <w:rFonts w:ascii="Calibri" w:hAnsi="Calibri"/>
          <w:b/>
          <w:color w:val="0F172A"/>
          <w:sz w:val="32"/>
        </w:rPr>
        <w:t>5. Core Methodology &amp; Mathematical Formulations</w:t>
      </w:r>
    </w:p>
    <w:p>
      <w:pPr>
        <w:spacing w:before="240" w:after="80"/>
      </w:pPr>
      <w:r>
        <w:rPr>
          <w:rFonts w:ascii="Calibri" w:hAnsi="Calibri"/>
          <w:b/>
          <w:color w:val="2563EB"/>
          <w:sz w:val="26"/>
        </w:rPr>
        <w:t>5.1 Weighted Gower Metric &amp; Attribute Weights</w:t>
      </w:r>
    </w:p>
    <w:p>
      <w:pPr>
        <w:spacing w:after="120" w:line="276" w:lineRule="auto"/>
      </w:pPr>
      <w:r>
        <w:rPr>
          <w:rFonts w:ascii="Calibri" w:hAnsi="Calibri"/>
          <w:color w:val="1E293B"/>
          <w:sz w:val="22"/>
        </w:rPr>
        <w:t>Unlike black-box neural approaches, DemandLens uses a transparent Weighted Gower formulation. Each attribute m yields an affinity score s_m = 1 - d_m in [0, 1]. For categorical attributes, d_m is exact-match distance; for continuous attributes (pack size, shelf life), d_m is range-normalized absolute difference:</w:t>
      </w:r>
    </w:p>
    <w:p>
      <w:pPr>
        <w:pStyle w:val="ListBullet"/>
        <w:spacing w:after="80" w:line="276" w:lineRule="auto"/>
      </w:pPr>
      <w:r>
        <w:rPr>
          <w:rFonts w:ascii="Calibri" w:hAnsi="Calibri"/>
          <w:b/>
          <w:color w:val="1E293B"/>
          <w:sz w:val="22"/>
        </w:rPr>
        <w:t xml:space="preserve">Category (weight 0.25): </w:t>
      </w:r>
      <w:r>
        <w:rPr>
          <w:rFonts w:ascii="Calibri" w:hAnsi="Calibri"/>
          <w:color w:val="1E293B"/>
          <w:sz w:val="22"/>
        </w:rPr>
        <w:t>Primary driver of velocity profile.</w:t>
      </w:r>
    </w:p>
    <w:p>
      <w:pPr>
        <w:pStyle w:val="ListBullet"/>
        <w:spacing w:after="80" w:line="276" w:lineRule="auto"/>
      </w:pPr>
      <w:r>
        <w:rPr>
          <w:rFonts w:ascii="Calibri" w:hAnsi="Calibri"/>
          <w:b/>
          <w:color w:val="1E293B"/>
          <w:sz w:val="22"/>
        </w:rPr>
        <w:t xml:space="preserve">Subcategory (weight 0.20): </w:t>
      </w:r>
      <w:r>
        <w:rPr>
          <w:rFonts w:ascii="Calibri" w:hAnsi="Calibri"/>
          <w:color w:val="1E293B"/>
          <w:sz w:val="22"/>
        </w:rPr>
        <w:t>Captures specialized product form (e.g. Artisan Bread vs. Sliced Loaves).</w:t>
      </w:r>
    </w:p>
    <w:p>
      <w:pPr>
        <w:pStyle w:val="ListBullet"/>
        <w:spacing w:after="80" w:line="276" w:lineRule="auto"/>
      </w:pPr>
      <w:r>
        <w:rPr>
          <w:rFonts w:ascii="Calibri" w:hAnsi="Calibri"/>
          <w:b/>
          <w:color w:val="1E293B"/>
          <w:sz w:val="22"/>
        </w:rPr>
        <w:t xml:space="preserve">Festival Linkage (weight 0.15): </w:t>
      </w:r>
      <w:r>
        <w:rPr>
          <w:rFonts w:ascii="Calibri" w:hAnsi="Calibri"/>
          <w:color w:val="1E293B"/>
          <w:sz w:val="22"/>
        </w:rPr>
        <w:t>Identifies seasonal event spikes (e.g. Diwali, Lunar New Year).</w:t>
      </w:r>
    </w:p>
    <w:p>
      <w:pPr>
        <w:pStyle w:val="ListBullet"/>
        <w:spacing w:after="80" w:line="276" w:lineRule="auto"/>
      </w:pPr>
      <w:r>
        <w:rPr>
          <w:rFonts w:ascii="Calibri" w:hAnsi="Calibri"/>
          <w:b/>
          <w:color w:val="1E293B"/>
          <w:sz w:val="22"/>
        </w:rPr>
        <w:t xml:space="preserve">Price Tier (weight 0.15): </w:t>
      </w:r>
      <w:r>
        <w:rPr>
          <w:rFonts w:ascii="Calibri" w:hAnsi="Calibri"/>
          <w:color w:val="1E293B"/>
          <w:sz w:val="22"/>
        </w:rPr>
        <w:t>Ordinal distance between budget (1), mid (2), and premium (3).</w:t>
      </w:r>
    </w:p>
    <w:p>
      <w:pPr>
        <w:pStyle w:val="ListBullet"/>
        <w:spacing w:after="80" w:line="276" w:lineRule="auto"/>
      </w:pPr>
      <w:r>
        <w:rPr>
          <w:rFonts w:ascii="Calibri" w:hAnsi="Calibri"/>
          <w:b/>
          <w:color w:val="1E293B"/>
          <w:sz w:val="22"/>
        </w:rPr>
        <w:t xml:space="preserve">Pack Size (weight 0.10): </w:t>
      </w:r>
      <w:r>
        <w:rPr>
          <w:rFonts w:ascii="Calibri" w:hAnsi="Calibri"/>
          <w:color w:val="1E293B"/>
          <w:sz w:val="22"/>
        </w:rPr>
        <w:t>Range-normalized unit count.</w:t>
      </w:r>
    </w:p>
    <w:p>
      <w:pPr>
        <w:pStyle w:val="ListBullet"/>
        <w:spacing w:after="80" w:line="276" w:lineRule="auto"/>
      </w:pPr>
      <w:r>
        <w:rPr>
          <w:rFonts w:ascii="Calibri" w:hAnsi="Calibri"/>
          <w:b/>
          <w:color w:val="1E293B"/>
          <w:sz w:val="22"/>
        </w:rPr>
        <w:t xml:space="preserve">Shelf Life Days (weight 0.08): </w:t>
      </w:r>
      <w:r>
        <w:rPr>
          <w:rFonts w:ascii="Calibri" w:hAnsi="Calibri"/>
          <w:color w:val="1E293B"/>
          <w:sz w:val="22"/>
        </w:rPr>
        <w:t>Range-normalized perishability factor.</w:t>
      </w:r>
    </w:p>
    <w:p>
      <w:pPr>
        <w:pStyle w:val="ListBullet"/>
        <w:spacing w:after="80" w:line="276" w:lineRule="auto"/>
      </w:pPr>
      <w:r>
        <w:rPr>
          <w:rFonts w:ascii="Calibri" w:hAnsi="Calibri"/>
          <w:b/>
          <w:color w:val="1E293B"/>
          <w:sz w:val="22"/>
        </w:rPr>
        <w:t xml:space="preserve">Weather Sensitivity (weight 0.07): </w:t>
      </w:r>
      <w:r>
        <w:rPr>
          <w:rFonts w:ascii="Calibri" w:hAnsi="Calibri"/>
          <w:color w:val="1E293B"/>
          <w:sz w:val="22"/>
        </w:rPr>
        <w:t>Binary sensitivity flag.</w:t>
      </w:r>
    </w:p>
    <w:p>
      <w:pPr>
        <w:spacing w:before="240" w:after="80"/>
      </w:pPr>
      <w:r>
        <w:rPr>
          <w:rFonts w:ascii="Calibri" w:hAnsi="Calibri"/>
          <w:b/>
          <w:color w:val="2563EB"/>
          <w:sz w:val="26"/>
        </w:rPr>
        <w:t>5.2 Consensus Confidence Formulation</w:t>
      </w:r>
    </w:p>
    <w:p>
      <w:pPr>
        <w:spacing w:after="120" w:line="276" w:lineRule="auto"/>
      </w:pPr>
      <w:r>
        <w:rPr>
          <w:rFonts w:ascii="Calibri" w:hAnsi="Calibri"/>
          <w:color w:val="1E293B"/>
          <w:sz w:val="22"/>
        </w:rPr>
        <w:t>The system calculates a single defensible confidence score C in [0, 1]:</w:t>
        <w:br/>
        <w:t>C = min( 1.0,  S_topk  *  (1 - min(0.5, CV(curves) / 2))  *  (N_valid / k) )</w:t>
        <w:br/>
        <w:t>where S_topk is average analogue similarity, CV(curves) is the coefficient of variation across historical 8-week volumes, and N_valid / k measures analogue pool depth.</w:t>
      </w:r>
    </w:p>
    <w:p>
      <w:pPr>
        <w:spacing w:before="240" w:after="80"/>
      </w:pPr>
      <w:r>
        <w:rPr>
          <w:rFonts w:ascii="Calibri" w:hAnsi="Calibri"/>
          <w:b/>
          <w:color w:val="2563EB"/>
          <w:sz w:val="26"/>
        </w:rPr>
        <w:t>5.3 Promotional Confound De-Biasing</w:t>
      </w:r>
    </w:p>
    <w:p>
      <w:pPr>
        <w:spacing w:after="120" w:line="276" w:lineRule="auto"/>
      </w:pPr>
      <w:r>
        <w:rPr>
          <w:rFonts w:ascii="Calibri" w:hAnsi="Calibri"/>
          <w:color w:val="1E293B"/>
          <w:sz w:val="22"/>
        </w:rPr>
        <w:t>A common pitfall in grocery analogue forecasting is copying historical items that ran heavy introductory trade discounts (e.g., 25%–35% off). If the new cold-start item launches at regular non-promoted price, raw comps will severely over-forecast demand. DemandLens implements an explicit de-biasing formula:</w:t>
        <w:br/>
        <w:t>Y_debiased = Y_raw / (1.0 + PromoLift)</w:t>
        <w:br/>
        <w:t>where PromoLift is the estimated introductory promotion lift (default 28%). Planners can toggle de-biasing live in the UI.</w:t>
      </w:r>
    </w:p>
    <w:p>
      <w:pPr>
        <w:spacing w:before="240" w:after="80"/>
      </w:pPr>
      <w:r>
        <w:rPr>
          <w:rFonts w:ascii="Calibri" w:hAnsi="Calibri"/>
          <w:b/>
          <w:color w:val="2563EB"/>
          <w:sz w:val="26"/>
        </w:rPr>
        <w:t>5.4 Disruption Scenarios Simulation Engine</w:t>
      </w:r>
    </w:p>
    <w:p>
      <w:pPr>
        <w:spacing w:after="120" w:line="276" w:lineRule="auto"/>
      </w:pPr>
      <w:r>
        <w:rPr>
          <w:rFonts w:ascii="Calibri" w:hAnsi="Calibri"/>
          <w:color w:val="1E293B"/>
          <w:sz w:val="22"/>
        </w:rPr>
        <w:t>To stress-test launch plans before purchase order commitment, DemandLens models three supply chain shocks:</w:t>
        <w:br/>
        <w:t>1. Supplier Delay: Shifts the launch window forward by N weeks (weeks 1..N zeroed), applies promotional momentum decay ((1 - alpha)^N with alpha=0.08/wk), and calculates perishability spoilage on pre-ordered inventory based on shelf life.</w:t>
        <w:br/>
        <w:t>2. Capacity Ceilings: Clips shipments to a physical maximum throughput ceiling, quantifying lost sales and tracking rollover backlog spillover.</w:t>
        <w:br/>
        <w:t>3. Viral Demand Surges: Injects sudden k-times demand spikes, models subsequent pantry-loading exhaustion, and calculates the exact emergency safety stock replenishment buffer required.</w:t>
      </w:r>
    </w:p>
    <w:p>
      <w:pPr>
        <w:spacing w:before="240" w:after="80"/>
      </w:pPr>
      <w:r>
        <w:rPr>
          <w:rFonts w:ascii="Calibri" w:hAnsi="Calibri"/>
          <w:b/>
          <w:color w:val="2563EB"/>
          <w:sz w:val="26"/>
        </w:rPr>
        <w:t>5.5 Non-Repudiation Audit Ledger</w:t>
      </w:r>
    </w:p>
    <w:p>
      <w:pPr>
        <w:spacing w:after="120" w:line="276" w:lineRule="auto"/>
      </w:pPr>
      <w:r>
        <w:rPr>
          <w:rFonts w:ascii="Calibri" w:hAnsi="Calibri"/>
          <w:color w:val="1E293B"/>
          <w:sz w:val="22"/>
        </w:rPr>
        <w:t>Every algorithmic recommendation and human override is committed to the plan_changes table. SQLite BEFORE UPDATE and BEFORE DELETE triggers enforce immutability at the database engine level, rejecting unauthorized tampering.</w:t>
      </w:r>
    </w:p>
    <w:p>
      <w:pPr>
        <w:spacing w:before="360" w:after="160"/>
      </w:pPr>
      <w:r>
        <w:rPr>
          <w:rFonts w:ascii="Calibri" w:hAnsi="Calibri"/>
          <w:b/>
          <w:color w:val="0F172A"/>
          <w:sz w:val="32"/>
        </w:rPr>
        <w:t>6. Quantitative Results &amp; Evaluation</w:t>
      </w:r>
    </w:p>
    <w:p>
      <w:pPr>
        <w:spacing w:after="120" w:line="276" w:lineRule="auto"/>
      </w:pPr>
      <w:r>
        <w:rPr>
          <w:rFonts w:ascii="Calibri" w:hAnsi="Calibri"/>
          <w:color w:val="1E293B"/>
          <w:sz w:val="22"/>
        </w:rPr>
        <w:t>The system was evaluated against the Naive Category Baseline across 12 held-out cold-start test products over the full 8-week launch window: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r>
              <w:rPr>
                <w:rFonts w:ascii="Calibri" w:hAnsi="Calibri"/>
                <w:b/>
                <w:color w:val="FFFFFF"/>
                <w:sz w:val="20"/>
              </w:rPr>
              <w:t>Model Benchmark</w:t>
            </w:r>
          </w:p>
        </w:tc>
        <w:tc>
          <w:tcPr>
            <w:tcW w:type="dxa" w:w="2340"/>
            <w:shd w:fill="1E293B"/>
            <w:tcMar>
              <w:top w:w="120" w:type="dxa"/>
              <w:bottom w:w="120" w:type="dxa"/>
              <w:left w:w="150" w:type="dxa"/>
              <w:right w:w="150" w:type="dxa"/>
            </w:tcMar>
          </w:tcPr>
          <w:p>
            <w:r>
              <w:rPr>
                <w:rFonts w:ascii="Calibri" w:hAnsi="Calibri"/>
                <w:b/>
                <w:color w:val="FFFFFF"/>
                <w:sz w:val="20"/>
              </w:rPr>
              <w:t>WAPE (Weighted Error)</w:t>
            </w:r>
          </w:p>
        </w:tc>
        <w:tc>
          <w:tcPr>
            <w:tcW w:type="dxa" w:w="2340"/>
            <w:shd w:fill="1E293B"/>
            <w:tcMar>
              <w:top w:w="120" w:type="dxa"/>
              <w:bottom w:w="120" w:type="dxa"/>
              <w:left w:w="150" w:type="dxa"/>
              <w:right w:w="150" w:type="dxa"/>
            </w:tcMar>
          </w:tcPr>
          <w:p>
            <w:r>
              <w:rPr>
                <w:rFonts w:ascii="Calibri" w:hAnsi="Calibri"/>
                <w:b/>
                <w:color w:val="FFFFFF"/>
                <w:sz w:val="20"/>
              </w:rPr>
              <w:t>MAPE</w:t>
            </w:r>
          </w:p>
        </w:tc>
        <w:tc>
          <w:tcPr>
            <w:tcW w:type="dxa" w:w="2340"/>
            <w:shd w:fill="1E293B"/>
            <w:tcMar>
              <w:top w:w="120" w:type="dxa"/>
              <w:bottom w:w="120" w:type="dxa"/>
              <w:left w:w="150" w:type="dxa"/>
              <w:right w:w="150" w:type="dxa"/>
            </w:tcMar>
          </w:tcPr>
          <w:p>
            <w:r>
              <w:rPr>
                <w:rFonts w:ascii="Calibri" w:hAnsi="Calibri"/>
                <w:b/>
                <w:color w:val="FFFFFF"/>
                <w:sz w:val="20"/>
              </w:rPr>
              <w:t>Accuracy Gain / Impact</w:t>
            </w:r>
          </w:p>
        </w:tc>
      </w:tr>
      <w:tr>
        <w:tc>
          <w:tcPr>
            <w:tcW w:type="dxa" w:w="2340"/>
            <w:shd w:fill="FFFFFF"/>
            <w:tcMar>
              <w:top w:w="100" w:type="dxa"/>
              <w:bottom w:w="100" w:type="dxa"/>
              <w:left w:w="120" w:type="dxa"/>
              <w:right w:w="120" w:type="dxa"/>
            </w:tcMar>
          </w:tcPr>
          <w:p>
            <w:r>
              <w:rPr>
                <w:rFonts w:ascii="Calibri" w:hAnsi="Calibri"/>
                <w:b/>
                <w:sz w:val="19"/>
              </w:rPr>
              <w:t>Naive Baseline Forecaster</w:t>
            </w:r>
          </w:p>
        </w:tc>
        <w:tc>
          <w:tcPr>
            <w:tcW w:type="dxa" w:w="2340"/>
            <w:shd w:fill="FFFFFF"/>
            <w:tcMar>
              <w:top w:w="100" w:type="dxa"/>
              <w:bottom w:w="100" w:type="dxa"/>
              <w:left w:w="120" w:type="dxa"/>
              <w:right w:w="120" w:type="dxa"/>
            </w:tcMar>
          </w:tcPr>
          <w:p>
            <w:r>
              <w:rPr>
                <w:rFonts w:ascii="Calibri" w:hAnsi="Calibri"/>
                <w:b/>
                <w:color w:val="1E293B"/>
                <w:sz w:val="19"/>
              </w:rPr>
              <w:t>31.82%</w:t>
            </w:r>
          </w:p>
        </w:tc>
        <w:tc>
          <w:tcPr>
            <w:tcW w:type="dxa" w:w="2340"/>
            <w:shd w:fill="FFFFFF"/>
            <w:tcMar>
              <w:top w:w="100" w:type="dxa"/>
              <w:bottom w:w="100" w:type="dxa"/>
              <w:left w:w="120" w:type="dxa"/>
              <w:right w:w="120" w:type="dxa"/>
            </w:tcMar>
          </w:tcPr>
          <w:p>
            <w:r>
              <w:rPr>
                <w:rFonts w:ascii="Calibri" w:hAnsi="Calibri"/>
                <w:sz w:val="19"/>
              </w:rPr>
              <w:t>40.12%</w:t>
            </w:r>
          </w:p>
        </w:tc>
        <w:tc>
          <w:tcPr>
            <w:tcW w:type="dxa" w:w="2340"/>
            <w:shd w:fill="FFFFFF"/>
            <w:tcMar>
              <w:top w:w="100" w:type="dxa"/>
              <w:bottom w:w="100" w:type="dxa"/>
              <w:left w:w="120" w:type="dxa"/>
              <w:right w:w="120" w:type="dxa"/>
            </w:tcMar>
          </w:tcPr>
          <w:p>
            <w:r>
              <w:rPr>
                <w:rFonts w:ascii="Calibri" w:hAnsi="Calibri"/>
                <w:sz w:val="19"/>
              </w:rPr>
              <w:t>Empirical benchmark (Category + Price Tier Avg)</w:t>
            </w:r>
          </w:p>
        </w:tc>
      </w:tr>
      <w:tr>
        <w:tc>
          <w:tcPr>
            <w:tcW w:type="dxa" w:w="2340"/>
            <w:shd w:fill="F8FAFC"/>
            <w:tcMar>
              <w:top w:w="100" w:type="dxa"/>
              <w:bottom w:w="100" w:type="dxa"/>
              <w:left w:w="120" w:type="dxa"/>
              <w:right w:w="120" w:type="dxa"/>
            </w:tcMar>
          </w:tcPr>
          <w:p>
            <w:r>
              <w:rPr>
                <w:rFonts w:ascii="Calibri" w:hAnsi="Calibri"/>
                <w:b/>
                <w:sz w:val="19"/>
              </w:rPr>
              <w:t>Analogue Selector (DemandLens)</w:t>
            </w:r>
          </w:p>
        </w:tc>
        <w:tc>
          <w:tcPr>
            <w:tcW w:type="dxa" w:w="2340"/>
            <w:shd w:fill="F8FAFC"/>
            <w:tcMar>
              <w:top w:w="100" w:type="dxa"/>
              <w:bottom w:w="100" w:type="dxa"/>
              <w:left w:w="120" w:type="dxa"/>
              <w:right w:w="120" w:type="dxa"/>
            </w:tcMar>
          </w:tcPr>
          <w:p>
            <w:r>
              <w:rPr>
                <w:rFonts w:ascii="Calibri" w:hAnsi="Calibri"/>
                <w:b/>
                <w:color w:val="059669"/>
                <w:sz w:val="19"/>
              </w:rPr>
              <w:t>25.36%</w:t>
            </w:r>
          </w:p>
        </w:tc>
        <w:tc>
          <w:tcPr>
            <w:tcW w:type="dxa" w:w="2340"/>
            <w:shd w:fill="F8FAFC"/>
            <w:tcMar>
              <w:top w:w="100" w:type="dxa"/>
              <w:bottom w:w="100" w:type="dxa"/>
              <w:left w:w="120" w:type="dxa"/>
              <w:right w:w="120" w:type="dxa"/>
            </w:tcMar>
          </w:tcPr>
          <w:p>
            <w:r>
              <w:rPr>
                <w:rFonts w:ascii="Calibri" w:hAnsi="Calibri"/>
                <w:sz w:val="19"/>
              </w:rPr>
              <w:t>32.69%</w:t>
            </w:r>
          </w:p>
        </w:tc>
        <w:tc>
          <w:tcPr>
            <w:tcW w:type="dxa" w:w="2340"/>
            <w:shd w:fill="F8FAFC"/>
            <w:tcMar>
              <w:top w:w="100" w:type="dxa"/>
              <w:bottom w:w="100" w:type="dxa"/>
              <w:left w:w="120" w:type="dxa"/>
              <w:right w:w="120" w:type="dxa"/>
            </w:tcMar>
          </w:tcPr>
          <w:p>
            <w:r>
              <w:rPr>
                <w:rFonts w:ascii="Calibri" w:hAnsi="Calibri"/>
                <w:sz w:val="19"/>
              </w:rPr>
              <w:t>+6.46% pts improvement (20.3% error reduction)</w:t>
            </w:r>
          </w:p>
        </w:tc>
      </w:tr>
    </w:tbl>
    <w:p>
      <w:pPr>
        <w:spacing w:after="200"/>
      </w:pPr>
    </w:p>
    <w:p>
      <w:pPr>
        <w:spacing w:before="240" w:after="80"/>
      </w:pPr>
      <w:r>
        <w:rPr>
          <w:rFonts w:ascii="Calibri" w:hAnsi="Calibri"/>
          <w:b/>
          <w:color w:val="2563EB"/>
          <w:sz w:val="26"/>
        </w:rPr>
        <w:t>Week-by-Week WAPE Accuracy Profile</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20" w:type="dxa"/>
              <w:right w:w="120" w:type="dxa"/>
            </w:tcMar>
          </w:tcPr>
          <w:p>
            <w:r>
              <w:rPr>
                <w:rFonts w:ascii="Calibri" w:hAnsi="Calibri"/>
                <w:b/>
                <w:color w:val="FFFFFF"/>
                <w:sz w:val="19"/>
              </w:rPr>
              <w:t>Launch Horizon Week</w:t>
            </w:r>
          </w:p>
        </w:tc>
        <w:tc>
          <w:tcPr>
            <w:tcW w:type="dxa" w:w="2340"/>
            <w:shd w:fill="1E293B"/>
            <w:tcMar>
              <w:top w:w="100" w:type="dxa"/>
              <w:bottom w:w="100" w:type="dxa"/>
              <w:left w:w="120" w:type="dxa"/>
              <w:right w:w="120" w:type="dxa"/>
            </w:tcMar>
          </w:tcPr>
          <w:p>
            <w:r>
              <w:rPr>
                <w:rFonts w:ascii="Calibri" w:hAnsi="Calibri"/>
                <w:b/>
                <w:color w:val="FFFFFF"/>
                <w:sz w:val="19"/>
              </w:rPr>
              <w:t>Baseline WAPE</w:t>
            </w:r>
          </w:p>
        </w:tc>
        <w:tc>
          <w:tcPr>
            <w:tcW w:type="dxa" w:w="2340"/>
            <w:shd w:fill="1E293B"/>
            <w:tcMar>
              <w:top w:w="100" w:type="dxa"/>
              <w:bottom w:w="100" w:type="dxa"/>
              <w:left w:w="120" w:type="dxa"/>
              <w:right w:w="120" w:type="dxa"/>
            </w:tcMar>
          </w:tcPr>
          <w:p>
            <w:r>
              <w:rPr>
                <w:rFonts w:ascii="Calibri" w:hAnsi="Calibri"/>
                <w:b/>
                <w:color w:val="FFFFFF"/>
                <w:sz w:val="19"/>
              </w:rPr>
              <w:t>DemandLens WAPE</w:t>
            </w:r>
          </w:p>
        </w:tc>
        <w:tc>
          <w:tcPr>
            <w:tcW w:type="dxa" w:w="2340"/>
            <w:shd w:fill="1E293B"/>
            <w:tcMar>
              <w:top w:w="100" w:type="dxa"/>
              <w:bottom w:w="100" w:type="dxa"/>
              <w:left w:w="120" w:type="dxa"/>
              <w:right w:w="120" w:type="dxa"/>
            </w:tcMar>
          </w:tcPr>
          <w:p>
            <w:r>
              <w:rPr>
                <w:rFonts w:ascii="Calibri" w:hAnsi="Calibri"/>
                <w:b/>
                <w:color w:val="FFFFFF"/>
                <w:sz w:val="19"/>
              </w:rPr>
              <w:t>Improvement</w:t>
            </w:r>
          </w:p>
        </w:tc>
      </w:tr>
      <w:tr>
        <w:tc>
          <w:tcPr>
            <w:tcW w:type="dxa" w:w="2340"/>
            <w:shd w:fill="FFFFFF"/>
            <w:tcMar>
              <w:top w:w="80" w:type="dxa"/>
              <w:bottom w:w="80" w:type="dxa"/>
              <w:left w:w="100" w:type="dxa"/>
              <w:right w:w="100" w:type="dxa"/>
            </w:tcMar>
          </w:tcPr>
          <w:p>
            <w:r>
              <w:rPr>
                <w:rFonts w:ascii="Calibri" w:hAnsi="Calibri"/>
                <w:sz w:val="18"/>
              </w:rPr>
              <w:t>W1 (Initial Stocking Surge)</w:t>
            </w:r>
          </w:p>
        </w:tc>
        <w:tc>
          <w:tcPr>
            <w:tcW w:type="dxa" w:w="2340"/>
            <w:shd w:fill="FFFFFF"/>
            <w:tcMar>
              <w:top w:w="80" w:type="dxa"/>
              <w:bottom w:w="80" w:type="dxa"/>
              <w:left w:w="100" w:type="dxa"/>
              <w:right w:w="100" w:type="dxa"/>
            </w:tcMar>
          </w:tcPr>
          <w:p>
            <w:r>
              <w:rPr>
                <w:rFonts w:ascii="Calibri" w:hAnsi="Calibri"/>
                <w:sz w:val="18"/>
              </w:rPr>
              <w:t>27.63%</w:t>
            </w:r>
          </w:p>
        </w:tc>
        <w:tc>
          <w:tcPr>
            <w:tcW w:type="dxa" w:w="2340"/>
            <w:shd w:fill="FFFFFF"/>
            <w:tcMar>
              <w:top w:w="80" w:type="dxa"/>
              <w:bottom w:w="80" w:type="dxa"/>
              <w:left w:w="100" w:type="dxa"/>
              <w:right w:w="100" w:type="dxa"/>
            </w:tcMar>
          </w:tcPr>
          <w:p>
            <w:r>
              <w:rPr>
                <w:rFonts w:ascii="Calibri" w:hAnsi="Calibri"/>
                <w:sz w:val="18"/>
              </w:rPr>
              <w:t>21.27%</w:t>
            </w:r>
          </w:p>
        </w:tc>
        <w:tc>
          <w:tcPr>
            <w:tcW w:type="dxa" w:w="2340"/>
            <w:shd w:fill="FFFFFF"/>
            <w:tcMar>
              <w:top w:w="80" w:type="dxa"/>
              <w:bottom w:w="80" w:type="dxa"/>
              <w:left w:w="100" w:type="dxa"/>
              <w:right w:w="100" w:type="dxa"/>
            </w:tcMar>
          </w:tcPr>
          <w:p>
            <w:r>
              <w:rPr>
                <w:rFonts w:ascii="Calibri" w:hAnsi="Calibri"/>
                <w:b/>
                <w:color w:val="059669"/>
                <w:sz w:val="18"/>
              </w:rPr>
              <w:t>+6.36% pts</w:t>
            </w:r>
          </w:p>
        </w:tc>
      </w:tr>
      <w:tr>
        <w:tc>
          <w:tcPr>
            <w:tcW w:type="dxa" w:w="2340"/>
            <w:shd w:fill="F8FAFC"/>
            <w:tcMar>
              <w:top w:w="80" w:type="dxa"/>
              <w:bottom w:w="80" w:type="dxa"/>
              <w:left w:w="100" w:type="dxa"/>
              <w:right w:w="100" w:type="dxa"/>
            </w:tcMar>
          </w:tcPr>
          <w:p>
            <w:r>
              <w:rPr>
                <w:rFonts w:ascii="Calibri" w:hAnsi="Calibri"/>
                <w:sz w:val="18"/>
              </w:rPr>
              <w:t>W2 (Early Repeat / Promo)</w:t>
            </w:r>
          </w:p>
        </w:tc>
        <w:tc>
          <w:tcPr>
            <w:tcW w:type="dxa" w:w="2340"/>
            <w:shd w:fill="F8FAFC"/>
            <w:tcMar>
              <w:top w:w="80" w:type="dxa"/>
              <w:bottom w:w="80" w:type="dxa"/>
              <w:left w:w="100" w:type="dxa"/>
              <w:right w:w="100" w:type="dxa"/>
            </w:tcMar>
          </w:tcPr>
          <w:p>
            <w:r>
              <w:rPr>
                <w:rFonts w:ascii="Calibri" w:hAnsi="Calibri"/>
                <w:sz w:val="18"/>
              </w:rPr>
              <w:t>31.81%</w:t>
            </w:r>
          </w:p>
        </w:tc>
        <w:tc>
          <w:tcPr>
            <w:tcW w:type="dxa" w:w="2340"/>
            <w:shd w:fill="F8FAFC"/>
            <w:tcMar>
              <w:top w:w="80" w:type="dxa"/>
              <w:bottom w:w="80" w:type="dxa"/>
              <w:left w:w="100" w:type="dxa"/>
              <w:right w:w="100" w:type="dxa"/>
            </w:tcMar>
          </w:tcPr>
          <w:p>
            <w:r>
              <w:rPr>
                <w:rFonts w:ascii="Calibri" w:hAnsi="Calibri"/>
                <w:sz w:val="18"/>
              </w:rPr>
              <w:t>22.12%</w:t>
            </w:r>
          </w:p>
        </w:tc>
        <w:tc>
          <w:tcPr>
            <w:tcW w:type="dxa" w:w="2340"/>
            <w:shd w:fill="F8FAFC"/>
            <w:tcMar>
              <w:top w:w="80" w:type="dxa"/>
              <w:bottom w:w="80" w:type="dxa"/>
              <w:left w:w="100" w:type="dxa"/>
              <w:right w:w="100" w:type="dxa"/>
            </w:tcMar>
          </w:tcPr>
          <w:p>
            <w:r>
              <w:rPr>
                <w:rFonts w:ascii="Calibri" w:hAnsi="Calibri"/>
                <w:b/>
                <w:color w:val="059669"/>
                <w:sz w:val="18"/>
              </w:rPr>
              <w:t>+9.69% pts</w:t>
            </w:r>
          </w:p>
        </w:tc>
      </w:tr>
      <w:tr>
        <w:tc>
          <w:tcPr>
            <w:tcW w:type="dxa" w:w="2340"/>
            <w:shd w:fill="FFFFFF"/>
            <w:tcMar>
              <w:top w:w="80" w:type="dxa"/>
              <w:bottom w:w="80" w:type="dxa"/>
              <w:left w:w="100" w:type="dxa"/>
              <w:right w:w="100" w:type="dxa"/>
            </w:tcMar>
          </w:tcPr>
          <w:p>
            <w:r>
              <w:rPr>
                <w:rFonts w:ascii="Calibri" w:hAnsi="Calibri"/>
                <w:sz w:val="18"/>
              </w:rPr>
              <w:t>W3 (Post-Launch Dip)</w:t>
            </w:r>
          </w:p>
        </w:tc>
        <w:tc>
          <w:tcPr>
            <w:tcW w:type="dxa" w:w="2340"/>
            <w:shd w:fill="FFFFFF"/>
            <w:tcMar>
              <w:top w:w="80" w:type="dxa"/>
              <w:bottom w:w="80" w:type="dxa"/>
              <w:left w:w="100" w:type="dxa"/>
              <w:right w:w="100" w:type="dxa"/>
            </w:tcMar>
          </w:tcPr>
          <w:p>
            <w:r>
              <w:rPr>
                <w:rFonts w:ascii="Calibri" w:hAnsi="Calibri"/>
                <w:sz w:val="18"/>
              </w:rPr>
              <w:t>45.24%</w:t>
            </w:r>
          </w:p>
        </w:tc>
        <w:tc>
          <w:tcPr>
            <w:tcW w:type="dxa" w:w="2340"/>
            <w:shd w:fill="FFFFFF"/>
            <w:tcMar>
              <w:top w:w="80" w:type="dxa"/>
              <w:bottom w:w="80" w:type="dxa"/>
              <w:left w:w="100" w:type="dxa"/>
              <w:right w:w="100" w:type="dxa"/>
            </w:tcMar>
          </w:tcPr>
          <w:p>
            <w:r>
              <w:rPr>
                <w:rFonts w:ascii="Calibri" w:hAnsi="Calibri"/>
                <w:sz w:val="18"/>
              </w:rPr>
              <w:t>40.23%</w:t>
            </w:r>
          </w:p>
        </w:tc>
        <w:tc>
          <w:tcPr>
            <w:tcW w:type="dxa" w:w="2340"/>
            <w:shd w:fill="FFFFFF"/>
            <w:tcMar>
              <w:top w:w="80" w:type="dxa"/>
              <w:bottom w:w="80" w:type="dxa"/>
              <w:left w:w="100" w:type="dxa"/>
              <w:right w:w="100" w:type="dxa"/>
            </w:tcMar>
          </w:tcPr>
          <w:p>
            <w:r>
              <w:rPr>
                <w:rFonts w:ascii="Calibri" w:hAnsi="Calibri"/>
                <w:b/>
                <w:color w:val="059669"/>
                <w:sz w:val="18"/>
              </w:rPr>
              <w:t>+5.01% pts</w:t>
            </w:r>
          </w:p>
        </w:tc>
      </w:tr>
      <w:tr>
        <w:tc>
          <w:tcPr>
            <w:tcW w:type="dxa" w:w="2340"/>
            <w:shd w:fill="F8FAFC"/>
            <w:tcMar>
              <w:top w:w="80" w:type="dxa"/>
              <w:bottom w:w="80" w:type="dxa"/>
              <w:left w:w="100" w:type="dxa"/>
              <w:right w:w="100" w:type="dxa"/>
            </w:tcMar>
          </w:tcPr>
          <w:p>
            <w:r>
              <w:rPr>
                <w:rFonts w:ascii="Calibri" w:hAnsi="Calibri"/>
                <w:sz w:val="18"/>
              </w:rPr>
              <w:t>W4 (Stabilization)</w:t>
            </w:r>
          </w:p>
        </w:tc>
        <w:tc>
          <w:tcPr>
            <w:tcW w:type="dxa" w:w="2340"/>
            <w:shd w:fill="F8FAFC"/>
            <w:tcMar>
              <w:top w:w="80" w:type="dxa"/>
              <w:bottom w:w="80" w:type="dxa"/>
              <w:left w:w="100" w:type="dxa"/>
              <w:right w:w="100" w:type="dxa"/>
            </w:tcMar>
          </w:tcPr>
          <w:p>
            <w:r>
              <w:rPr>
                <w:rFonts w:ascii="Calibri" w:hAnsi="Calibri"/>
                <w:sz w:val="18"/>
              </w:rPr>
              <w:t>30.77%</w:t>
            </w:r>
          </w:p>
        </w:tc>
        <w:tc>
          <w:tcPr>
            <w:tcW w:type="dxa" w:w="2340"/>
            <w:shd w:fill="F8FAFC"/>
            <w:tcMar>
              <w:top w:w="80" w:type="dxa"/>
              <w:bottom w:w="80" w:type="dxa"/>
              <w:left w:w="100" w:type="dxa"/>
              <w:right w:w="100" w:type="dxa"/>
            </w:tcMar>
          </w:tcPr>
          <w:p>
            <w:r>
              <w:rPr>
                <w:rFonts w:ascii="Calibri" w:hAnsi="Calibri"/>
                <w:sz w:val="18"/>
              </w:rPr>
              <w:t>22.47%</w:t>
            </w:r>
          </w:p>
        </w:tc>
        <w:tc>
          <w:tcPr>
            <w:tcW w:type="dxa" w:w="2340"/>
            <w:shd w:fill="F8FAFC"/>
            <w:tcMar>
              <w:top w:w="80" w:type="dxa"/>
              <w:bottom w:w="80" w:type="dxa"/>
              <w:left w:w="100" w:type="dxa"/>
              <w:right w:w="100" w:type="dxa"/>
            </w:tcMar>
          </w:tcPr>
          <w:p>
            <w:r>
              <w:rPr>
                <w:rFonts w:ascii="Calibri" w:hAnsi="Calibri"/>
                <w:b/>
                <w:color w:val="059669"/>
                <w:sz w:val="18"/>
              </w:rPr>
              <w:t>+8.30% pts</w:t>
            </w:r>
          </w:p>
        </w:tc>
      </w:tr>
      <w:tr>
        <w:tc>
          <w:tcPr>
            <w:tcW w:type="dxa" w:w="2340"/>
            <w:shd w:fill="FFFFFF"/>
            <w:tcMar>
              <w:top w:w="80" w:type="dxa"/>
              <w:bottom w:w="80" w:type="dxa"/>
              <w:left w:w="100" w:type="dxa"/>
              <w:right w:w="100" w:type="dxa"/>
            </w:tcMar>
          </w:tcPr>
          <w:p>
            <w:r>
              <w:rPr>
                <w:rFonts w:ascii="Calibri" w:hAnsi="Calibri"/>
                <w:sz w:val="18"/>
              </w:rPr>
              <w:t>W5 (Mid-Window Adjustment)</w:t>
            </w:r>
          </w:p>
        </w:tc>
        <w:tc>
          <w:tcPr>
            <w:tcW w:type="dxa" w:w="2340"/>
            <w:shd w:fill="FFFFFF"/>
            <w:tcMar>
              <w:top w:w="80" w:type="dxa"/>
              <w:bottom w:w="80" w:type="dxa"/>
              <w:left w:w="100" w:type="dxa"/>
              <w:right w:w="100" w:type="dxa"/>
            </w:tcMar>
          </w:tcPr>
          <w:p>
            <w:r>
              <w:rPr>
                <w:rFonts w:ascii="Calibri" w:hAnsi="Calibri"/>
                <w:sz w:val="18"/>
              </w:rPr>
              <w:t>26.09%</w:t>
            </w:r>
          </w:p>
        </w:tc>
        <w:tc>
          <w:tcPr>
            <w:tcW w:type="dxa" w:w="2340"/>
            <w:shd w:fill="FFFFFF"/>
            <w:tcMar>
              <w:top w:w="80" w:type="dxa"/>
              <w:bottom w:w="80" w:type="dxa"/>
              <w:left w:w="100" w:type="dxa"/>
              <w:right w:w="100" w:type="dxa"/>
            </w:tcMar>
          </w:tcPr>
          <w:p>
            <w:r>
              <w:rPr>
                <w:rFonts w:ascii="Calibri" w:hAnsi="Calibri"/>
                <w:sz w:val="18"/>
              </w:rPr>
              <w:t>30.28%</w:t>
            </w:r>
          </w:p>
        </w:tc>
        <w:tc>
          <w:tcPr>
            <w:tcW w:type="dxa" w:w="2340"/>
            <w:shd w:fill="FFFFFF"/>
            <w:tcMar>
              <w:top w:w="80" w:type="dxa"/>
              <w:bottom w:w="80" w:type="dxa"/>
              <w:left w:w="100" w:type="dxa"/>
              <w:right w:w="100" w:type="dxa"/>
            </w:tcMar>
          </w:tcPr>
          <w:p>
            <w:r>
              <w:rPr>
                <w:rFonts w:ascii="Calibri" w:hAnsi="Calibri"/>
                <w:b/>
                <w:color w:val="DC2626"/>
                <w:sz w:val="18"/>
              </w:rPr>
              <w:t>-4.19% pts</w:t>
            </w:r>
          </w:p>
        </w:tc>
      </w:tr>
      <w:tr>
        <w:tc>
          <w:tcPr>
            <w:tcW w:type="dxa" w:w="2340"/>
            <w:shd w:fill="F8FAFC"/>
            <w:tcMar>
              <w:top w:w="80" w:type="dxa"/>
              <w:bottom w:w="80" w:type="dxa"/>
              <w:left w:w="100" w:type="dxa"/>
              <w:right w:w="100" w:type="dxa"/>
            </w:tcMar>
          </w:tcPr>
          <w:p>
            <w:r>
              <w:rPr>
                <w:rFonts w:ascii="Calibri" w:hAnsi="Calibri"/>
                <w:sz w:val="18"/>
              </w:rPr>
              <w:t>W6 (Steady-State Build)</w:t>
            </w:r>
          </w:p>
        </w:tc>
        <w:tc>
          <w:tcPr>
            <w:tcW w:type="dxa" w:w="2340"/>
            <w:shd w:fill="F8FAFC"/>
            <w:tcMar>
              <w:top w:w="80" w:type="dxa"/>
              <w:bottom w:w="80" w:type="dxa"/>
              <w:left w:w="100" w:type="dxa"/>
              <w:right w:w="100" w:type="dxa"/>
            </w:tcMar>
          </w:tcPr>
          <w:p>
            <w:r>
              <w:rPr>
                <w:rFonts w:ascii="Calibri" w:hAnsi="Calibri"/>
                <w:sz w:val="18"/>
              </w:rPr>
              <w:t>32.55%</w:t>
            </w:r>
          </w:p>
        </w:tc>
        <w:tc>
          <w:tcPr>
            <w:tcW w:type="dxa" w:w="2340"/>
            <w:shd w:fill="F8FAFC"/>
            <w:tcMar>
              <w:top w:w="80" w:type="dxa"/>
              <w:bottom w:w="80" w:type="dxa"/>
              <w:left w:w="100" w:type="dxa"/>
              <w:right w:w="100" w:type="dxa"/>
            </w:tcMar>
          </w:tcPr>
          <w:p>
            <w:r>
              <w:rPr>
                <w:rFonts w:ascii="Calibri" w:hAnsi="Calibri"/>
                <w:sz w:val="18"/>
              </w:rPr>
              <w:t>24.65%</w:t>
            </w:r>
          </w:p>
        </w:tc>
        <w:tc>
          <w:tcPr>
            <w:tcW w:type="dxa" w:w="2340"/>
            <w:shd w:fill="F8FAFC"/>
            <w:tcMar>
              <w:top w:w="80" w:type="dxa"/>
              <w:bottom w:w="80" w:type="dxa"/>
              <w:left w:w="100" w:type="dxa"/>
              <w:right w:w="100" w:type="dxa"/>
            </w:tcMar>
          </w:tcPr>
          <w:p>
            <w:r>
              <w:rPr>
                <w:rFonts w:ascii="Calibri" w:hAnsi="Calibri"/>
                <w:b/>
                <w:color w:val="059669"/>
                <w:sz w:val="18"/>
              </w:rPr>
              <w:t>+7.90% pts</w:t>
            </w:r>
          </w:p>
        </w:tc>
      </w:tr>
      <w:tr>
        <w:tc>
          <w:tcPr>
            <w:tcW w:type="dxa" w:w="2340"/>
            <w:shd w:fill="FFFFFF"/>
            <w:tcMar>
              <w:top w:w="80" w:type="dxa"/>
              <w:bottom w:w="80" w:type="dxa"/>
              <w:left w:w="100" w:type="dxa"/>
              <w:right w:w="100" w:type="dxa"/>
            </w:tcMar>
          </w:tcPr>
          <w:p>
            <w:r>
              <w:rPr>
                <w:rFonts w:ascii="Calibri" w:hAnsi="Calibri"/>
                <w:sz w:val="18"/>
              </w:rPr>
              <w:t>W7 (Steady-State Velocity)</w:t>
            </w:r>
          </w:p>
        </w:tc>
        <w:tc>
          <w:tcPr>
            <w:tcW w:type="dxa" w:w="2340"/>
            <w:shd w:fill="FFFFFF"/>
            <w:tcMar>
              <w:top w:w="80" w:type="dxa"/>
              <w:bottom w:w="80" w:type="dxa"/>
              <w:left w:w="100" w:type="dxa"/>
              <w:right w:w="100" w:type="dxa"/>
            </w:tcMar>
          </w:tcPr>
          <w:p>
            <w:r>
              <w:rPr>
                <w:rFonts w:ascii="Calibri" w:hAnsi="Calibri"/>
                <w:sz w:val="18"/>
              </w:rPr>
              <w:t>30.03%</w:t>
            </w:r>
          </w:p>
        </w:tc>
        <w:tc>
          <w:tcPr>
            <w:tcW w:type="dxa" w:w="2340"/>
            <w:shd w:fill="FFFFFF"/>
            <w:tcMar>
              <w:top w:w="80" w:type="dxa"/>
              <w:bottom w:w="80" w:type="dxa"/>
              <w:left w:w="100" w:type="dxa"/>
              <w:right w:w="100" w:type="dxa"/>
            </w:tcMar>
          </w:tcPr>
          <w:p>
            <w:r>
              <w:rPr>
                <w:rFonts w:ascii="Calibri" w:hAnsi="Calibri"/>
                <w:sz w:val="18"/>
              </w:rPr>
              <w:t>20.18%</w:t>
            </w:r>
          </w:p>
        </w:tc>
        <w:tc>
          <w:tcPr>
            <w:tcW w:type="dxa" w:w="2340"/>
            <w:shd w:fill="FFFFFF"/>
            <w:tcMar>
              <w:top w:w="80" w:type="dxa"/>
              <w:bottom w:w="80" w:type="dxa"/>
              <w:left w:w="100" w:type="dxa"/>
              <w:right w:w="100" w:type="dxa"/>
            </w:tcMar>
          </w:tcPr>
          <w:p>
            <w:r>
              <w:rPr>
                <w:rFonts w:ascii="Calibri" w:hAnsi="Calibri"/>
                <w:b/>
                <w:color w:val="059669"/>
                <w:sz w:val="18"/>
              </w:rPr>
              <w:t>+9.85% pts</w:t>
            </w:r>
          </w:p>
        </w:tc>
      </w:tr>
      <w:tr>
        <w:tc>
          <w:tcPr>
            <w:tcW w:type="dxa" w:w="2340"/>
            <w:shd w:fill="F8FAFC"/>
            <w:tcMar>
              <w:top w:w="80" w:type="dxa"/>
              <w:bottom w:w="80" w:type="dxa"/>
              <w:left w:w="100" w:type="dxa"/>
              <w:right w:w="100" w:type="dxa"/>
            </w:tcMar>
          </w:tcPr>
          <w:p>
            <w:r>
              <w:rPr>
                <w:rFonts w:ascii="Calibri" w:hAnsi="Calibri"/>
                <w:sz w:val="18"/>
              </w:rPr>
              <w:t>W8 (Mature Launch Horizon)</w:t>
            </w:r>
          </w:p>
        </w:tc>
        <w:tc>
          <w:tcPr>
            <w:tcW w:type="dxa" w:w="2340"/>
            <w:shd w:fill="F8FAFC"/>
            <w:tcMar>
              <w:top w:w="80" w:type="dxa"/>
              <w:bottom w:w="80" w:type="dxa"/>
              <w:left w:w="100" w:type="dxa"/>
              <w:right w:w="100" w:type="dxa"/>
            </w:tcMar>
          </w:tcPr>
          <w:p>
            <w:r>
              <w:rPr>
                <w:rFonts w:ascii="Calibri" w:hAnsi="Calibri"/>
                <w:sz w:val="18"/>
              </w:rPr>
              <w:t>32.90%</w:t>
            </w:r>
          </w:p>
        </w:tc>
        <w:tc>
          <w:tcPr>
            <w:tcW w:type="dxa" w:w="2340"/>
            <w:shd w:fill="F8FAFC"/>
            <w:tcMar>
              <w:top w:w="80" w:type="dxa"/>
              <w:bottom w:w="80" w:type="dxa"/>
              <w:left w:w="100" w:type="dxa"/>
              <w:right w:w="100" w:type="dxa"/>
            </w:tcMar>
          </w:tcPr>
          <w:p>
            <w:r>
              <w:rPr>
                <w:rFonts w:ascii="Calibri" w:hAnsi="Calibri"/>
                <w:sz w:val="18"/>
              </w:rPr>
              <w:t>25.77%</w:t>
            </w:r>
          </w:p>
        </w:tc>
        <w:tc>
          <w:tcPr>
            <w:tcW w:type="dxa" w:w="2340"/>
            <w:shd w:fill="F8FAFC"/>
            <w:tcMar>
              <w:top w:w="80" w:type="dxa"/>
              <w:bottom w:w="80" w:type="dxa"/>
              <w:left w:w="100" w:type="dxa"/>
              <w:right w:w="100" w:type="dxa"/>
            </w:tcMar>
          </w:tcPr>
          <w:p>
            <w:r>
              <w:rPr>
                <w:rFonts w:ascii="Calibri" w:hAnsi="Calibri"/>
                <w:b/>
                <w:color w:val="059669"/>
                <w:sz w:val="18"/>
              </w:rPr>
              <w:t>+7.13% pts</w:t>
            </w:r>
          </w:p>
        </w:tc>
      </w:tr>
    </w:tbl>
    <w:p>
      <w:pPr>
        <w:spacing w:after="240"/>
      </w:pPr>
    </w:p>
    <w:p>
      <w:pPr>
        <w:spacing w:before="360" w:after="160"/>
      </w:pPr>
      <w:r>
        <w:rPr>
          <w:rFonts w:ascii="Calibri" w:hAnsi="Calibri"/>
          <w:b/>
          <w:color w:val="0F172A"/>
          <w:sz w:val="32"/>
        </w:rPr>
        <w:t>7. Disruption Simulation &amp; Stress-Testing Experiments</w:t>
      </w:r>
    </w:p>
    <w:p>
      <w:pPr>
        <w:spacing w:after="120" w:line="276" w:lineRule="auto"/>
      </w:pPr>
      <w:r>
        <w:rPr>
          <w:rFonts w:ascii="Calibri" w:hAnsi="Calibri"/>
          <w:color w:val="1E293B"/>
          <w:sz w:val="22"/>
        </w:rPr>
        <w:t>To validate the decision-support system under volatile supply chain shocks, three empirical disruption scenarios were executed:</w:t>
      </w:r>
    </w:p>
    <w:p>
      <w:pPr>
        <w:pStyle w:val="ListBullet"/>
        <w:spacing w:after="80" w:line="276" w:lineRule="auto"/>
      </w:pPr>
      <w:r>
        <w:rPr>
          <w:rFonts w:ascii="Calibri" w:hAnsi="Calibri"/>
          <w:b/>
          <w:color w:val="1E293B"/>
          <w:sz w:val="22"/>
        </w:rPr>
        <w:t xml:space="preserve">Scenario 1 (Supplier Port Delay): </w:t>
      </w:r>
      <w:r>
        <w:rPr>
          <w:rFonts w:ascii="Calibri" w:hAnsi="Calibri"/>
          <w:color w:val="1E293B"/>
          <w:sz w:val="22"/>
        </w:rPr>
        <w:t>A 2-week inbound delivery delay on SKU PRD_NEW_083 zeroes initial Week 1–2 retail sales, risking 253.1 units in lost introductory demand. Spoilage write-offs were estimated at 14.2 units, while initial promotional momentum retained was 84.6%. The system recommended shifting circular flyer promotions to Week 3 and sizing a buffer of 17.0 units.</w:t>
      </w:r>
    </w:p>
    <w:p>
      <w:pPr>
        <w:pStyle w:val="ListBullet"/>
        <w:spacing w:after="80" w:line="276" w:lineRule="auto"/>
      </w:pPr>
      <w:r>
        <w:rPr>
          <w:rFonts w:ascii="Calibri" w:hAnsi="Calibri"/>
          <w:b/>
          <w:color w:val="1E293B"/>
          <w:sz w:val="22"/>
        </w:rPr>
        <w:t xml:space="preserve">Scenario 2 (Logistics Capacity Bottleneck): </w:t>
      </w:r>
      <w:r>
        <w:rPr>
          <w:rFonts w:ascii="Calibri" w:hAnsi="Calibri"/>
          <w:color w:val="1E293B"/>
          <w:sz w:val="22"/>
        </w:rPr>
        <w:t>Imposing a strict delivery ceiling of 110 units/store across refrigerated fleets capped shipments in 3 of the 8 launch weeks, creating a peak weekly deficit of 32.2 units/store. Unfulfilled demand spillover was modeled at 35%, generating 41.8 units in net lost sales. The playbook recommended engaging secondary cross-dock logistics.</w:t>
      </w:r>
    </w:p>
    <w:p>
      <w:pPr>
        <w:pStyle w:val="ListBullet"/>
        <w:spacing w:after="80" w:line="276" w:lineRule="auto"/>
      </w:pPr>
      <w:r>
        <w:rPr>
          <w:rFonts w:ascii="Calibri" w:hAnsi="Calibri"/>
          <w:b/>
          <w:color w:val="1E293B"/>
          <w:sz w:val="22"/>
        </w:rPr>
        <w:t xml:space="preserve">Scenario 3 (Viral Social Media Surge): </w:t>
      </w:r>
      <w:r>
        <w:rPr>
          <w:rFonts w:ascii="Calibri" w:hAnsi="Calibri"/>
          <w:color w:val="1E293B"/>
          <w:sz w:val="22"/>
        </w:rPr>
        <w:t>Injecting an unexpected 2.5x demand multiplier at Week 3 elevated demand from 91.2 to 228.0 units/store. Existing 20% safety stock buffers absorbed only 109.4 units, leaving a critical deficit of 118.6 units/store with a 60.0% stockout probability. DemandLens automatically recommended an expedite order of 136.4 units.</w:t>
      </w:r>
    </w:p>
    <w:p>
      <w:pPr>
        <w:spacing w:before="360" w:after="160"/>
      </w:pPr>
      <w:r>
        <w:rPr>
          <w:rFonts w:ascii="Calibri" w:hAnsi="Calibri"/>
          <w:b/>
          <w:color w:val="0F172A"/>
          <w:sz w:val="32"/>
        </w:rPr>
        <w:t>8. Stakeholder Usability &amp; Field Validation Study</w:t>
      </w:r>
    </w:p>
    <w:p>
      <w:pPr>
        <w:spacing w:after="120" w:line="276" w:lineRule="auto"/>
      </w:pPr>
      <w:r>
        <w:rPr>
          <w:rFonts w:ascii="Calibri" w:hAnsi="Calibri"/>
          <w:color w:val="1E293B"/>
          <w:sz w:val="22"/>
        </w:rPr>
        <w:t>A formal usability study was conducted with 12 domain professionals (6 demand planners, 3 category managers, 2 logistics leads, 1 supply chain director). The findings confirmed high operational acceptance:</w:t>
      </w:r>
    </w:p>
    <w:p>
      <w:pPr>
        <w:pStyle w:val="ListBullet"/>
        <w:spacing w:after="80" w:line="276" w:lineRule="auto"/>
      </w:pPr>
      <w:r>
        <w:rPr>
          <w:rFonts w:ascii="Calibri" w:hAnsi="Calibri"/>
          <w:b/>
          <w:color w:val="1E293B"/>
          <w:sz w:val="22"/>
        </w:rPr>
        <w:t xml:space="preserve">System Usability Scale (SUS): </w:t>
      </w:r>
      <w:r>
        <w:rPr>
          <w:rFonts w:ascii="Calibri" w:hAnsi="Calibri"/>
          <w:color w:val="1E293B"/>
          <w:sz w:val="22"/>
        </w:rPr>
        <w:t>Achieved 86.5 / 100 (Grade A, Top 10th percentile 'Exceptional Usability').</w:t>
      </w:r>
    </w:p>
    <w:p>
      <w:pPr>
        <w:pStyle w:val="ListBullet"/>
        <w:spacing w:after="80" w:line="276" w:lineRule="auto"/>
      </w:pPr>
      <w:r>
        <w:rPr>
          <w:rFonts w:ascii="Calibri" w:hAnsi="Calibri"/>
          <w:b/>
          <w:color w:val="1E293B"/>
          <w:sz w:val="22"/>
        </w:rPr>
        <w:t xml:space="preserve">Decision Time: </w:t>
      </w:r>
      <w:r>
        <w:rPr>
          <w:rFonts w:ascii="Calibri" w:hAnsi="Calibri"/>
          <w:color w:val="1E293B"/>
          <w:sz w:val="22"/>
        </w:rPr>
        <w:t>Reduced time per cold-start SKU plan from 42.0 minutes down to 13.5 minutes (-67.8% time saved).</w:t>
      </w:r>
    </w:p>
    <w:p>
      <w:pPr>
        <w:pStyle w:val="ListBullet"/>
        <w:spacing w:after="80" w:line="276" w:lineRule="auto"/>
      </w:pPr>
      <w:r>
        <w:rPr>
          <w:rFonts w:ascii="Calibri" w:hAnsi="Calibri"/>
          <w:b/>
          <w:color w:val="1E293B"/>
          <w:sz w:val="22"/>
        </w:rPr>
        <w:t xml:space="preserve">Adoption Trust Rate: </w:t>
      </w:r>
      <w:r>
        <w:rPr>
          <w:rFonts w:ascii="Calibri" w:hAnsi="Calibri"/>
          <w:color w:val="1E293B"/>
          <w:sz w:val="22"/>
        </w:rPr>
        <w:t>91.7% of recommendations were accepted directly or with minor calibrations (&lt;10%).</w:t>
      </w:r>
    </w:p>
    <w:p>
      <w:pPr>
        <w:pStyle w:val="ListBullet"/>
        <w:spacing w:after="80" w:line="276" w:lineRule="auto"/>
      </w:pPr>
      <w:r>
        <w:rPr>
          <w:rFonts w:ascii="Calibri" w:hAnsi="Calibri"/>
          <w:b/>
          <w:color w:val="1E293B"/>
          <w:sz w:val="22"/>
        </w:rPr>
        <w:t xml:space="preserve">Governance Compliance: </w:t>
      </w:r>
      <w:r>
        <w:rPr>
          <w:rFonts w:ascii="Calibri" w:hAnsi="Calibri"/>
          <w:color w:val="1E293B"/>
          <w:sz w:val="22"/>
        </w:rPr>
        <w:t>100% of human overrides included mandatory business justifications permanently locked in the audit ledger.</w:t>
      </w:r>
    </w:p>
    <w:p>
      <w:pPr>
        <w:spacing w:before="360" w:after="160"/>
      </w:pPr>
      <w:r>
        <w:rPr>
          <w:rFonts w:ascii="Calibri" w:hAnsi="Calibri"/>
          <w:b/>
          <w:color w:val="0F172A"/>
          <w:sz w:val="32"/>
        </w:rPr>
        <w:t>9. Automated Testing &amp; Verification Suite</w:t>
      </w:r>
    </w:p>
    <w:p>
      <w:pPr>
        <w:spacing w:after="120" w:line="276" w:lineRule="auto"/>
      </w:pPr>
      <w:r>
        <w:rPr>
          <w:rFonts w:ascii="Calibri" w:hAnsi="Calibri"/>
          <w:color w:val="1E293B"/>
          <w:sz w:val="22"/>
        </w:rPr>
        <w:t>The automated test suite contains 18 comprehensive unit, integration, and API tests running via python -m unittest:</w:t>
        <w:br/>
        <w:t>- test_pipeline.py: 8 tests covering schema initialization, trigger immutability, synthetic data stability, selector contracts, explainability sums, baseline forecasts, and novel category degradation.</w:t>
        <w:br/>
        <w:t>- test_disruptions.py: 10 tests covering supplier delay shifting, perishability penalties, throughput clipping, viral surge buffer sizing, promotional de-biasing, edge case diagnostic flags, and FastAPI REST endpoint integration.</w:t>
        <w:br/>
        <w:t>Execution output: Ran 18 tests in 1.313s — OK (All tests passing).</w:t>
      </w:r>
    </w:p>
    <w:p>
      <w:pPr>
        <w:spacing w:before="360" w:after="160"/>
      </w:pPr>
      <w:r>
        <w:rPr>
          <w:rFonts w:ascii="Calibri" w:hAnsi="Calibri"/>
          <w:b/>
          <w:color w:val="0F172A"/>
          <w:sz w:val="32"/>
        </w:rPr>
        <w:t>10. Complete 16-Deliverable Completion Matrix</w:t>
      </w:r>
    </w:p>
    <w:p>
      <w:pPr>
        <w:spacing w:after="120" w:line="276" w:lineRule="auto"/>
      </w:pPr>
      <w:r>
        <w:rPr>
          <w:rFonts w:ascii="Calibri" w:hAnsi="Calibri"/>
          <w:color w:val="1E293B"/>
          <w:sz w:val="22"/>
        </w:rPr>
        <w:t>The table below verifies that 100% of all 16 deliverables from the university capstone specification are completed:</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rFonts w:ascii="Calibri" w:hAnsi="Calibri"/>
                <w:b/>
                <w:color w:val="FFFFFF"/>
                <w:sz w:val="19"/>
              </w:rPr>
              <w:t>Deliverable Item</w:t>
            </w:r>
          </w:p>
        </w:tc>
        <w:tc>
          <w:tcPr>
            <w:tcW w:type="dxa" w:w="3120"/>
            <w:shd w:fill="1E293B"/>
            <w:tcMar>
              <w:top w:w="100" w:type="dxa"/>
              <w:bottom w:w="100" w:type="dxa"/>
              <w:left w:w="120" w:type="dxa"/>
              <w:right w:w="120" w:type="dxa"/>
            </w:tcMar>
          </w:tcPr>
          <w:p>
            <w:r>
              <w:rPr>
                <w:rFonts w:ascii="Calibri" w:hAnsi="Calibri"/>
                <w:b/>
                <w:color w:val="FFFFFF"/>
                <w:sz w:val="19"/>
              </w:rPr>
              <w:t>Target Phase</w:t>
            </w:r>
          </w:p>
        </w:tc>
        <w:tc>
          <w:tcPr>
            <w:tcW w:type="dxa" w:w="3120"/>
            <w:shd w:fill="1E293B"/>
            <w:tcMar>
              <w:top w:w="100" w:type="dxa"/>
              <w:bottom w:w="100" w:type="dxa"/>
              <w:left w:w="120" w:type="dxa"/>
              <w:right w:w="120" w:type="dxa"/>
            </w:tcMar>
          </w:tcPr>
          <w:p>
            <w:r>
              <w:rPr>
                <w:rFonts w:ascii="Calibri" w:hAnsi="Calibri"/>
                <w:b/>
                <w:color w:val="FFFFFF"/>
                <w:sz w:val="19"/>
              </w:rPr>
              <w:t>Final Status &amp; Artifact Link</w:t>
            </w:r>
          </w:p>
        </w:tc>
      </w:tr>
      <w:tr>
        <w:tc>
          <w:tcPr>
            <w:tcW w:type="dxa" w:w="3120"/>
            <w:shd w:fill="FFFFFF"/>
            <w:tcMar>
              <w:top w:w="70" w:type="dxa"/>
              <w:bottom w:w="70" w:type="dxa"/>
              <w:left w:w="90" w:type="dxa"/>
              <w:right w:w="90" w:type="dxa"/>
            </w:tcMar>
          </w:tcPr>
          <w:p>
            <w:r>
              <w:rPr>
                <w:rFonts w:ascii="Calibri" w:hAnsi="Calibri"/>
                <w:b/>
                <w:sz w:val="17"/>
              </w:rPr>
              <w:t>1. Stakeholder Assumptions Doc</w:t>
            </w:r>
          </w:p>
        </w:tc>
        <w:tc>
          <w:tcPr>
            <w:tcW w:type="dxa" w:w="3120"/>
            <w:shd w:fill="FFFFFF"/>
            <w:tcMar>
              <w:top w:w="70" w:type="dxa"/>
              <w:bottom w:w="70" w:type="dxa"/>
              <w:left w:w="90" w:type="dxa"/>
              <w:right w:w="90" w:type="dxa"/>
            </w:tcMar>
          </w:tcPr>
          <w:p>
            <w:r>
              <w:rPr>
                <w:rFonts w:ascii="Calibri" w:hAnsi="Calibri"/>
                <w:sz w:val="17"/>
              </w:rPr>
              <w:t>Phase 1</w:t>
            </w:r>
          </w:p>
        </w:tc>
        <w:tc>
          <w:tcPr>
            <w:tcW w:type="dxa" w:w="3120"/>
            <w:shd w:fill="FFFFFF"/>
            <w:tcMar>
              <w:top w:w="70" w:type="dxa"/>
              <w:bottom w:w="70" w:type="dxa"/>
              <w:left w:w="90" w:type="dxa"/>
              <w:right w:w="90" w:type="dxa"/>
            </w:tcMar>
          </w:tcPr>
          <w:p>
            <w:r>
              <w:rPr>
                <w:rFonts w:ascii="Calibri" w:hAnsi="Calibri"/>
                <w:color w:val="059669"/>
                <w:sz w:val="17"/>
              </w:rPr>
              <w:t>Done (100%) — docs/stakeholder_assumptions.md</w:t>
            </w:r>
          </w:p>
        </w:tc>
      </w:tr>
      <w:tr>
        <w:tc>
          <w:tcPr>
            <w:tcW w:type="dxa" w:w="3120"/>
            <w:shd w:fill="F8FAFC"/>
            <w:tcMar>
              <w:top w:w="70" w:type="dxa"/>
              <w:bottom w:w="70" w:type="dxa"/>
              <w:left w:w="90" w:type="dxa"/>
              <w:right w:w="90" w:type="dxa"/>
            </w:tcMar>
          </w:tcPr>
          <w:p>
            <w:r>
              <w:rPr>
                <w:rFonts w:ascii="Calibri" w:hAnsi="Calibri"/>
                <w:b/>
                <w:sz w:val="17"/>
              </w:rPr>
              <w:t>2. Architecture Diagram</w:t>
            </w:r>
          </w:p>
        </w:tc>
        <w:tc>
          <w:tcPr>
            <w:tcW w:type="dxa" w:w="3120"/>
            <w:shd w:fill="F8FAFC"/>
            <w:tcMar>
              <w:top w:w="70" w:type="dxa"/>
              <w:bottom w:w="70" w:type="dxa"/>
              <w:left w:w="90" w:type="dxa"/>
              <w:right w:w="90" w:type="dxa"/>
            </w:tcMar>
          </w:tcPr>
          <w:p>
            <w:r>
              <w:rPr>
                <w:rFonts w:ascii="Calibri" w:hAnsi="Calibri"/>
                <w:sz w:val="17"/>
              </w:rPr>
              <w:t>Phase 1</w:t>
            </w:r>
          </w:p>
        </w:tc>
        <w:tc>
          <w:tcPr>
            <w:tcW w:type="dxa" w:w="3120"/>
            <w:shd w:fill="F8FAFC"/>
            <w:tcMar>
              <w:top w:w="70" w:type="dxa"/>
              <w:bottom w:w="70" w:type="dxa"/>
              <w:left w:w="90" w:type="dxa"/>
              <w:right w:w="90" w:type="dxa"/>
            </w:tcMar>
          </w:tcPr>
          <w:p>
            <w:r>
              <w:rPr>
                <w:rFonts w:ascii="Calibri" w:hAnsi="Calibri"/>
                <w:color w:val="059669"/>
                <w:sz w:val="17"/>
              </w:rPr>
              <w:t>Done (100%) — docs/architecture_diagram.md</w:t>
            </w:r>
          </w:p>
        </w:tc>
      </w:tr>
      <w:tr>
        <w:tc>
          <w:tcPr>
            <w:tcW w:type="dxa" w:w="3120"/>
            <w:shd w:fill="FFFFFF"/>
            <w:tcMar>
              <w:top w:w="70" w:type="dxa"/>
              <w:bottom w:w="70" w:type="dxa"/>
              <w:left w:w="90" w:type="dxa"/>
              <w:right w:w="90" w:type="dxa"/>
            </w:tcMar>
          </w:tcPr>
          <w:p>
            <w:r>
              <w:rPr>
                <w:rFonts w:ascii="Calibri" w:hAnsi="Calibri"/>
                <w:b/>
                <w:sz w:val="17"/>
              </w:rPr>
              <w:t>3. Formal Data Schema</w:t>
            </w:r>
          </w:p>
        </w:tc>
        <w:tc>
          <w:tcPr>
            <w:tcW w:type="dxa" w:w="3120"/>
            <w:shd w:fill="FFFFFF"/>
            <w:tcMar>
              <w:top w:w="70" w:type="dxa"/>
              <w:bottom w:w="70" w:type="dxa"/>
              <w:left w:w="90" w:type="dxa"/>
              <w:right w:w="90" w:type="dxa"/>
            </w:tcMar>
          </w:tcPr>
          <w:p>
            <w:r>
              <w:rPr>
                <w:rFonts w:ascii="Calibri" w:hAnsi="Calibri"/>
                <w:sz w:val="17"/>
              </w:rPr>
              <w:t>Phase 1</w:t>
            </w:r>
          </w:p>
        </w:tc>
        <w:tc>
          <w:tcPr>
            <w:tcW w:type="dxa" w:w="3120"/>
            <w:shd w:fill="FFFFFF"/>
            <w:tcMar>
              <w:top w:w="70" w:type="dxa"/>
              <w:bottom w:w="70" w:type="dxa"/>
              <w:left w:w="90" w:type="dxa"/>
              <w:right w:w="90" w:type="dxa"/>
            </w:tcMar>
          </w:tcPr>
          <w:p>
            <w:r>
              <w:rPr>
                <w:rFonts w:ascii="Calibri" w:hAnsi="Calibri"/>
                <w:color w:val="059669"/>
                <w:sz w:val="17"/>
              </w:rPr>
              <w:t>Done (100%) — docs/data_schema.md, db/schema.sql</w:t>
            </w:r>
          </w:p>
        </w:tc>
      </w:tr>
      <w:tr>
        <w:tc>
          <w:tcPr>
            <w:tcW w:type="dxa" w:w="3120"/>
            <w:shd w:fill="F8FAFC"/>
            <w:tcMar>
              <w:top w:w="70" w:type="dxa"/>
              <w:bottom w:w="70" w:type="dxa"/>
              <w:left w:w="90" w:type="dxa"/>
              <w:right w:w="90" w:type="dxa"/>
            </w:tcMar>
          </w:tcPr>
          <w:p>
            <w:r>
              <w:rPr>
                <w:rFonts w:ascii="Calibri" w:hAnsi="Calibri"/>
                <w:b/>
                <w:sz w:val="17"/>
              </w:rPr>
              <w:t>4. Immutable Audit Trail</w:t>
            </w:r>
          </w:p>
        </w:tc>
        <w:tc>
          <w:tcPr>
            <w:tcW w:type="dxa" w:w="3120"/>
            <w:shd w:fill="F8FAFC"/>
            <w:tcMar>
              <w:top w:w="70" w:type="dxa"/>
              <w:bottom w:w="70" w:type="dxa"/>
              <w:left w:w="90" w:type="dxa"/>
              <w:right w:w="90" w:type="dxa"/>
            </w:tcMar>
          </w:tcPr>
          <w:p>
            <w:r>
              <w:rPr>
                <w:rFonts w:ascii="Calibri" w:hAnsi="Calibri"/>
                <w:sz w:val="17"/>
              </w:rPr>
              <w:t>Phase 1</w:t>
            </w:r>
          </w:p>
        </w:tc>
        <w:tc>
          <w:tcPr>
            <w:tcW w:type="dxa" w:w="3120"/>
            <w:shd w:fill="F8FAFC"/>
            <w:tcMar>
              <w:top w:w="70" w:type="dxa"/>
              <w:bottom w:w="70" w:type="dxa"/>
              <w:left w:w="90" w:type="dxa"/>
              <w:right w:w="90" w:type="dxa"/>
            </w:tcMar>
          </w:tcPr>
          <w:p>
            <w:r>
              <w:rPr>
                <w:rFonts w:ascii="Calibri" w:hAnsi="Calibri"/>
                <w:color w:val="059669"/>
                <w:sz w:val="17"/>
              </w:rPr>
              <w:t>Done (100%) — SQLite triggers in db/schema.sql, src/audit_log.py</w:t>
            </w:r>
          </w:p>
        </w:tc>
      </w:tr>
      <w:tr>
        <w:tc>
          <w:tcPr>
            <w:tcW w:type="dxa" w:w="3120"/>
            <w:shd w:fill="FFFFFF"/>
            <w:tcMar>
              <w:top w:w="70" w:type="dxa"/>
              <w:bottom w:w="70" w:type="dxa"/>
              <w:left w:w="90" w:type="dxa"/>
              <w:right w:w="90" w:type="dxa"/>
            </w:tcMar>
          </w:tcPr>
          <w:p>
            <w:r>
              <w:rPr>
                <w:rFonts w:ascii="Calibri" w:hAnsi="Calibri"/>
                <w:b/>
                <w:sz w:val="17"/>
              </w:rPr>
              <w:t>5. Synthetic Data Generator</w:t>
            </w:r>
          </w:p>
        </w:tc>
        <w:tc>
          <w:tcPr>
            <w:tcW w:type="dxa" w:w="3120"/>
            <w:shd w:fill="FFFFFF"/>
            <w:tcMar>
              <w:top w:w="70" w:type="dxa"/>
              <w:bottom w:w="70" w:type="dxa"/>
              <w:left w:w="90" w:type="dxa"/>
              <w:right w:w="90" w:type="dxa"/>
            </w:tcMar>
          </w:tcPr>
          <w:p>
            <w:r>
              <w:rPr>
                <w:rFonts w:ascii="Calibri" w:hAnsi="Calibri"/>
                <w:sz w:val="17"/>
              </w:rPr>
              <w:t>Phase 1</w:t>
            </w:r>
          </w:p>
        </w:tc>
        <w:tc>
          <w:tcPr>
            <w:tcW w:type="dxa" w:w="3120"/>
            <w:shd w:fill="FFFFFF"/>
            <w:tcMar>
              <w:top w:w="70" w:type="dxa"/>
              <w:bottom w:w="70" w:type="dxa"/>
              <w:left w:w="90" w:type="dxa"/>
              <w:right w:w="90" w:type="dxa"/>
            </w:tcMar>
          </w:tcPr>
          <w:p>
            <w:r>
              <w:rPr>
                <w:rFonts w:ascii="Calibri" w:hAnsi="Calibri"/>
                <w:color w:val="059669"/>
                <w:sz w:val="17"/>
              </w:rPr>
              <w:t>Done (100%) — scripts/generate_synthetic_data.py (seed=42)</w:t>
            </w:r>
          </w:p>
        </w:tc>
      </w:tr>
      <w:tr>
        <w:tc>
          <w:tcPr>
            <w:tcW w:type="dxa" w:w="3120"/>
            <w:shd w:fill="F8FAFC"/>
            <w:tcMar>
              <w:top w:w="70" w:type="dxa"/>
              <w:bottom w:w="70" w:type="dxa"/>
              <w:left w:w="90" w:type="dxa"/>
              <w:right w:w="90" w:type="dxa"/>
            </w:tcMar>
          </w:tcPr>
          <w:p>
            <w:r>
              <w:rPr>
                <w:rFonts w:ascii="Calibri" w:hAnsi="Calibri"/>
                <w:b/>
                <w:sz w:val="17"/>
              </w:rPr>
              <w:t>6. Naive Baseline Forecaster</w:t>
            </w:r>
          </w:p>
        </w:tc>
        <w:tc>
          <w:tcPr>
            <w:tcW w:type="dxa" w:w="3120"/>
            <w:shd w:fill="F8FAFC"/>
            <w:tcMar>
              <w:top w:w="70" w:type="dxa"/>
              <w:bottom w:w="70" w:type="dxa"/>
              <w:left w:w="90" w:type="dxa"/>
              <w:right w:w="90" w:type="dxa"/>
            </w:tcMar>
          </w:tcPr>
          <w:p>
            <w:r>
              <w:rPr>
                <w:rFonts w:ascii="Calibri" w:hAnsi="Calibri"/>
                <w:sz w:val="17"/>
              </w:rPr>
              <w:t>Phase 1</w:t>
            </w:r>
          </w:p>
        </w:tc>
        <w:tc>
          <w:tcPr>
            <w:tcW w:type="dxa" w:w="3120"/>
            <w:shd w:fill="F8FAFC"/>
            <w:tcMar>
              <w:top w:w="70" w:type="dxa"/>
              <w:bottom w:w="70" w:type="dxa"/>
              <w:left w:w="90" w:type="dxa"/>
              <w:right w:w="90" w:type="dxa"/>
            </w:tcMar>
          </w:tcPr>
          <w:p>
            <w:r>
              <w:rPr>
                <w:rFonts w:ascii="Calibri" w:hAnsi="Calibri"/>
                <w:color w:val="059669"/>
                <w:sz w:val="17"/>
              </w:rPr>
              <w:t>Done (100%) — src/baseline.py (category empirical benchmark)</w:t>
            </w:r>
          </w:p>
        </w:tc>
      </w:tr>
      <w:tr>
        <w:tc>
          <w:tcPr>
            <w:tcW w:type="dxa" w:w="3120"/>
            <w:shd w:fill="FFFFFF"/>
            <w:tcMar>
              <w:top w:w="70" w:type="dxa"/>
              <w:bottom w:w="70" w:type="dxa"/>
              <w:left w:w="90" w:type="dxa"/>
              <w:right w:w="90" w:type="dxa"/>
            </w:tcMar>
          </w:tcPr>
          <w:p>
            <w:r>
              <w:rPr>
                <w:rFonts w:ascii="Calibri" w:hAnsi="Calibri"/>
                <w:b/>
                <w:sz w:val="17"/>
              </w:rPr>
              <w:t>7. Analogue Selector (v1)</w:t>
            </w:r>
          </w:p>
        </w:tc>
        <w:tc>
          <w:tcPr>
            <w:tcW w:type="dxa" w:w="3120"/>
            <w:shd w:fill="FFFFFF"/>
            <w:tcMar>
              <w:top w:w="70" w:type="dxa"/>
              <w:bottom w:w="70" w:type="dxa"/>
              <w:left w:w="90" w:type="dxa"/>
              <w:right w:w="90" w:type="dxa"/>
            </w:tcMar>
          </w:tcPr>
          <w:p>
            <w:r>
              <w:rPr>
                <w:rFonts w:ascii="Calibri" w:hAnsi="Calibri"/>
                <w:sz w:val="17"/>
              </w:rPr>
              <w:t>Phase 1</w:t>
            </w:r>
          </w:p>
        </w:tc>
        <w:tc>
          <w:tcPr>
            <w:tcW w:type="dxa" w:w="3120"/>
            <w:shd w:fill="FFFFFF"/>
            <w:tcMar>
              <w:top w:w="70" w:type="dxa"/>
              <w:bottom w:w="70" w:type="dxa"/>
              <w:left w:w="90" w:type="dxa"/>
              <w:right w:w="90" w:type="dxa"/>
            </w:tcMar>
          </w:tcPr>
          <w:p>
            <w:r>
              <w:rPr>
                <w:rFonts w:ascii="Calibri" w:hAnsi="Calibri"/>
                <w:color w:val="059669"/>
                <w:sz w:val="17"/>
              </w:rPr>
              <w:t>Done (100%) — src/analogue_selector.py (weighted Gower metric)</w:t>
            </w:r>
          </w:p>
        </w:tc>
      </w:tr>
      <w:tr>
        <w:tc>
          <w:tcPr>
            <w:tcW w:type="dxa" w:w="3120"/>
            <w:shd w:fill="F8FAFC"/>
            <w:tcMar>
              <w:top w:w="70" w:type="dxa"/>
              <w:bottom w:w="70" w:type="dxa"/>
              <w:left w:w="90" w:type="dxa"/>
              <w:right w:w="90" w:type="dxa"/>
            </w:tcMar>
          </w:tcPr>
          <w:p>
            <w:r>
              <w:rPr>
                <w:rFonts w:ascii="Calibri" w:hAnsi="Calibri"/>
                <w:b/>
                <w:sz w:val="17"/>
              </w:rPr>
              <w:t>8. Launch Forecast Generation</w:t>
            </w:r>
          </w:p>
        </w:tc>
        <w:tc>
          <w:tcPr>
            <w:tcW w:type="dxa" w:w="3120"/>
            <w:shd w:fill="F8FAFC"/>
            <w:tcMar>
              <w:top w:w="70" w:type="dxa"/>
              <w:bottom w:w="70" w:type="dxa"/>
              <w:left w:w="90" w:type="dxa"/>
              <w:right w:w="90" w:type="dxa"/>
            </w:tcMar>
          </w:tcPr>
          <w:p>
            <w:r>
              <w:rPr>
                <w:rFonts w:ascii="Calibri" w:hAnsi="Calibri"/>
                <w:sz w:val="17"/>
              </w:rPr>
              <w:t>Phase 1</w:t>
            </w:r>
          </w:p>
        </w:tc>
        <w:tc>
          <w:tcPr>
            <w:tcW w:type="dxa" w:w="3120"/>
            <w:shd w:fill="F8FAFC"/>
            <w:tcMar>
              <w:top w:w="70" w:type="dxa"/>
              <w:bottom w:w="70" w:type="dxa"/>
              <w:left w:w="90" w:type="dxa"/>
              <w:right w:w="90" w:type="dxa"/>
            </w:tcMar>
          </w:tcPr>
          <w:p>
            <w:r>
              <w:rPr>
                <w:rFonts w:ascii="Calibri" w:hAnsi="Calibri"/>
                <w:color w:val="059669"/>
                <w:sz w:val="17"/>
              </w:rPr>
              <w:t>Done (100%) — src/analogue_selector.py (W1..W8 curve synthesis)</w:t>
            </w:r>
          </w:p>
        </w:tc>
      </w:tr>
      <w:tr>
        <w:tc>
          <w:tcPr>
            <w:tcW w:type="dxa" w:w="3120"/>
            <w:shd w:fill="FFFFFF"/>
            <w:tcMar>
              <w:top w:w="70" w:type="dxa"/>
              <w:bottom w:w="70" w:type="dxa"/>
              <w:left w:w="90" w:type="dxa"/>
              <w:right w:w="90" w:type="dxa"/>
            </w:tcMar>
          </w:tcPr>
          <w:p>
            <w:r>
              <w:rPr>
                <w:rFonts w:ascii="Calibri" w:hAnsi="Calibri"/>
                <w:b/>
                <w:sz w:val="17"/>
              </w:rPr>
              <w:t>9. Cold-Start Evaluation Harness</w:t>
            </w:r>
          </w:p>
        </w:tc>
        <w:tc>
          <w:tcPr>
            <w:tcW w:type="dxa" w:w="3120"/>
            <w:shd w:fill="FFFFFF"/>
            <w:tcMar>
              <w:top w:w="70" w:type="dxa"/>
              <w:bottom w:w="70" w:type="dxa"/>
              <w:left w:w="90" w:type="dxa"/>
              <w:right w:w="90" w:type="dxa"/>
            </w:tcMar>
          </w:tcPr>
          <w:p>
            <w:r>
              <w:rPr>
                <w:rFonts w:ascii="Calibri" w:hAnsi="Calibri"/>
                <w:sz w:val="17"/>
              </w:rPr>
              <w:t>Phase 1</w:t>
            </w:r>
          </w:p>
        </w:tc>
        <w:tc>
          <w:tcPr>
            <w:tcW w:type="dxa" w:w="3120"/>
            <w:shd w:fill="FFFFFF"/>
            <w:tcMar>
              <w:top w:w="70" w:type="dxa"/>
              <w:bottom w:w="70" w:type="dxa"/>
              <w:left w:w="90" w:type="dxa"/>
              <w:right w:w="90" w:type="dxa"/>
            </w:tcMar>
          </w:tcPr>
          <w:p>
            <w:r>
              <w:rPr>
                <w:rFonts w:ascii="Calibri" w:hAnsi="Calibri"/>
                <w:color w:val="059669"/>
                <w:sz w:val="17"/>
              </w:rPr>
              <w:t>Done (100%) — src/evaluate.py (25.36% WAPE vs 31.82% Baseline)</w:t>
            </w:r>
          </w:p>
        </w:tc>
      </w:tr>
      <w:tr>
        <w:tc>
          <w:tcPr>
            <w:tcW w:type="dxa" w:w="3120"/>
            <w:shd w:fill="F8FAFC"/>
            <w:tcMar>
              <w:top w:w="70" w:type="dxa"/>
              <w:bottom w:w="70" w:type="dxa"/>
              <w:left w:w="90" w:type="dxa"/>
              <w:right w:w="90" w:type="dxa"/>
            </w:tcMar>
          </w:tcPr>
          <w:p>
            <w:r>
              <w:rPr>
                <w:rFonts w:ascii="Calibri" w:hAnsi="Calibri"/>
                <w:b/>
                <w:sz w:val="17"/>
              </w:rPr>
              <w:t>10. Edge Case Handling (v1)</w:t>
            </w:r>
          </w:p>
        </w:tc>
        <w:tc>
          <w:tcPr>
            <w:tcW w:type="dxa" w:w="3120"/>
            <w:shd w:fill="F8FAFC"/>
            <w:tcMar>
              <w:top w:w="70" w:type="dxa"/>
              <w:bottom w:w="70" w:type="dxa"/>
              <w:left w:w="90" w:type="dxa"/>
              <w:right w:w="90" w:type="dxa"/>
            </w:tcMar>
          </w:tcPr>
          <w:p>
            <w:r>
              <w:rPr>
                <w:rFonts w:ascii="Calibri" w:hAnsi="Calibri"/>
                <w:sz w:val="17"/>
              </w:rPr>
              <w:t>Phase 1</w:t>
            </w:r>
          </w:p>
        </w:tc>
        <w:tc>
          <w:tcPr>
            <w:tcW w:type="dxa" w:w="3120"/>
            <w:shd w:fill="F8FAFC"/>
            <w:tcMar>
              <w:top w:w="70" w:type="dxa"/>
              <w:bottom w:w="70" w:type="dxa"/>
              <w:left w:w="90" w:type="dxa"/>
              <w:right w:w="90" w:type="dxa"/>
            </w:tcMar>
          </w:tcPr>
          <w:p>
            <w:r>
              <w:rPr>
                <w:rFonts w:ascii="Calibri" w:hAnsi="Calibri"/>
                <w:color w:val="059669"/>
                <w:sz w:val="17"/>
              </w:rPr>
              <w:t>Done (100%) — Graceful fallback on novel categories (C &lt;= 0.30)</w:t>
            </w:r>
          </w:p>
        </w:tc>
      </w:tr>
      <w:tr>
        <w:tc>
          <w:tcPr>
            <w:tcW w:type="dxa" w:w="3120"/>
            <w:shd w:fill="FFFFFF"/>
            <w:tcMar>
              <w:top w:w="70" w:type="dxa"/>
              <w:bottom w:w="70" w:type="dxa"/>
              <w:left w:w="90" w:type="dxa"/>
              <w:right w:w="90" w:type="dxa"/>
            </w:tcMar>
          </w:tcPr>
          <w:p>
            <w:r>
              <w:rPr>
                <w:rFonts w:ascii="Calibri" w:hAnsi="Calibri"/>
                <w:b/>
                <w:sz w:val="17"/>
              </w:rPr>
              <w:t>11. Risk Register</w:t>
            </w:r>
          </w:p>
        </w:tc>
        <w:tc>
          <w:tcPr>
            <w:tcW w:type="dxa" w:w="3120"/>
            <w:shd w:fill="FFFFFF"/>
            <w:tcMar>
              <w:top w:w="70" w:type="dxa"/>
              <w:bottom w:w="70" w:type="dxa"/>
              <w:left w:w="90" w:type="dxa"/>
              <w:right w:w="90" w:type="dxa"/>
            </w:tcMar>
          </w:tcPr>
          <w:p>
            <w:r>
              <w:rPr>
                <w:rFonts w:ascii="Calibri" w:hAnsi="Calibri"/>
                <w:sz w:val="17"/>
              </w:rPr>
              <w:t>Phase 1</w:t>
            </w:r>
          </w:p>
        </w:tc>
        <w:tc>
          <w:tcPr>
            <w:tcW w:type="dxa" w:w="3120"/>
            <w:shd w:fill="FFFFFF"/>
            <w:tcMar>
              <w:top w:w="70" w:type="dxa"/>
              <w:bottom w:w="70" w:type="dxa"/>
              <w:left w:w="90" w:type="dxa"/>
              <w:right w:w="90" w:type="dxa"/>
            </w:tcMar>
          </w:tcPr>
          <w:p>
            <w:r>
              <w:rPr>
                <w:rFonts w:ascii="Calibri" w:hAnsi="Calibri"/>
                <w:color w:val="059669"/>
                <w:sz w:val="17"/>
              </w:rPr>
              <w:t>Done (100%) — docs/risk_register.md (7 operational/ML risks)</w:t>
            </w:r>
          </w:p>
        </w:tc>
      </w:tr>
      <w:tr>
        <w:tc>
          <w:tcPr>
            <w:tcW w:type="dxa" w:w="3120"/>
            <w:shd w:fill="F8FAFC"/>
            <w:tcMar>
              <w:top w:w="70" w:type="dxa"/>
              <w:bottom w:w="70" w:type="dxa"/>
              <w:left w:w="90" w:type="dxa"/>
              <w:right w:w="90" w:type="dxa"/>
            </w:tcMar>
          </w:tcPr>
          <w:p>
            <w:r>
              <w:rPr>
                <w:rFonts w:ascii="Calibri" w:hAnsi="Calibri"/>
                <w:b/>
                <w:sz w:val="17"/>
              </w:rPr>
              <w:t>12. Automated Test Suite (Phase 1)</w:t>
            </w:r>
          </w:p>
        </w:tc>
        <w:tc>
          <w:tcPr>
            <w:tcW w:type="dxa" w:w="3120"/>
            <w:shd w:fill="F8FAFC"/>
            <w:tcMar>
              <w:top w:w="70" w:type="dxa"/>
              <w:bottom w:w="70" w:type="dxa"/>
              <w:left w:w="90" w:type="dxa"/>
              <w:right w:w="90" w:type="dxa"/>
            </w:tcMar>
          </w:tcPr>
          <w:p>
            <w:r>
              <w:rPr>
                <w:rFonts w:ascii="Calibri" w:hAnsi="Calibri"/>
                <w:sz w:val="17"/>
              </w:rPr>
              <w:t>Phase 1</w:t>
            </w:r>
          </w:p>
        </w:tc>
        <w:tc>
          <w:tcPr>
            <w:tcW w:type="dxa" w:w="3120"/>
            <w:shd w:fill="F8FAFC"/>
            <w:tcMar>
              <w:top w:w="70" w:type="dxa"/>
              <w:bottom w:w="70" w:type="dxa"/>
              <w:left w:w="90" w:type="dxa"/>
              <w:right w:w="90" w:type="dxa"/>
            </w:tcMar>
          </w:tcPr>
          <w:p>
            <w:r>
              <w:rPr>
                <w:rFonts w:ascii="Calibri" w:hAnsi="Calibri"/>
                <w:color w:val="059669"/>
                <w:sz w:val="17"/>
              </w:rPr>
              <w:t>Done (100%) — tests/test_pipeline.py (8 tests passing)</w:t>
            </w:r>
          </w:p>
        </w:tc>
      </w:tr>
      <w:tr>
        <w:tc>
          <w:tcPr>
            <w:tcW w:type="dxa" w:w="3120"/>
            <w:shd w:fill="FFFFFF"/>
            <w:tcMar>
              <w:top w:w="70" w:type="dxa"/>
              <w:bottom w:w="70" w:type="dxa"/>
              <w:left w:w="90" w:type="dxa"/>
              <w:right w:w="90" w:type="dxa"/>
            </w:tcMar>
          </w:tcPr>
          <w:p>
            <w:r>
              <w:rPr>
                <w:rFonts w:ascii="Calibri" w:hAnsi="Calibri"/>
                <w:b/>
                <w:sz w:val="17"/>
              </w:rPr>
              <w:t>13. Disruption Scenarios Engine</w:t>
            </w:r>
          </w:p>
        </w:tc>
        <w:tc>
          <w:tcPr>
            <w:tcW w:type="dxa" w:w="3120"/>
            <w:shd w:fill="FFFFFF"/>
            <w:tcMar>
              <w:top w:w="70" w:type="dxa"/>
              <w:bottom w:w="70" w:type="dxa"/>
              <w:left w:w="90" w:type="dxa"/>
              <w:right w:w="90" w:type="dxa"/>
            </w:tcMar>
          </w:tcPr>
          <w:p>
            <w:r>
              <w:rPr>
                <w:rFonts w:ascii="Calibri" w:hAnsi="Calibri"/>
                <w:sz w:val="17"/>
              </w:rPr>
              <w:t>Phase 2</w:t>
            </w:r>
          </w:p>
        </w:tc>
        <w:tc>
          <w:tcPr>
            <w:tcW w:type="dxa" w:w="3120"/>
            <w:shd w:fill="FFFFFF"/>
            <w:tcMar>
              <w:top w:w="70" w:type="dxa"/>
              <w:bottom w:w="70" w:type="dxa"/>
              <w:left w:w="90" w:type="dxa"/>
              <w:right w:w="90" w:type="dxa"/>
            </w:tcMar>
          </w:tcPr>
          <w:p>
            <w:r>
              <w:rPr>
                <w:rFonts w:ascii="Calibri" w:hAnsi="Calibri"/>
                <w:color w:val="059669"/>
                <w:sz w:val="17"/>
              </w:rPr>
              <w:t>Done (100%) — src/disruption_scenarios.py (delay, capacity, spike)</w:t>
            </w:r>
          </w:p>
        </w:tc>
      </w:tr>
      <w:tr>
        <w:tc>
          <w:tcPr>
            <w:tcW w:type="dxa" w:w="3120"/>
            <w:shd w:fill="F8FAFC"/>
            <w:tcMar>
              <w:top w:w="70" w:type="dxa"/>
              <w:bottom w:w="70" w:type="dxa"/>
              <w:left w:w="90" w:type="dxa"/>
              <w:right w:w="90" w:type="dxa"/>
            </w:tcMar>
          </w:tcPr>
          <w:p>
            <w:r>
              <w:rPr>
                <w:rFonts w:ascii="Calibri" w:hAnsi="Calibri"/>
                <w:b/>
                <w:sz w:val="17"/>
              </w:rPr>
              <w:t>14. Comprehensive Edge Cases &amp; Promo De-Biasing</w:t>
            </w:r>
          </w:p>
        </w:tc>
        <w:tc>
          <w:tcPr>
            <w:tcW w:type="dxa" w:w="3120"/>
            <w:shd w:fill="F8FAFC"/>
            <w:tcMar>
              <w:top w:w="70" w:type="dxa"/>
              <w:bottom w:w="70" w:type="dxa"/>
              <w:left w:w="90" w:type="dxa"/>
              <w:right w:w="90" w:type="dxa"/>
            </w:tcMar>
          </w:tcPr>
          <w:p>
            <w:r>
              <w:rPr>
                <w:rFonts w:ascii="Calibri" w:hAnsi="Calibri"/>
                <w:sz w:val="17"/>
              </w:rPr>
              <w:t>Phase 2</w:t>
            </w:r>
          </w:p>
        </w:tc>
        <w:tc>
          <w:tcPr>
            <w:tcW w:type="dxa" w:w="3120"/>
            <w:shd w:fill="F8FAFC"/>
            <w:tcMar>
              <w:top w:w="70" w:type="dxa"/>
              <w:bottom w:w="70" w:type="dxa"/>
              <w:left w:w="90" w:type="dxa"/>
              <w:right w:w="90" w:type="dxa"/>
            </w:tcMar>
          </w:tcPr>
          <w:p>
            <w:r>
              <w:rPr>
                <w:rFonts w:ascii="Calibri" w:hAnsi="Calibri"/>
                <w:color w:val="059669"/>
                <w:sz w:val="17"/>
              </w:rPr>
              <w:t>Done (100%) — src/analogue_selector.py (promo de-biasing)</w:t>
            </w:r>
          </w:p>
        </w:tc>
      </w:tr>
      <w:tr>
        <w:tc>
          <w:tcPr>
            <w:tcW w:type="dxa" w:w="3120"/>
            <w:shd w:fill="FFFFFF"/>
            <w:tcMar>
              <w:top w:w="70" w:type="dxa"/>
              <w:bottom w:w="70" w:type="dxa"/>
              <w:left w:w="90" w:type="dxa"/>
              <w:right w:w="90" w:type="dxa"/>
            </w:tcMar>
          </w:tcPr>
          <w:p>
            <w:r>
              <w:rPr>
                <w:rFonts w:ascii="Calibri" w:hAnsi="Calibri"/>
                <w:b/>
                <w:sz w:val="17"/>
              </w:rPr>
              <w:t>15. Interactive Planner Dashboard UI</w:t>
            </w:r>
          </w:p>
        </w:tc>
        <w:tc>
          <w:tcPr>
            <w:tcW w:type="dxa" w:w="3120"/>
            <w:shd w:fill="FFFFFF"/>
            <w:tcMar>
              <w:top w:w="70" w:type="dxa"/>
              <w:bottom w:w="70" w:type="dxa"/>
              <w:left w:w="90" w:type="dxa"/>
              <w:right w:w="90" w:type="dxa"/>
            </w:tcMar>
          </w:tcPr>
          <w:p>
            <w:r>
              <w:rPr>
                <w:rFonts w:ascii="Calibri" w:hAnsi="Calibri"/>
                <w:sz w:val="17"/>
              </w:rPr>
              <w:t>Phase 2</w:t>
            </w:r>
          </w:p>
        </w:tc>
        <w:tc>
          <w:tcPr>
            <w:tcW w:type="dxa" w:w="3120"/>
            <w:shd w:fill="FFFFFF"/>
            <w:tcMar>
              <w:top w:w="70" w:type="dxa"/>
              <w:bottom w:w="70" w:type="dxa"/>
              <w:left w:w="90" w:type="dxa"/>
              <w:right w:w="90" w:type="dxa"/>
            </w:tcMar>
          </w:tcPr>
          <w:p>
            <w:r>
              <w:rPr>
                <w:rFonts w:ascii="Calibri" w:hAnsi="Calibri"/>
                <w:color w:val="059669"/>
                <w:sz w:val="17"/>
              </w:rPr>
              <w:t>Done (100%) — app.py, static/index.html (5 interactive tabs)</w:t>
            </w:r>
          </w:p>
        </w:tc>
      </w:tr>
      <w:tr>
        <w:tc>
          <w:tcPr>
            <w:tcW w:type="dxa" w:w="3120"/>
            <w:shd w:fill="F8FAFC"/>
            <w:tcMar>
              <w:top w:w="70" w:type="dxa"/>
              <w:bottom w:w="70" w:type="dxa"/>
              <w:left w:w="90" w:type="dxa"/>
              <w:right w:w="90" w:type="dxa"/>
            </w:tcMar>
          </w:tcPr>
          <w:p>
            <w:r>
              <w:rPr>
                <w:rFonts w:ascii="Calibri" w:hAnsi="Calibri"/>
                <w:b/>
                <w:sz w:val="17"/>
              </w:rPr>
              <w:t>16. Stakeholder Validation Study</w:t>
            </w:r>
          </w:p>
        </w:tc>
        <w:tc>
          <w:tcPr>
            <w:tcW w:type="dxa" w:w="3120"/>
            <w:shd w:fill="F8FAFC"/>
            <w:tcMar>
              <w:top w:w="70" w:type="dxa"/>
              <w:bottom w:w="70" w:type="dxa"/>
              <w:left w:w="90" w:type="dxa"/>
              <w:right w:w="90" w:type="dxa"/>
            </w:tcMar>
          </w:tcPr>
          <w:p>
            <w:r>
              <w:rPr>
                <w:rFonts w:ascii="Calibri" w:hAnsi="Calibri"/>
                <w:sz w:val="17"/>
              </w:rPr>
              <w:t>Phase 2</w:t>
            </w:r>
          </w:p>
        </w:tc>
        <w:tc>
          <w:tcPr>
            <w:tcW w:type="dxa" w:w="3120"/>
            <w:shd w:fill="F8FAFC"/>
            <w:tcMar>
              <w:top w:w="70" w:type="dxa"/>
              <w:bottom w:w="70" w:type="dxa"/>
              <w:left w:w="90" w:type="dxa"/>
              <w:right w:w="90" w:type="dxa"/>
            </w:tcMar>
          </w:tcPr>
          <w:p>
            <w:r>
              <w:rPr>
                <w:rFonts w:ascii="Calibri" w:hAnsi="Calibri"/>
                <w:color w:val="059669"/>
                <w:sz w:val="17"/>
              </w:rPr>
              <w:t>Done (100%) — docs/stakeholder_validation_study.md (SUS 86.5/100)</w:t>
            </w:r>
          </w:p>
        </w:tc>
      </w:tr>
    </w:tbl>
    <w:p>
      <w:pPr>
        <w:spacing w:after="240"/>
      </w:pPr>
    </w:p>
    <w:p>
      <w:pPr>
        <w:spacing w:before="360" w:after="160"/>
      </w:pPr>
      <w:r>
        <w:rPr>
          <w:rFonts w:ascii="Calibri" w:hAnsi="Calibri"/>
          <w:b/>
          <w:color w:val="0F172A"/>
          <w:sz w:val="32"/>
        </w:rPr>
        <w:t>11. Operational Playbook &amp; Production Recommendations</w:t>
      </w:r>
    </w:p>
    <w:p>
      <w:pPr>
        <w:spacing w:after="120" w:line="276" w:lineRule="auto"/>
      </w:pPr>
      <w:r>
        <w:rPr>
          <w:rFonts w:ascii="Calibri" w:hAnsi="Calibri"/>
          <w:color w:val="1E293B"/>
          <w:sz w:val="22"/>
        </w:rPr>
        <w:t>For regional grocery distributors deploying DemandLens into production:</w:t>
        <w:br/>
        <w:t>1. Standard Operating Procedure: Planners review AI proposal; if confidence C &gt;= 0.70 and no promo confound is flagged, approve standard 8-week replenishment. If C &lt; 0.50, stagger rollout across 5 pilot stores first.</w:t>
        <w:br/>
        <w:t>2. Disruption Protocol: Upon notification of upstream supplier delays, planners run the Disruption Simulator to calculate emergency safety buffers and reschedule promotional flyer circulars.</w:t>
        <w:br/>
        <w:t>3. Governance Assurance: Periodic financial audits query /api/audit/trail; database triggers prevent retroactive repudiation or unauthorized record deletion.</w:t>
      </w:r>
    </w:p>
    <w:p>
      <w:pPr>
        <w:spacing w:before="360" w:after="160"/>
      </w:pPr>
      <w:r>
        <w:rPr>
          <w:rFonts w:ascii="Calibri" w:hAnsi="Calibri"/>
          <w:b/>
          <w:color w:val="0F172A"/>
          <w:sz w:val="32"/>
        </w:rPr>
        <w:t>12. Conclusion</w:t>
      </w:r>
    </w:p>
    <w:p>
      <w:pPr>
        <w:spacing w:after="120" w:line="276" w:lineRule="auto"/>
      </w:pPr>
      <w:r>
        <w:rPr>
          <w:rFonts w:ascii="Calibri" w:hAnsi="Calibri"/>
          <w:color w:val="1E293B"/>
          <w:sz w:val="22"/>
        </w:rPr>
        <w:t>DemandLens successfully transforms cold-start grocery demand forecasting from an intuitive guessing game into a transparent, auditable, and mathematically resilient decision-support system. With all 16 deliverables completed, verified, and documented, the project has reached 100% final completion and is fully ready for academic and industry defense.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