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E81E8" w14:textId="2E68B1BE" w:rsidR="20E20336" w:rsidRDefault="20E20336" w:rsidP="158E813C">
      <w:pPr>
        <w:pStyle w:val="Default"/>
        <w:spacing w:line="480" w:lineRule="auto"/>
        <w:jc w:val="center"/>
        <w:rPr>
          <w:b/>
          <w:bCs/>
          <w:sz w:val="36"/>
          <w:szCs w:val="36"/>
          <w:u w:val="single"/>
        </w:rPr>
      </w:pPr>
      <w:r w:rsidRPr="158E813C">
        <w:rPr>
          <w:b/>
          <w:bCs/>
          <w:sz w:val="36"/>
          <w:szCs w:val="36"/>
          <w:u w:val="single"/>
        </w:rPr>
        <w:t xml:space="preserve">GROUP-14 </w:t>
      </w:r>
      <w:r w:rsidR="042CC3AD" w:rsidRPr="158E813C">
        <w:rPr>
          <w:b/>
          <w:bCs/>
          <w:sz w:val="36"/>
          <w:szCs w:val="36"/>
          <w:u w:val="single"/>
        </w:rPr>
        <w:t>(</w:t>
      </w:r>
      <w:r w:rsidRPr="158E813C">
        <w:rPr>
          <w:b/>
          <w:bCs/>
          <w:sz w:val="36"/>
          <w:szCs w:val="36"/>
          <w:u w:val="single"/>
        </w:rPr>
        <w:t>Web Data Analytics</w:t>
      </w:r>
      <w:r w:rsidR="24356610" w:rsidRPr="158E813C">
        <w:rPr>
          <w:b/>
          <w:bCs/>
          <w:sz w:val="36"/>
          <w:szCs w:val="36"/>
          <w:u w:val="single"/>
        </w:rPr>
        <w:t>)</w:t>
      </w:r>
    </w:p>
    <w:p w14:paraId="1D7A9806" w14:textId="77777777" w:rsidR="00114355" w:rsidRPr="0007357F" w:rsidRDefault="00114355" w:rsidP="00114355">
      <w:pPr>
        <w:pStyle w:val="Default"/>
        <w:spacing w:line="480" w:lineRule="auto"/>
        <w:rPr>
          <w:b/>
          <w:bCs/>
          <w:u w:val="single"/>
        </w:rPr>
      </w:pPr>
      <w:bookmarkStart w:id="0" w:name="_Hlk146997148"/>
      <w:r w:rsidRPr="0007357F">
        <w:rPr>
          <w:b/>
          <w:bCs/>
          <w:u w:val="single"/>
        </w:rPr>
        <w:t>Introduction &amp; Business Case:</w:t>
      </w:r>
    </w:p>
    <w:bookmarkEnd w:id="0"/>
    <w:p w14:paraId="796FAFB0" w14:textId="3479AD87" w:rsidR="00BA3B9E" w:rsidRPr="00BA3B9E" w:rsidRDefault="00BA3B9E" w:rsidP="00114355">
      <w:pPr>
        <w:pStyle w:val="Default"/>
        <w:spacing w:line="480" w:lineRule="auto"/>
      </w:pPr>
      <w:r w:rsidRPr="00BA3B9E">
        <w:t xml:space="preserve">Founded in 1969 by the Fishers, GAP Inc. revolutionized retailing. Despite </w:t>
      </w:r>
      <w:r w:rsidR="2BECECA3">
        <w:t xml:space="preserve">of being </w:t>
      </w:r>
      <w:proofErr w:type="spellStart"/>
      <w:proofErr w:type="gramStart"/>
      <w:r w:rsidR="2BECECA3">
        <w:t>a</w:t>
      </w:r>
      <w:proofErr w:type="spellEnd"/>
      <w:proofErr w:type="gramEnd"/>
      <w:r>
        <w:t xml:space="preserve"> </w:t>
      </w:r>
      <w:r w:rsidRPr="00BA3B9E">
        <w:t xml:space="preserve">iconic </w:t>
      </w:r>
      <w:r>
        <w:t>brand</w:t>
      </w:r>
      <w:r w:rsidRPr="00BA3B9E">
        <w:t xml:space="preserve">, declining sales prompted CEO changes. To revive the company, </w:t>
      </w:r>
      <w:r w:rsidR="00A13978">
        <w:t xml:space="preserve">the then </w:t>
      </w:r>
      <w:r w:rsidRPr="00BA3B9E">
        <w:t>CEO Art Peck eliminated creative directors</w:t>
      </w:r>
      <w:r w:rsidR="0078330C">
        <w:t xml:space="preserve"> in 2015</w:t>
      </w:r>
      <w:r w:rsidRPr="00BA3B9E">
        <w:t>, shifting to a data-driven creative process. This case evaluates the decision's suitability and big data's role in marketing.</w:t>
      </w:r>
    </w:p>
    <w:p w14:paraId="77FA0278" w14:textId="3C8C80FD" w:rsidR="00114355" w:rsidRDefault="00114355" w:rsidP="158E813C">
      <w:pPr>
        <w:pStyle w:val="Default"/>
        <w:spacing w:line="480" w:lineRule="auto"/>
        <w:rPr>
          <w:b/>
          <w:bCs/>
          <w:u w:val="single"/>
        </w:rPr>
      </w:pPr>
      <w:r w:rsidRPr="158E813C">
        <w:rPr>
          <w:b/>
          <w:bCs/>
          <w:u w:val="single"/>
        </w:rPr>
        <w:t>A</w:t>
      </w:r>
      <w:r w:rsidR="2B9A9B18" w:rsidRPr="158E813C">
        <w:rPr>
          <w:b/>
          <w:bCs/>
          <w:u w:val="single"/>
        </w:rPr>
        <w:t xml:space="preserve">nalysis of Gap and its sister company performance post </w:t>
      </w:r>
      <w:r w:rsidR="10953C02" w:rsidRPr="158E813C">
        <w:rPr>
          <w:b/>
          <w:bCs/>
          <w:u w:val="single"/>
        </w:rPr>
        <w:t>the change</w:t>
      </w:r>
      <w:r w:rsidR="2B9A9B18" w:rsidRPr="158E813C">
        <w:rPr>
          <w:b/>
          <w:bCs/>
          <w:u w:val="single"/>
        </w:rPr>
        <w:t xml:space="preserve"> </w:t>
      </w:r>
    </w:p>
    <w:p w14:paraId="4D3D9C8B" w14:textId="19892962" w:rsidR="00114355" w:rsidRDefault="00114355" w:rsidP="00114355">
      <w:pPr>
        <w:pStyle w:val="Default"/>
        <w:spacing w:line="480" w:lineRule="auto"/>
      </w:pPr>
      <w:r>
        <w:t>To understand the success of Pecks’ decision, we look at the customer review</w:t>
      </w:r>
      <w:r w:rsidR="0011485F">
        <w:t xml:space="preserve"> ratings </w:t>
      </w:r>
      <w:r>
        <w:t>of different apparel brands in the market at present to gauge the company standing in the industry.</w:t>
      </w:r>
    </w:p>
    <w:p w14:paraId="7D210CE1" w14:textId="65F9264F" w:rsidR="00B2314B" w:rsidRPr="00BA3B9E" w:rsidRDefault="006C2A4A" w:rsidP="00114355">
      <w:pPr>
        <w:pStyle w:val="Default"/>
        <w:spacing w:line="480" w:lineRule="auto"/>
      </w:pPr>
      <w:r>
        <w:rPr>
          <w:noProof/>
        </w:rPr>
        <w:drawing>
          <wp:anchor distT="0" distB="0" distL="114300" distR="114300" simplePos="0" relativeHeight="251658248" behindDoc="1" locked="0" layoutInCell="1" allowOverlap="1" wp14:anchorId="3C3A6243" wp14:editId="58F741C4">
            <wp:simplePos x="0" y="0"/>
            <wp:positionH relativeFrom="margin">
              <wp:align>right</wp:align>
            </wp:positionH>
            <wp:positionV relativeFrom="paragraph">
              <wp:posOffset>1374392</wp:posOffset>
            </wp:positionV>
            <wp:extent cx="2203450" cy="868680"/>
            <wp:effectExtent l="0" t="0" r="6350" b="7620"/>
            <wp:wrapTight wrapText="bothSides">
              <wp:wrapPolygon edited="0">
                <wp:start x="0" y="0"/>
                <wp:lineTo x="0" y="21316"/>
                <wp:lineTo x="21476" y="21316"/>
                <wp:lineTo x="21476" y="0"/>
                <wp:lineTo x="0" y="0"/>
              </wp:wrapPolygon>
            </wp:wrapTight>
            <wp:docPr id="1532010218" name="Picture 1532010218" descr="A table with numbers an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974117"/>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203450" cy="868680"/>
                    </a:xfrm>
                    <a:prstGeom prst="rect">
                      <a:avLst/>
                    </a:prstGeom>
                    <a:noFill/>
                    <a:ln>
                      <a:noFill/>
                    </a:ln>
                  </pic:spPr>
                </pic:pic>
              </a:graphicData>
            </a:graphic>
          </wp:anchor>
        </w:drawing>
      </w:r>
      <w:r w:rsidR="00B2314B">
        <w:t>On initial research, w</w:t>
      </w:r>
      <w:r w:rsidR="00114355">
        <w:t>e found that Old Navy &amp; GAP collectively cater to a relatively price sensitive but trendy consumer market, while the target audience of Banana Republic is</w:t>
      </w:r>
      <w:r w:rsidR="00B2314B">
        <w:t xml:space="preserve"> upscale and tend to l</w:t>
      </w:r>
      <w:r w:rsidR="00B2314B" w:rsidRPr="0007357F">
        <w:t>ook for high quality, classic looks and are willing to pay a premium price for good quality clothes</w:t>
      </w:r>
      <w:r w:rsidR="00B2314B">
        <w:t>.</w:t>
      </w:r>
      <w:r w:rsidR="0087037B">
        <w:t xml:space="preserve"> For our analysis,</w:t>
      </w:r>
    </w:p>
    <w:p w14:paraId="1C58202D" w14:textId="62AE2095" w:rsidR="00B2314B" w:rsidRDefault="00B2314B" w:rsidP="00966BFC">
      <w:pPr>
        <w:pStyle w:val="Default"/>
        <w:spacing w:line="480" w:lineRule="auto"/>
      </w:pPr>
      <w:r>
        <w:t>We scraped</w:t>
      </w:r>
      <w:r w:rsidRPr="00E71DCD">
        <w:rPr>
          <w:b/>
          <w:bCs/>
        </w:rPr>
        <w:t xml:space="preserve"> </w:t>
      </w:r>
      <w:proofErr w:type="spellStart"/>
      <w:r w:rsidRPr="00E71DCD">
        <w:rPr>
          <w:b/>
          <w:bCs/>
        </w:rPr>
        <w:t>SiteJabber</w:t>
      </w:r>
      <w:proofErr w:type="spellEnd"/>
      <w:r>
        <w:t xml:space="preserve"> to fetch details on 5 different segments of various companies including the </w:t>
      </w:r>
      <w:r w:rsidR="00622F80">
        <w:t>2</w:t>
      </w:r>
      <w:r>
        <w:t xml:space="preserve"> brands of interest:  Banana Republic &amp; Old Navy.</w:t>
      </w:r>
    </w:p>
    <w:p w14:paraId="62ACDAF0" w14:textId="70677EA2" w:rsidR="00B2314B" w:rsidRDefault="00E71DCD" w:rsidP="00114355">
      <w:pPr>
        <w:pStyle w:val="Default"/>
        <w:spacing w:line="480" w:lineRule="auto"/>
      </w:pPr>
      <w:r>
        <w:t>We f</w:t>
      </w:r>
      <w:r w:rsidR="005F7E8F">
        <w:t>oun</w:t>
      </w:r>
      <w:r>
        <w:t xml:space="preserve">d that: 1. Banana Republic could focus on improving its Returns &amp; Customer service segments to really drive customer satisfaction, as J-Crew, its direct competitor is able to provide </w:t>
      </w:r>
      <w:r w:rsidR="001D2533">
        <w:t>better</w:t>
      </w:r>
      <w:r>
        <w:t xml:space="preserve"> services in these aspects.</w:t>
      </w:r>
      <w:r w:rsidR="00827595">
        <w:t xml:space="preserve"> </w:t>
      </w:r>
    </w:p>
    <w:p w14:paraId="399C7DCC" w14:textId="77777777" w:rsidR="00F723D5" w:rsidRDefault="00C232AB" w:rsidP="005F7E8F">
      <w:pPr>
        <w:pStyle w:val="Default"/>
        <w:spacing w:line="480" w:lineRule="auto"/>
      </w:pPr>
      <w:r w:rsidRPr="00C232AB">
        <w:rPr>
          <w:noProof/>
        </w:rPr>
        <w:lastRenderedPageBreak/>
        <w:drawing>
          <wp:anchor distT="0" distB="0" distL="114300" distR="114300" simplePos="0" relativeHeight="251657216" behindDoc="0" locked="0" layoutInCell="1" allowOverlap="1" wp14:anchorId="17DCE2C9" wp14:editId="1AA6BFA6">
            <wp:simplePos x="0" y="0"/>
            <wp:positionH relativeFrom="column">
              <wp:posOffset>4292390</wp:posOffset>
            </wp:positionH>
            <wp:positionV relativeFrom="paragraph">
              <wp:posOffset>801685</wp:posOffset>
            </wp:positionV>
            <wp:extent cx="2017726" cy="1105814"/>
            <wp:effectExtent l="0" t="0" r="1905" b="0"/>
            <wp:wrapSquare wrapText="bothSides"/>
            <wp:docPr id="1111860772" name="Picture 111186077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60772" name="Picture 1" descr="A table with numbers and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25702" cy="1110185"/>
                    </a:xfrm>
                    <a:prstGeom prst="rect">
                      <a:avLst/>
                    </a:prstGeom>
                  </pic:spPr>
                </pic:pic>
              </a:graphicData>
            </a:graphic>
            <wp14:sizeRelH relativeFrom="margin">
              <wp14:pctWidth>0</wp14:pctWidth>
            </wp14:sizeRelH>
            <wp14:sizeRelV relativeFrom="margin">
              <wp14:pctHeight>0</wp14:pctHeight>
            </wp14:sizeRelV>
          </wp:anchor>
        </w:drawing>
      </w:r>
      <w:r w:rsidR="00E71DCD">
        <w:t>We then tried to understand the product level satisfaction of GAP. To determine this</w:t>
      </w:r>
      <w:r w:rsidR="001D2533">
        <w:t xml:space="preserve">, we searched &amp; scraped the reviews for the most popular product at </w:t>
      </w:r>
      <w:r w:rsidR="001D2533" w:rsidRPr="002D04EE">
        <w:rPr>
          <w:b/>
          <w:bCs/>
        </w:rPr>
        <w:t>GAP and Amazon</w:t>
      </w:r>
      <w:r w:rsidR="001D2533">
        <w:t xml:space="preserve"> for comparison which was Cotton Men’s shirt</w:t>
      </w:r>
      <w:r w:rsidR="00F723D5">
        <w:t>.</w:t>
      </w:r>
    </w:p>
    <w:p w14:paraId="0312FBFF" w14:textId="5E2A2ADE" w:rsidR="001D2533" w:rsidRDefault="00C232AB" w:rsidP="00F723D5">
      <w:pPr>
        <w:pStyle w:val="Default"/>
        <w:spacing w:line="480" w:lineRule="auto"/>
      </w:pPr>
      <w:r>
        <w:t>For this analysis</w:t>
      </w:r>
      <w:r w:rsidR="00F723D5">
        <w:t>,</w:t>
      </w:r>
      <w:r>
        <w:t xml:space="preserve"> we only considered product ratings 4 and above to find</w:t>
      </w:r>
      <w:r w:rsidR="00F723D5">
        <w:t xml:space="preserve"> </w:t>
      </w:r>
      <w:r w:rsidR="1B8A1A98">
        <w:t xml:space="preserve">how </w:t>
      </w:r>
      <w:r w:rsidR="00F723D5">
        <w:t>Gap perform</w:t>
      </w:r>
      <w:r w:rsidR="20C3803F">
        <w:t>ed</w:t>
      </w:r>
      <w:r w:rsidR="00F723D5">
        <w:t xml:space="preserve"> </w:t>
      </w:r>
      <w:r w:rsidR="4DCB3410">
        <w:t>against industry standards (assuming amazon as benchmark)</w:t>
      </w:r>
      <w:r w:rsidR="00F723D5">
        <w:t>.</w:t>
      </w:r>
    </w:p>
    <w:p w14:paraId="35B66713" w14:textId="7F5CD987" w:rsidR="00F723D5" w:rsidRPr="00122F2A" w:rsidRDefault="00F723D5" w:rsidP="00F723D5">
      <w:pPr>
        <w:pStyle w:val="Default"/>
        <w:spacing w:line="480" w:lineRule="auto"/>
        <w:rPr>
          <w:b/>
          <w:bCs/>
        </w:rPr>
      </w:pPr>
      <w:r w:rsidRPr="00122F2A">
        <w:rPr>
          <w:b/>
          <w:bCs/>
        </w:rPr>
        <w:t>Hypothesis Testing:</w:t>
      </w:r>
    </w:p>
    <w:p w14:paraId="1AA47F7A" w14:textId="1EDB0576" w:rsidR="00F723D5" w:rsidRPr="00F723D5" w:rsidRDefault="00F723D5" w:rsidP="00F723D5">
      <w:pPr>
        <w:pStyle w:val="Default"/>
        <w:spacing w:line="480" w:lineRule="auto"/>
        <w:rPr>
          <w:color w:val="808080" w:themeColor="background1" w:themeShade="80"/>
        </w:rPr>
      </w:pPr>
      <w:r w:rsidRPr="00F723D5">
        <w:rPr>
          <w:noProof/>
        </w:rPr>
        <w:drawing>
          <wp:anchor distT="0" distB="0" distL="114300" distR="114300" simplePos="0" relativeHeight="251658241" behindDoc="1" locked="0" layoutInCell="1" allowOverlap="1" wp14:anchorId="23B06731" wp14:editId="5965B9CA">
            <wp:simplePos x="0" y="0"/>
            <wp:positionH relativeFrom="column">
              <wp:posOffset>0</wp:posOffset>
            </wp:positionH>
            <wp:positionV relativeFrom="paragraph">
              <wp:posOffset>-2897</wp:posOffset>
            </wp:positionV>
            <wp:extent cx="4103464" cy="1042968"/>
            <wp:effectExtent l="0" t="0" r="0" b="5080"/>
            <wp:wrapTight wrapText="bothSides">
              <wp:wrapPolygon edited="0">
                <wp:start x="0" y="0"/>
                <wp:lineTo x="0" y="21311"/>
                <wp:lineTo x="21460" y="21311"/>
                <wp:lineTo x="21460" y="0"/>
                <wp:lineTo x="0" y="0"/>
              </wp:wrapPolygon>
            </wp:wrapTight>
            <wp:docPr id="426076048" name="Picture 4260760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76048"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t="4288" r="1641" b="7762"/>
                    <a:stretch/>
                  </pic:blipFill>
                  <pic:spPr bwMode="auto">
                    <a:xfrm>
                      <a:off x="0" y="0"/>
                      <a:ext cx="4103464" cy="1042968"/>
                    </a:xfrm>
                    <a:prstGeom prst="rect">
                      <a:avLst/>
                    </a:prstGeom>
                    <a:ln>
                      <a:noFill/>
                    </a:ln>
                    <a:extLst>
                      <a:ext uri="{53640926-AAD7-44D8-BBD7-CCE9431645EC}">
                        <a14:shadowObscured xmlns:a14="http://schemas.microsoft.com/office/drawing/2010/main"/>
                      </a:ext>
                    </a:extLst>
                  </pic:spPr>
                </pic:pic>
              </a:graphicData>
            </a:graphic>
          </wp:anchor>
        </w:drawing>
      </w:r>
      <w:r>
        <w:t xml:space="preserve"> </w:t>
      </w:r>
      <w:r w:rsidRPr="00F723D5">
        <w:rPr>
          <w:color w:val="808080" w:themeColor="background1" w:themeShade="80"/>
        </w:rPr>
        <w:t>(Performance is solely based on customer satisfaction &amp; ratings)</w:t>
      </w:r>
    </w:p>
    <w:p w14:paraId="59EB3ABD" w14:textId="73A36B8E" w:rsidR="00BA3B9E" w:rsidRDefault="00F723D5" w:rsidP="001D2533">
      <w:pPr>
        <w:pStyle w:val="Default"/>
        <w:spacing w:line="480" w:lineRule="auto"/>
        <w:rPr>
          <w:lang w:val="en-US"/>
        </w:rPr>
      </w:pPr>
      <w:r>
        <w:t xml:space="preserve">Since Z-statistics is much greater than the critical value, we </w:t>
      </w:r>
      <w:r w:rsidRPr="00122F2A">
        <w:rPr>
          <w:u w:val="single"/>
        </w:rPr>
        <w:t xml:space="preserve">fail to reject that Gap is </w:t>
      </w:r>
      <w:r w:rsidR="20EA157B" w:rsidRPr="34E4D014">
        <w:rPr>
          <w:u w:val="single"/>
        </w:rPr>
        <w:t>not</w:t>
      </w:r>
      <w:r w:rsidRPr="34E4D014">
        <w:rPr>
          <w:u w:val="single"/>
        </w:rPr>
        <w:t xml:space="preserve"> </w:t>
      </w:r>
      <w:r w:rsidRPr="00122F2A">
        <w:rPr>
          <w:u w:val="single"/>
        </w:rPr>
        <w:t>performing better than Amazon</w:t>
      </w:r>
      <w:r>
        <w:t xml:space="preserve">. </w:t>
      </w:r>
      <w:r w:rsidR="00506E3F" w:rsidRPr="34E4D014">
        <w:rPr>
          <w:lang w:val="en-US"/>
        </w:rPr>
        <w:t>Therefore, one could</w:t>
      </w:r>
      <w:r w:rsidR="2D9614A2" w:rsidRPr="34E4D014">
        <w:rPr>
          <w:lang w:val="en-US"/>
        </w:rPr>
        <w:t xml:space="preserve"> assert that we need to look deeper into product specifications to further understand </w:t>
      </w:r>
      <w:r w:rsidR="03AB828C" w:rsidRPr="34E4D014">
        <w:rPr>
          <w:lang w:val="en-US"/>
        </w:rPr>
        <w:t>product performance.</w:t>
      </w:r>
    </w:p>
    <w:p w14:paraId="0930A425" w14:textId="1624E447" w:rsidR="00CB4799" w:rsidRDefault="00F723D5" w:rsidP="005F7E8F">
      <w:pPr>
        <w:pStyle w:val="Default"/>
        <w:spacing w:line="480" w:lineRule="auto"/>
      </w:pPr>
      <w:r>
        <w:t xml:space="preserve">To understand what features constitutes a successful product, we then investigated </w:t>
      </w:r>
      <w:r w:rsidR="00167611">
        <w:t xml:space="preserve">into </w:t>
      </w:r>
      <w:r w:rsidR="78984E84">
        <w:t>factors which could give more tangible action points</w:t>
      </w:r>
      <w:r w:rsidR="00167611">
        <w:t xml:space="preserve"> that could lead to successful </w:t>
      </w:r>
      <w:r w:rsidR="008A1ACA">
        <w:t xml:space="preserve">sales. We </w:t>
      </w:r>
      <w:r w:rsidR="001E2F01">
        <w:t xml:space="preserve">found that </w:t>
      </w:r>
      <w:r w:rsidR="001E2F01" w:rsidRPr="34E4D014">
        <w:rPr>
          <w:b/>
          <w:bCs/>
        </w:rPr>
        <w:t>Macy’s</w:t>
      </w:r>
      <w:r w:rsidR="001E2F01">
        <w:t xml:space="preserve"> is one of the most </w:t>
      </w:r>
      <w:r w:rsidR="00741E04">
        <w:t xml:space="preserve">successful </w:t>
      </w:r>
      <w:r w:rsidR="00FD06C2">
        <w:t>shopping sites</w:t>
      </w:r>
      <w:r w:rsidR="6C618F0F">
        <w:t xml:space="preserve"> and compared how </w:t>
      </w:r>
      <w:proofErr w:type="spellStart"/>
      <w:proofErr w:type="gramStart"/>
      <w:r w:rsidR="6C618F0F">
        <w:t>best selling</w:t>
      </w:r>
      <w:proofErr w:type="spellEnd"/>
      <w:proofErr w:type="gramEnd"/>
      <w:r w:rsidR="6C618F0F">
        <w:t xml:space="preserve"> products in </w:t>
      </w:r>
      <w:proofErr w:type="spellStart"/>
      <w:r w:rsidR="6C618F0F">
        <w:t>macy’s</w:t>
      </w:r>
      <w:proofErr w:type="spellEnd"/>
      <w:r w:rsidR="6C618F0F">
        <w:t xml:space="preserve"> have in common with companies like old navy (similar to GAP).</w:t>
      </w:r>
    </w:p>
    <w:p w14:paraId="4AA403CF" w14:textId="087CA346" w:rsidR="002D04EE" w:rsidRDefault="00A829C9" w:rsidP="00173B6A">
      <w:pPr>
        <w:pStyle w:val="Default"/>
        <w:spacing w:line="480" w:lineRule="auto"/>
      </w:pPr>
      <w:r>
        <w:t>For</w:t>
      </w:r>
      <w:r w:rsidR="00173B6A">
        <w:t xml:space="preserve"> this analysis, we </w:t>
      </w:r>
      <w:r>
        <w:t>capture</w:t>
      </w:r>
      <w:r w:rsidR="00D30D7B">
        <w:t xml:space="preserve"> the </w:t>
      </w:r>
      <w:r>
        <w:t xml:space="preserve">aggregate level </w:t>
      </w:r>
      <w:r w:rsidR="00D30D7B">
        <w:t xml:space="preserve">data </w:t>
      </w:r>
      <w:r w:rsidR="00B32D99">
        <w:t xml:space="preserve">of the </w:t>
      </w:r>
      <w:r w:rsidR="63FA05C9">
        <w:t>products by features (</w:t>
      </w:r>
      <w:r w:rsidR="6CB512A2">
        <w:t xml:space="preserve">Neckline | Fabric | Sleeve Length | </w:t>
      </w:r>
      <w:proofErr w:type="spellStart"/>
      <w:r w:rsidR="6CB512A2">
        <w:t>Color</w:t>
      </w:r>
      <w:proofErr w:type="spellEnd"/>
      <w:r w:rsidR="6CB512A2">
        <w:t xml:space="preserve"> | Occasion | Price Range)</w:t>
      </w:r>
      <w:r w:rsidR="00A24877">
        <w:t xml:space="preserve"> </w:t>
      </w:r>
      <w:r w:rsidR="00E87FF7">
        <w:t xml:space="preserve">then </w:t>
      </w:r>
      <w:r w:rsidR="00A24877">
        <w:t xml:space="preserve">we </w:t>
      </w:r>
      <w:r w:rsidR="00E87FF7">
        <w:t>compare</w:t>
      </w:r>
      <w:r w:rsidR="00A24877">
        <w:t>d</w:t>
      </w:r>
      <w:r w:rsidR="00E87FF7">
        <w:t xml:space="preserve"> it against the inventory </w:t>
      </w:r>
      <w:r w:rsidR="00F13AE8">
        <w:t>of Old Navy</w:t>
      </w:r>
      <w:r w:rsidR="001361D5">
        <w:t xml:space="preserve"> with similar features</w:t>
      </w:r>
      <w:r w:rsidR="00F13AE8">
        <w:t>.</w:t>
      </w:r>
    </w:p>
    <w:p w14:paraId="76A73CE7" w14:textId="7BC94307" w:rsidR="00CA3317" w:rsidRPr="00CA3317" w:rsidRDefault="00CA3317" w:rsidP="00CA3317">
      <w:pPr>
        <w:spacing w:after="0" w:line="240" w:lineRule="auto"/>
        <w:rPr>
          <w:rFonts w:ascii="Times New Roman" w:eastAsia="Times New Roman" w:hAnsi="Times New Roman" w:cs="Times New Roman"/>
          <w:kern w:val="0"/>
          <w:sz w:val="24"/>
          <w:szCs w:val="24"/>
          <w14:ligatures w14:val="none"/>
        </w:rPr>
      </w:pPr>
    </w:p>
    <w:p w14:paraId="4C4D8E14" w14:textId="63AC698B" w:rsidR="00114355" w:rsidRDefault="00316207" w:rsidP="00114355">
      <w:pPr>
        <w:pStyle w:val="Default"/>
        <w:spacing w:line="480" w:lineRule="auto"/>
      </w:pPr>
      <w:r>
        <w:t>With the big data approach, we could possibly</w:t>
      </w:r>
      <w:r w:rsidR="00122F2A">
        <w:t xml:space="preserve"> determine factors</w:t>
      </w:r>
      <w:r w:rsidR="001248AC">
        <w:t xml:space="preserve"> that could mimic successful brand </w:t>
      </w:r>
      <w:r w:rsidR="00AD22AE">
        <w:t>thereby</w:t>
      </w:r>
      <w:r>
        <w:t xml:space="preserve"> </w:t>
      </w:r>
      <w:r w:rsidR="00122F2A">
        <w:t>boost</w:t>
      </w:r>
      <w:r w:rsidR="00AD22AE">
        <w:t>ing</w:t>
      </w:r>
      <w:r w:rsidR="00122F2A">
        <w:t xml:space="preserve"> sales</w:t>
      </w:r>
      <w:r w:rsidR="00AD22AE">
        <w:t>, which could be a good model for</w:t>
      </w:r>
      <w:r w:rsidR="00050B5F">
        <w:t xml:space="preserve"> fashion-forward, fast fashion </w:t>
      </w:r>
      <w:r w:rsidR="00050B5F">
        <w:lastRenderedPageBreak/>
        <w:t>brands</w:t>
      </w:r>
      <w:r w:rsidR="004F36AB">
        <w:t xml:space="preserve"> lik</w:t>
      </w:r>
      <w:r w:rsidR="00050B5F">
        <w:t>e</w:t>
      </w:r>
      <w:r w:rsidR="004F36AB">
        <w:t xml:space="preserve"> Gap &amp; Old Navy. But to deter</w:t>
      </w:r>
      <w:r w:rsidR="00425D8B">
        <w:t>mine</w:t>
      </w:r>
      <w:r w:rsidR="006E78C7">
        <w:t xml:space="preserve"> if</w:t>
      </w:r>
      <w:r w:rsidR="00425D8B">
        <w:t xml:space="preserve"> the same</w:t>
      </w:r>
      <w:r w:rsidR="006E78C7">
        <w:t xml:space="preserve"> works</w:t>
      </w:r>
      <w:r w:rsidR="00425D8B">
        <w:t xml:space="preserve"> for high-end fashion brand like </w:t>
      </w:r>
      <w:r w:rsidR="00C02516">
        <w:t>Banana Republic, we changed our approach.</w:t>
      </w:r>
    </w:p>
    <w:p w14:paraId="7D4BB31D" w14:textId="4A0A0D49" w:rsidR="4F6F2F6E" w:rsidRDefault="298BE3ED" w:rsidP="4F6F2F6E">
      <w:pPr>
        <w:pStyle w:val="Default"/>
        <w:spacing w:line="480" w:lineRule="auto"/>
      </w:pPr>
      <w:r>
        <w:t xml:space="preserve">Analysis </w:t>
      </w:r>
      <w:r w:rsidR="361D50AA">
        <w:t>until</w:t>
      </w:r>
      <w:r>
        <w:t xml:space="preserve"> now revolved around </w:t>
      </w:r>
      <w:r w:rsidR="586ACD8E">
        <w:t xml:space="preserve">brands which are in the thrifty range, </w:t>
      </w:r>
      <w:r w:rsidR="42A04517">
        <w:t xml:space="preserve">in this section a different dynamic of expensive brands were explored. </w:t>
      </w:r>
      <w:r w:rsidR="54610460">
        <w:t xml:space="preserve">7 luxury </w:t>
      </w:r>
      <w:proofErr w:type="gramStart"/>
      <w:r w:rsidR="54610460">
        <w:t>companies</w:t>
      </w:r>
      <w:proofErr w:type="gramEnd"/>
      <w:r w:rsidR="54610460">
        <w:t xml:space="preserve"> sales data were collected. </w:t>
      </w:r>
      <w:r w:rsidR="6FF39155">
        <w:t>We</w:t>
      </w:r>
      <w:r w:rsidR="47A83BA0">
        <w:t xml:space="preserve"> performed hypothesis testing for percentage change in sales </w:t>
      </w:r>
      <w:r w:rsidR="3529EBE3">
        <w:t>year-wise</w:t>
      </w:r>
      <w:r w:rsidR="6FF39155">
        <w:t xml:space="preserve"> </w:t>
      </w:r>
      <w:r w:rsidR="47A83BA0">
        <w:t xml:space="preserve">for such brands. Independent </w:t>
      </w:r>
      <w:r w:rsidR="2B27817D">
        <w:t>variables considered are the 1/</w:t>
      </w:r>
      <w:r w:rsidR="7DEBAE4E">
        <w:t>sales</w:t>
      </w:r>
      <w:r w:rsidR="3CF76362">
        <w:t xml:space="preserve"> </w:t>
      </w:r>
      <w:r w:rsidR="2B27817D">
        <w:t xml:space="preserve">(to capture </w:t>
      </w:r>
      <w:r w:rsidR="474DA924">
        <w:t xml:space="preserve">the </w:t>
      </w:r>
      <w:r w:rsidR="2B27817D">
        <w:t>size</w:t>
      </w:r>
      <w:r w:rsidR="3C6F6EBD">
        <w:t xml:space="preserve"> of the company), classy/trendy</w:t>
      </w:r>
      <w:r w:rsidR="6EAC9DAE">
        <w:t xml:space="preserve"> (0/1</w:t>
      </w:r>
      <w:proofErr w:type="gramStart"/>
      <w:r w:rsidR="37E2FDFF">
        <w:t>)</w:t>
      </w:r>
      <w:r w:rsidR="30297D3E">
        <w:t>,</w:t>
      </w:r>
      <w:r w:rsidR="37E2FDFF">
        <w:t>,</w:t>
      </w:r>
      <w:proofErr w:type="gramEnd"/>
      <w:r w:rsidR="3C6F6EBD">
        <w:t xml:space="preserve"> and Big Data </w:t>
      </w:r>
      <w:r w:rsidR="6EAC9DAE">
        <w:t xml:space="preserve">(0/1) </w:t>
      </w:r>
      <w:r w:rsidR="51C9C92B">
        <w:t xml:space="preserve">the categorical variables. </w:t>
      </w:r>
      <w:r w:rsidR="66324537">
        <w:t xml:space="preserve"> </w:t>
      </w:r>
    </w:p>
    <w:tbl>
      <w:tblPr>
        <w:tblW w:w="9360" w:type="dxa"/>
        <w:tblLayout w:type="fixed"/>
        <w:tblLook w:val="06A0" w:firstRow="1" w:lastRow="0" w:firstColumn="1" w:lastColumn="0" w:noHBand="1" w:noVBand="1"/>
      </w:tblPr>
      <w:tblGrid>
        <w:gridCol w:w="1340"/>
        <w:gridCol w:w="1170"/>
        <w:gridCol w:w="1158"/>
        <w:gridCol w:w="882"/>
        <w:gridCol w:w="827"/>
        <w:gridCol w:w="1186"/>
        <w:gridCol w:w="860"/>
        <w:gridCol w:w="903"/>
        <w:gridCol w:w="1034"/>
      </w:tblGrid>
      <w:tr w:rsidR="1C09DF7E" w14:paraId="426CBE9D" w14:textId="77777777" w:rsidTr="00B4581A">
        <w:trPr>
          <w:trHeight w:val="285"/>
        </w:trPr>
        <w:tc>
          <w:tcPr>
            <w:tcW w:w="1340" w:type="dxa"/>
            <w:tcBorders>
              <w:top w:val="single" w:sz="8" w:space="0" w:color="auto"/>
              <w:left w:val="single" w:sz="8" w:space="0" w:color="auto"/>
              <w:bottom w:val="single" w:sz="4" w:space="0" w:color="auto"/>
              <w:right w:val="single" w:sz="4" w:space="0" w:color="auto"/>
            </w:tcBorders>
            <w:tcMar>
              <w:top w:w="15" w:type="dxa"/>
              <w:left w:w="15" w:type="dxa"/>
              <w:right w:w="15" w:type="dxa"/>
            </w:tcMar>
            <w:vAlign w:val="bottom"/>
          </w:tcPr>
          <w:p w14:paraId="1696B94E" w14:textId="16EFA162" w:rsidR="1C09DF7E" w:rsidRDefault="1C09DF7E" w:rsidP="1C09DF7E">
            <w:pPr>
              <w:spacing w:after="0"/>
              <w:jc w:val="center"/>
              <w:rPr>
                <w:rFonts w:ascii="Calibri" w:eastAsia="Calibri" w:hAnsi="Calibri" w:cs="Calibri"/>
                <w:i/>
                <w:iCs/>
                <w:color w:val="000000" w:themeColor="text1"/>
              </w:rPr>
            </w:pPr>
          </w:p>
        </w:tc>
        <w:tc>
          <w:tcPr>
            <w:tcW w:w="1170"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2B39E8D9" w14:textId="4D82D9B6" w:rsidR="1C09DF7E" w:rsidRDefault="1C09DF7E" w:rsidP="1C09DF7E">
            <w:pPr>
              <w:spacing w:after="0"/>
              <w:jc w:val="center"/>
            </w:pPr>
            <w:r w:rsidRPr="1C09DF7E">
              <w:rPr>
                <w:rFonts w:ascii="Calibri" w:eastAsia="Calibri" w:hAnsi="Calibri" w:cs="Calibri"/>
                <w:i/>
                <w:iCs/>
                <w:color w:val="000000" w:themeColor="text1"/>
              </w:rPr>
              <w:t>Coefficients</w:t>
            </w:r>
          </w:p>
        </w:tc>
        <w:tc>
          <w:tcPr>
            <w:tcW w:w="1158"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2A213920" w14:textId="186FBEBC" w:rsidR="1C09DF7E" w:rsidRDefault="1C09DF7E" w:rsidP="1C09DF7E">
            <w:pPr>
              <w:spacing w:after="0"/>
              <w:jc w:val="center"/>
            </w:pPr>
            <w:r w:rsidRPr="1C09DF7E">
              <w:rPr>
                <w:rFonts w:ascii="Calibri" w:eastAsia="Calibri" w:hAnsi="Calibri" w:cs="Calibri"/>
                <w:i/>
                <w:iCs/>
                <w:color w:val="000000" w:themeColor="text1"/>
              </w:rPr>
              <w:t>Standard Error</w:t>
            </w:r>
          </w:p>
        </w:tc>
        <w:tc>
          <w:tcPr>
            <w:tcW w:w="882"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08E359E6" w14:textId="436DDF77" w:rsidR="1C09DF7E" w:rsidRDefault="1C09DF7E" w:rsidP="1C09DF7E">
            <w:pPr>
              <w:spacing w:after="0"/>
              <w:jc w:val="center"/>
            </w:pPr>
            <w:r w:rsidRPr="1C09DF7E">
              <w:rPr>
                <w:rFonts w:ascii="Calibri" w:eastAsia="Calibri" w:hAnsi="Calibri" w:cs="Calibri"/>
                <w:i/>
                <w:iCs/>
                <w:color w:val="000000" w:themeColor="text1"/>
              </w:rPr>
              <w:t>t Stat</w:t>
            </w:r>
          </w:p>
        </w:tc>
        <w:tc>
          <w:tcPr>
            <w:tcW w:w="827"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3520F134" w14:textId="6992C64E" w:rsidR="1C09DF7E" w:rsidRDefault="1C09DF7E" w:rsidP="1C09DF7E">
            <w:pPr>
              <w:spacing w:after="0"/>
              <w:jc w:val="center"/>
            </w:pPr>
            <w:r w:rsidRPr="1C09DF7E">
              <w:rPr>
                <w:rFonts w:ascii="Calibri" w:eastAsia="Calibri" w:hAnsi="Calibri" w:cs="Calibri"/>
                <w:i/>
                <w:iCs/>
                <w:color w:val="000000" w:themeColor="text1"/>
              </w:rPr>
              <w:t>P-value</w:t>
            </w:r>
          </w:p>
        </w:tc>
        <w:tc>
          <w:tcPr>
            <w:tcW w:w="1186"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24A46845" w14:textId="1C665D6C" w:rsidR="1C09DF7E" w:rsidRDefault="1C09DF7E" w:rsidP="1C09DF7E">
            <w:pPr>
              <w:spacing w:after="0"/>
              <w:jc w:val="center"/>
            </w:pPr>
            <w:r w:rsidRPr="1C09DF7E">
              <w:rPr>
                <w:rFonts w:ascii="Calibri" w:eastAsia="Calibri" w:hAnsi="Calibri" w:cs="Calibri"/>
                <w:i/>
                <w:iCs/>
                <w:color w:val="000000" w:themeColor="text1"/>
              </w:rPr>
              <w:t>Lower 95%</w:t>
            </w:r>
          </w:p>
        </w:tc>
        <w:tc>
          <w:tcPr>
            <w:tcW w:w="860"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0E4C5E98" w14:textId="491DC3E7" w:rsidR="1C09DF7E" w:rsidRDefault="1C09DF7E" w:rsidP="1C09DF7E">
            <w:pPr>
              <w:spacing w:after="0"/>
              <w:jc w:val="center"/>
            </w:pPr>
            <w:r w:rsidRPr="1C09DF7E">
              <w:rPr>
                <w:rFonts w:ascii="Calibri" w:eastAsia="Calibri" w:hAnsi="Calibri" w:cs="Calibri"/>
                <w:i/>
                <w:iCs/>
                <w:color w:val="000000" w:themeColor="text1"/>
              </w:rPr>
              <w:t>Upper 95%</w:t>
            </w:r>
          </w:p>
        </w:tc>
        <w:tc>
          <w:tcPr>
            <w:tcW w:w="903"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5C023DD8" w14:textId="0366CB0A" w:rsidR="1C09DF7E" w:rsidRDefault="1C09DF7E" w:rsidP="1C09DF7E">
            <w:pPr>
              <w:spacing w:after="0"/>
              <w:jc w:val="center"/>
            </w:pPr>
            <w:r w:rsidRPr="1C09DF7E">
              <w:rPr>
                <w:rFonts w:ascii="Calibri" w:eastAsia="Calibri" w:hAnsi="Calibri" w:cs="Calibri"/>
                <w:i/>
                <w:iCs/>
                <w:color w:val="000000" w:themeColor="text1"/>
              </w:rPr>
              <w:t>Lower 95.0%</w:t>
            </w:r>
          </w:p>
        </w:tc>
        <w:tc>
          <w:tcPr>
            <w:tcW w:w="1034" w:type="dxa"/>
            <w:tcBorders>
              <w:top w:val="single" w:sz="8" w:space="0" w:color="auto"/>
              <w:left w:val="single" w:sz="4" w:space="0" w:color="auto"/>
              <w:bottom w:val="single" w:sz="4" w:space="0" w:color="auto"/>
              <w:right w:val="single" w:sz="8" w:space="0" w:color="auto"/>
            </w:tcBorders>
            <w:tcMar>
              <w:top w:w="15" w:type="dxa"/>
              <w:left w:w="15" w:type="dxa"/>
              <w:right w:w="15" w:type="dxa"/>
            </w:tcMar>
            <w:vAlign w:val="bottom"/>
          </w:tcPr>
          <w:p w14:paraId="010D8FBB" w14:textId="1471C93A" w:rsidR="1C09DF7E" w:rsidRDefault="1C09DF7E" w:rsidP="1C09DF7E">
            <w:pPr>
              <w:spacing w:after="0"/>
              <w:jc w:val="center"/>
            </w:pPr>
            <w:r w:rsidRPr="1C09DF7E">
              <w:rPr>
                <w:rFonts w:ascii="Calibri" w:eastAsia="Calibri" w:hAnsi="Calibri" w:cs="Calibri"/>
                <w:i/>
                <w:iCs/>
                <w:color w:val="000000" w:themeColor="text1"/>
              </w:rPr>
              <w:t>Upper 95.0%</w:t>
            </w:r>
          </w:p>
        </w:tc>
      </w:tr>
      <w:tr w:rsidR="1C09DF7E" w14:paraId="45B6DD3E" w14:textId="77777777" w:rsidTr="00B4581A">
        <w:trPr>
          <w:trHeight w:val="285"/>
        </w:trPr>
        <w:tc>
          <w:tcPr>
            <w:tcW w:w="134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4FF03CA8" w14:textId="28CF8692" w:rsidR="1C09DF7E" w:rsidRDefault="1C09DF7E" w:rsidP="1C09DF7E">
            <w:pPr>
              <w:spacing w:after="0"/>
            </w:pPr>
            <w:r w:rsidRPr="1C09DF7E">
              <w:rPr>
                <w:rFonts w:ascii="Calibri" w:eastAsia="Calibri" w:hAnsi="Calibri" w:cs="Calibri"/>
                <w:color w:val="000000" w:themeColor="text1"/>
              </w:rPr>
              <w:t>Intercept</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682454" w14:textId="32BF8284" w:rsidR="1C09DF7E" w:rsidRDefault="1C09DF7E" w:rsidP="1C09DF7E">
            <w:pPr>
              <w:spacing w:after="0"/>
            </w:pPr>
            <w:r w:rsidRPr="1C09DF7E">
              <w:rPr>
                <w:rFonts w:ascii="Calibri" w:eastAsia="Calibri" w:hAnsi="Calibri" w:cs="Calibri"/>
                <w:color w:val="000000" w:themeColor="text1"/>
              </w:rPr>
              <w:t>0.20</w:t>
            </w:r>
          </w:p>
        </w:tc>
        <w:tc>
          <w:tcPr>
            <w:tcW w:w="11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74AD39" w14:textId="5B04A9F0" w:rsidR="1C09DF7E" w:rsidRDefault="1C09DF7E" w:rsidP="1C09DF7E">
            <w:pPr>
              <w:spacing w:after="0"/>
            </w:pPr>
            <w:r w:rsidRPr="1C09DF7E">
              <w:rPr>
                <w:rFonts w:ascii="Calibri" w:eastAsia="Calibri" w:hAnsi="Calibri" w:cs="Calibri"/>
                <w:color w:val="000000" w:themeColor="text1"/>
              </w:rPr>
              <w:t>0.12</w:t>
            </w:r>
          </w:p>
        </w:tc>
        <w:tc>
          <w:tcPr>
            <w:tcW w:w="88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7083254" w14:textId="69601818" w:rsidR="1C09DF7E" w:rsidRDefault="1C09DF7E" w:rsidP="1C09DF7E">
            <w:pPr>
              <w:spacing w:after="0"/>
            </w:pPr>
            <w:r w:rsidRPr="1C09DF7E">
              <w:rPr>
                <w:rFonts w:ascii="Calibri" w:eastAsia="Calibri" w:hAnsi="Calibri" w:cs="Calibri"/>
                <w:color w:val="000000" w:themeColor="text1"/>
              </w:rPr>
              <w:t>1.76</w:t>
            </w:r>
          </w:p>
        </w:tc>
        <w:tc>
          <w:tcPr>
            <w:tcW w:w="8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E0DD57" w14:textId="3B377CC1" w:rsidR="1C09DF7E" w:rsidRDefault="1C09DF7E" w:rsidP="1C09DF7E">
            <w:pPr>
              <w:spacing w:after="0"/>
            </w:pPr>
            <w:r w:rsidRPr="1C09DF7E">
              <w:rPr>
                <w:rFonts w:ascii="Calibri" w:eastAsia="Calibri" w:hAnsi="Calibri" w:cs="Calibri"/>
                <w:color w:val="000000" w:themeColor="text1"/>
              </w:rPr>
              <w:t>0.09</w:t>
            </w:r>
          </w:p>
        </w:tc>
        <w:tc>
          <w:tcPr>
            <w:tcW w:w="11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55AEBF" w14:textId="378B7460" w:rsidR="1C09DF7E" w:rsidRDefault="1C09DF7E" w:rsidP="1C09DF7E">
            <w:pPr>
              <w:spacing w:after="0"/>
            </w:pPr>
            <w:r w:rsidRPr="1C09DF7E">
              <w:rPr>
                <w:rFonts w:ascii="Calibri" w:eastAsia="Calibri" w:hAnsi="Calibri" w:cs="Calibri"/>
                <w:color w:val="000000" w:themeColor="text1"/>
              </w:rPr>
              <w:t>-0.03</w:t>
            </w:r>
          </w:p>
        </w:tc>
        <w:tc>
          <w:tcPr>
            <w:tcW w:w="8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9D471F" w14:textId="65CE8819" w:rsidR="1C09DF7E" w:rsidRDefault="1C09DF7E" w:rsidP="1C09DF7E">
            <w:pPr>
              <w:spacing w:after="0"/>
            </w:pPr>
            <w:r w:rsidRPr="1C09DF7E">
              <w:rPr>
                <w:rFonts w:ascii="Calibri" w:eastAsia="Calibri" w:hAnsi="Calibri" w:cs="Calibri"/>
                <w:color w:val="000000" w:themeColor="text1"/>
              </w:rPr>
              <w:t>0.44</w:t>
            </w:r>
          </w:p>
        </w:tc>
        <w:tc>
          <w:tcPr>
            <w:tcW w:w="9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5B11BE" w14:textId="3D22982D" w:rsidR="1C09DF7E" w:rsidRDefault="1C09DF7E" w:rsidP="1C09DF7E">
            <w:pPr>
              <w:spacing w:after="0"/>
            </w:pPr>
            <w:r w:rsidRPr="1C09DF7E">
              <w:rPr>
                <w:rFonts w:ascii="Calibri" w:eastAsia="Calibri" w:hAnsi="Calibri" w:cs="Calibri"/>
                <w:color w:val="000000" w:themeColor="text1"/>
              </w:rPr>
              <w:t>-0.03</w:t>
            </w:r>
          </w:p>
        </w:tc>
        <w:tc>
          <w:tcPr>
            <w:tcW w:w="1034"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3CFE9AD1" w14:textId="4F02BFBF" w:rsidR="1C09DF7E" w:rsidRDefault="1C09DF7E" w:rsidP="1C09DF7E">
            <w:pPr>
              <w:spacing w:after="0"/>
            </w:pPr>
            <w:r w:rsidRPr="1C09DF7E">
              <w:rPr>
                <w:rFonts w:ascii="Calibri" w:eastAsia="Calibri" w:hAnsi="Calibri" w:cs="Calibri"/>
                <w:color w:val="000000" w:themeColor="text1"/>
              </w:rPr>
              <w:t>0.44</w:t>
            </w:r>
          </w:p>
        </w:tc>
      </w:tr>
      <w:tr w:rsidR="1C09DF7E" w14:paraId="38BE4A7F" w14:textId="77777777" w:rsidTr="00B4581A">
        <w:trPr>
          <w:trHeight w:val="285"/>
        </w:trPr>
        <w:tc>
          <w:tcPr>
            <w:tcW w:w="134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257D8DB7" w14:textId="5364C64F" w:rsidR="1C09DF7E" w:rsidRDefault="1C09DF7E" w:rsidP="1C09DF7E">
            <w:pPr>
              <w:spacing w:after="0"/>
            </w:pPr>
            <w:proofErr w:type="spellStart"/>
            <w:r w:rsidRPr="1C09DF7E">
              <w:rPr>
                <w:rFonts w:ascii="Calibri" w:eastAsia="Calibri" w:hAnsi="Calibri" w:cs="Calibri"/>
                <w:color w:val="000000" w:themeColor="text1"/>
              </w:rPr>
              <w:t>Trendy_Classic</w:t>
            </w:r>
            <w:proofErr w:type="spellEnd"/>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C2A5F4" w14:textId="4808407E" w:rsidR="1C09DF7E" w:rsidRDefault="1C09DF7E" w:rsidP="1C09DF7E">
            <w:pPr>
              <w:spacing w:after="0"/>
            </w:pPr>
            <w:r w:rsidRPr="1C09DF7E">
              <w:rPr>
                <w:rFonts w:ascii="Calibri" w:eastAsia="Calibri" w:hAnsi="Calibri" w:cs="Calibri"/>
                <w:color w:val="000000" w:themeColor="text1"/>
              </w:rPr>
              <w:t>-0.04</w:t>
            </w:r>
          </w:p>
        </w:tc>
        <w:tc>
          <w:tcPr>
            <w:tcW w:w="115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B2067D" w14:textId="28BE4FF6" w:rsidR="1C09DF7E" w:rsidRDefault="1C09DF7E" w:rsidP="1C09DF7E">
            <w:pPr>
              <w:spacing w:after="0"/>
            </w:pPr>
            <w:r w:rsidRPr="1C09DF7E">
              <w:rPr>
                <w:rFonts w:ascii="Calibri" w:eastAsia="Calibri" w:hAnsi="Calibri" w:cs="Calibri"/>
                <w:color w:val="000000" w:themeColor="text1"/>
              </w:rPr>
              <w:t>0.07</w:t>
            </w:r>
          </w:p>
        </w:tc>
        <w:tc>
          <w:tcPr>
            <w:tcW w:w="88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948D2F" w14:textId="2E9C71A6" w:rsidR="1C09DF7E" w:rsidRDefault="1C09DF7E" w:rsidP="1C09DF7E">
            <w:pPr>
              <w:spacing w:after="0"/>
            </w:pPr>
            <w:r w:rsidRPr="1C09DF7E">
              <w:rPr>
                <w:rFonts w:ascii="Calibri" w:eastAsia="Calibri" w:hAnsi="Calibri" w:cs="Calibri"/>
                <w:color w:val="000000" w:themeColor="text1"/>
              </w:rPr>
              <w:t>-0.57</w:t>
            </w:r>
          </w:p>
        </w:tc>
        <w:tc>
          <w:tcPr>
            <w:tcW w:w="82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F67EF5" w14:textId="6B8DFF5C" w:rsidR="1C09DF7E" w:rsidRDefault="1C09DF7E" w:rsidP="1C09DF7E">
            <w:pPr>
              <w:spacing w:after="0"/>
            </w:pPr>
            <w:r w:rsidRPr="1C09DF7E">
              <w:rPr>
                <w:rFonts w:ascii="Calibri" w:eastAsia="Calibri" w:hAnsi="Calibri" w:cs="Calibri"/>
                <w:color w:val="000000" w:themeColor="text1"/>
              </w:rPr>
              <w:t>0.57</w:t>
            </w:r>
          </w:p>
        </w:tc>
        <w:tc>
          <w:tcPr>
            <w:tcW w:w="11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88BB5E" w14:textId="12C8E216" w:rsidR="1C09DF7E" w:rsidRDefault="1C09DF7E" w:rsidP="1C09DF7E">
            <w:pPr>
              <w:spacing w:after="0"/>
            </w:pPr>
            <w:r w:rsidRPr="1C09DF7E">
              <w:rPr>
                <w:rFonts w:ascii="Calibri" w:eastAsia="Calibri" w:hAnsi="Calibri" w:cs="Calibri"/>
                <w:color w:val="000000" w:themeColor="text1"/>
              </w:rPr>
              <w:t>-0.17</w:t>
            </w:r>
          </w:p>
        </w:tc>
        <w:tc>
          <w:tcPr>
            <w:tcW w:w="8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950681" w14:textId="29A1ACCB" w:rsidR="1C09DF7E" w:rsidRDefault="1C09DF7E" w:rsidP="1C09DF7E">
            <w:pPr>
              <w:spacing w:after="0"/>
            </w:pPr>
            <w:r w:rsidRPr="1C09DF7E">
              <w:rPr>
                <w:rFonts w:ascii="Calibri" w:eastAsia="Calibri" w:hAnsi="Calibri" w:cs="Calibri"/>
                <w:color w:val="000000" w:themeColor="text1"/>
              </w:rPr>
              <w:t>0.10</w:t>
            </w:r>
          </w:p>
        </w:tc>
        <w:tc>
          <w:tcPr>
            <w:tcW w:w="9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EAEE8D0" w14:textId="49C2F4AB" w:rsidR="1C09DF7E" w:rsidRDefault="1C09DF7E" w:rsidP="1C09DF7E">
            <w:pPr>
              <w:spacing w:after="0"/>
            </w:pPr>
            <w:r w:rsidRPr="1C09DF7E">
              <w:rPr>
                <w:rFonts w:ascii="Calibri" w:eastAsia="Calibri" w:hAnsi="Calibri" w:cs="Calibri"/>
                <w:color w:val="000000" w:themeColor="text1"/>
              </w:rPr>
              <w:t>-0.17</w:t>
            </w:r>
          </w:p>
        </w:tc>
        <w:tc>
          <w:tcPr>
            <w:tcW w:w="1034"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34B6EC92" w14:textId="1AA752DE" w:rsidR="1C09DF7E" w:rsidRDefault="1C09DF7E" w:rsidP="1C09DF7E">
            <w:pPr>
              <w:spacing w:after="0"/>
            </w:pPr>
            <w:r w:rsidRPr="1C09DF7E">
              <w:rPr>
                <w:rFonts w:ascii="Calibri" w:eastAsia="Calibri" w:hAnsi="Calibri" w:cs="Calibri"/>
                <w:color w:val="000000" w:themeColor="text1"/>
              </w:rPr>
              <w:t>0.10</w:t>
            </w:r>
          </w:p>
        </w:tc>
      </w:tr>
      <w:tr w:rsidR="1C09DF7E" w14:paraId="67D97235" w14:textId="77777777" w:rsidTr="00B4581A">
        <w:trPr>
          <w:trHeight w:val="285"/>
        </w:trPr>
        <w:tc>
          <w:tcPr>
            <w:tcW w:w="1340" w:type="dxa"/>
            <w:tcBorders>
              <w:top w:val="single" w:sz="4" w:space="0" w:color="auto"/>
              <w:left w:val="single" w:sz="8" w:space="0" w:color="auto"/>
              <w:bottom w:val="single" w:sz="4" w:space="0" w:color="auto"/>
              <w:right w:val="single" w:sz="4" w:space="0" w:color="auto"/>
            </w:tcBorders>
            <w:shd w:val="clear" w:color="auto" w:fill="FFFF00"/>
            <w:tcMar>
              <w:top w:w="15" w:type="dxa"/>
              <w:left w:w="15" w:type="dxa"/>
              <w:right w:w="15" w:type="dxa"/>
            </w:tcMar>
            <w:vAlign w:val="bottom"/>
          </w:tcPr>
          <w:p w14:paraId="47E100D2" w14:textId="24B2109F" w:rsidR="1C09DF7E" w:rsidRDefault="1C09DF7E" w:rsidP="1C09DF7E">
            <w:pPr>
              <w:spacing w:after="0"/>
            </w:pPr>
            <w:r w:rsidRPr="1C09DF7E">
              <w:rPr>
                <w:rFonts w:ascii="Calibri" w:eastAsia="Calibri" w:hAnsi="Calibri" w:cs="Calibri"/>
                <w:color w:val="000000" w:themeColor="text1"/>
              </w:rPr>
              <w:t>Big data</w:t>
            </w:r>
          </w:p>
        </w:tc>
        <w:tc>
          <w:tcPr>
            <w:tcW w:w="1170"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bottom"/>
          </w:tcPr>
          <w:p w14:paraId="18AEAC03" w14:textId="7F36A71A" w:rsidR="1C09DF7E" w:rsidRDefault="1C09DF7E" w:rsidP="1C09DF7E">
            <w:pPr>
              <w:spacing w:after="0"/>
            </w:pPr>
            <w:r w:rsidRPr="1C09DF7E">
              <w:rPr>
                <w:rFonts w:ascii="Calibri" w:eastAsia="Calibri" w:hAnsi="Calibri" w:cs="Calibri"/>
                <w:color w:val="000000" w:themeColor="text1"/>
              </w:rPr>
              <w:t>-0.07</w:t>
            </w:r>
          </w:p>
        </w:tc>
        <w:tc>
          <w:tcPr>
            <w:tcW w:w="1158"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bottom"/>
          </w:tcPr>
          <w:p w14:paraId="66EB4CB9" w14:textId="2F57D68B" w:rsidR="1C09DF7E" w:rsidRDefault="1C09DF7E" w:rsidP="1C09DF7E">
            <w:pPr>
              <w:spacing w:after="0"/>
            </w:pPr>
            <w:r w:rsidRPr="1C09DF7E">
              <w:rPr>
                <w:rFonts w:ascii="Calibri" w:eastAsia="Calibri" w:hAnsi="Calibri" w:cs="Calibri"/>
                <w:color w:val="000000" w:themeColor="text1"/>
              </w:rPr>
              <w:t>0.12</w:t>
            </w:r>
          </w:p>
        </w:tc>
        <w:tc>
          <w:tcPr>
            <w:tcW w:w="882"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bottom"/>
          </w:tcPr>
          <w:p w14:paraId="6F3DC03A" w14:textId="69B8EA37" w:rsidR="1C09DF7E" w:rsidRDefault="1C09DF7E" w:rsidP="1C09DF7E">
            <w:pPr>
              <w:spacing w:after="0"/>
            </w:pPr>
            <w:r w:rsidRPr="1C09DF7E">
              <w:rPr>
                <w:rFonts w:ascii="Calibri" w:eastAsia="Calibri" w:hAnsi="Calibri" w:cs="Calibri"/>
                <w:color w:val="000000" w:themeColor="text1"/>
              </w:rPr>
              <w:t>-0.63</w:t>
            </w:r>
          </w:p>
        </w:tc>
        <w:tc>
          <w:tcPr>
            <w:tcW w:w="827"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bottom"/>
          </w:tcPr>
          <w:p w14:paraId="57406B78" w14:textId="6E6C36D2" w:rsidR="1C09DF7E" w:rsidRDefault="1C09DF7E" w:rsidP="1C09DF7E">
            <w:pPr>
              <w:spacing w:after="0"/>
            </w:pPr>
            <w:r w:rsidRPr="1C09DF7E">
              <w:rPr>
                <w:rFonts w:ascii="Calibri" w:eastAsia="Calibri" w:hAnsi="Calibri" w:cs="Calibri"/>
                <w:color w:val="000000" w:themeColor="text1"/>
              </w:rPr>
              <w:t>0.53</w:t>
            </w:r>
          </w:p>
        </w:tc>
        <w:tc>
          <w:tcPr>
            <w:tcW w:w="1186"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bottom"/>
          </w:tcPr>
          <w:p w14:paraId="75991A15" w14:textId="5A4014CE" w:rsidR="1C09DF7E" w:rsidRDefault="1C09DF7E" w:rsidP="1C09DF7E">
            <w:pPr>
              <w:spacing w:after="0"/>
            </w:pPr>
            <w:r w:rsidRPr="1C09DF7E">
              <w:rPr>
                <w:rFonts w:ascii="Calibri" w:eastAsia="Calibri" w:hAnsi="Calibri" w:cs="Calibri"/>
                <w:color w:val="000000" w:themeColor="text1"/>
              </w:rPr>
              <w:t>-0.31</w:t>
            </w:r>
          </w:p>
        </w:tc>
        <w:tc>
          <w:tcPr>
            <w:tcW w:w="860"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bottom"/>
          </w:tcPr>
          <w:p w14:paraId="190124F6" w14:textId="06BA0D9A" w:rsidR="1C09DF7E" w:rsidRDefault="1C09DF7E" w:rsidP="1C09DF7E">
            <w:pPr>
              <w:spacing w:after="0"/>
            </w:pPr>
            <w:r w:rsidRPr="1C09DF7E">
              <w:rPr>
                <w:rFonts w:ascii="Calibri" w:eastAsia="Calibri" w:hAnsi="Calibri" w:cs="Calibri"/>
                <w:color w:val="000000" w:themeColor="text1"/>
              </w:rPr>
              <w:t>0.16</w:t>
            </w:r>
          </w:p>
        </w:tc>
        <w:tc>
          <w:tcPr>
            <w:tcW w:w="903"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bottom"/>
          </w:tcPr>
          <w:p w14:paraId="1B9DBFEB" w14:textId="1079B7D8" w:rsidR="1C09DF7E" w:rsidRDefault="1C09DF7E" w:rsidP="1C09DF7E">
            <w:pPr>
              <w:spacing w:after="0"/>
            </w:pPr>
            <w:r w:rsidRPr="1C09DF7E">
              <w:rPr>
                <w:rFonts w:ascii="Calibri" w:eastAsia="Calibri" w:hAnsi="Calibri" w:cs="Calibri"/>
                <w:color w:val="000000" w:themeColor="text1"/>
              </w:rPr>
              <w:t>-0.31</w:t>
            </w:r>
          </w:p>
        </w:tc>
        <w:tc>
          <w:tcPr>
            <w:tcW w:w="1034" w:type="dxa"/>
            <w:tcBorders>
              <w:top w:val="single" w:sz="4" w:space="0" w:color="auto"/>
              <w:left w:val="single" w:sz="4" w:space="0" w:color="auto"/>
              <w:bottom w:val="single" w:sz="4" w:space="0" w:color="auto"/>
              <w:right w:val="single" w:sz="8" w:space="0" w:color="auto"/>
            </w:tcBorders>
            <w:shd w:val="clear" w:color="auto" w:fill="FFFF00"/>
            <w:tcMar>
              <w:top w:w="15" w:type="dxa"/>
              <w:left w:w="15" w:type="dxa"/>
              <w:right w:w="15" w:type="dxa"/>
            </w:tcMar>
            <w:vAlign w:val="bottom"/>
          </w:tcPr>
          <w:p w14:paraId="3C437761" w14:textId="2E6B3E05" w:rsidR="1C09DF7E" w:rsidRDefault="1C09DF7E" w:rsidP="1C09DF7E">
            <w:pPr>
              <w:spacing w:after="0"/>
            </w:pPr>
            <w:r w:rsidRPr="1C09DF7E">
              <w:rPr>
                <w:rFonts w:ascii="Calibri" w:eastAsia="Calibri" w:hAnsi="Calibri" w:cs="Calibri"/>
                <w:color w:val="000000" w:themeColor="text1"/>
              </w:rPr>
              <w:t>0.16</w:t>
            </w:r>
          </w:p>
        </w:tc>
      </w:tr>
      <w:tr w:rsidR="1C09DF7E" w14:paraId="41C0703D" w14:textId="77777777" w:rsidTr="00B4581A">
        <w:trPr>
          <w:trHeight w:val="300"/>
        </w:trPr>
        <w:tc>
          <w:tcPr>
            <w:tcW w:w="1340" w:type="dxa"/>
            <w:tcBorders>
              <w:top w:val="single" w:sz="4" w:space="0" w:color="auto"/>
              <w:left w:val="single" w:sz="8" w:space="0" w:color="auto"/>
              <w:bottom w:val="single" w:sz="8" w:space="0" w:color="auto"/>
              <w:right w:val="single" w:sz="4" w:space="0" w:color="auto"/>
            </w:tcBorders>
            <w:tcMar>
              <w:top w:w="15" w:type="dxa"/>
              <w:left w:w="15" w:type="dxa"/>
              <w:right w:w="15" w:type="dxa"/>
            </w:tcMar>
            <w:vAlign w:val="bottom"/>
          </w:tcPr>
          <w:p w14:paraId="30F81262" w14:textId="7595E84F" w:rsidR="1C09DF7E" w:rsidRDefault="1C09DF7E" w:rsidP="1C09DF7E">
            <w:pPr>
              <w:spacing w:after="0"/>
            </w:pPr>
            <w:r w:rsidRPr="1C09DF7E">
              <w:rPr>
                <w:rFonts w:ascii="Calibri" w:eastAsia="Calibri" w:hAnsi="Calibri" w:cs="Calibri"/>
                <w:color w:val="000000" w:themeColor="text1"/>
              </w:rPr>
              <w:t>1/Sales</w:t>
            </w:r>
          </w:p>
        </w:tc>
        <w:tc>
          <w:tcPr>
            <w:tcW w:w="1170"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bottom"/>
          </w:tcPr>
          <w:p w14:paraId="5FAE29BE" w14:textId="6BCCA3BB" w:rsidR="1C09DF7E" w:rsidRDefault="1C09DF7E" w:rsidP="1C09DF7E">
            <w:pPr>
              <w:spacing w:after="0"/>
            </w:pPr>
            <w:r w:rsidRPr="1C09DF7E">
              <w:rPr>
                <w:rFonts w:ascii="Calibri" w:eastAsia="Calibri" w:hAnsi="Calibri" w:cs="Calibri"/>
                <w:color w:val="000000" w:themeColor="text1"/>
              </w:rPr>
              <w:t>-582.80</w:t>
            </w:r>
          </w:p>
        </w:tc>
        <w:tc>
          <w:tcPr>
            <w:tcW w:w="1158"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bottom"/>
          </w:tcPr>
          <w:p w14:paraId="5885C3C3" w14:textId="0C94DBA4" w:rsidR="1C09DF7E" w:rsidRDefault="1C09DF7E" w:rsidP="1C09DF7E">
            <w:pPr>
              <w:spacing w:after="0"/>
            </w:pPr>
            <w:r w:rsidRPr="1C09DF7E">
              <w:rPr>
                <w:rFonts w:ascii="Calibri" w:eastAsia="Calibri" w:hAnsi="Calibri" w:cs="Calibri"/>
                <w:color w:val="000000" w:themeColor="text1"/>
              </w:rPr>
              <w:t>391.20</w:t>
            </w:r>
          </w:p>
        </w:tc>
        <w:tc>
          <w:tcPr>
            <w:tcW w:w="882"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bottom"/>
          </w:tcPr>
          <w:p w14:paraId="23641509" w14:textId="1D08E28A" w:rsidR="1C09DF7E" w:rsidRDefault="1C09DF7E" w:rsidP="1C09DF7E">
            <w:pPr>
              <w:spacing w:after="0"/>
            </w:pPr>
            <w:r w:rsidRPr="1C09DF7E">
              <w:rPr>
                <w:rFonts w:ascii="Calibri" w:eastAsia="Calibri" w:hAnsi="Calibri" w:cs="Calibri"/>
                <w:color w:val="000000" w:themeColor="text1"/>
              </w:rPr>
              <w:t>-1.49</w:t>
            </w:r>
          </w:p>
        </w:tc>
        <w:tc>
          <w:tcPr>
            <w:tcW w:w="827"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bottom"/>
          </w:tcPr>
          <w:p w14:paraId="007FDE50" w14:textId="088D28E6" w:rsidR="1C09DF7E" w:rsidRDefault="1C09DF7E" w:rsidP="1C09DF7E">
            <w:pPr>
              <w:spacing w:after="0"/>
            </w:pPr>
            <w:r w:rsidRPr="1C09DF7E">
              <w:rPr>
                <w:rFonts w:ascii="Calibri" w:eastAsia="Calibri" w:hAnsi="Calibri" w:cs="Calibri"/>
                <w:color w:val="000000" w:themeColor="text1"/>
              </w:rPr>
              <w:t>0.14</w:t>
            </w:r>
          </w:p>
        </w:tc>
        <w:tc>
          <w:tcPr>
            <w:tcW w:w="1186"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bottom"/>
          </w:tcPr>
          <w:p w14:paraId="7BDF1919" w14:textId="268E81B0" w:rsidR="1C09DF7E" w:rsidRDefault="1C09DF7E" w:rsidP="1C09DF7E">
            <w:pPr>
              <w:spacing w:after="0"/>
            </w:pPr>
            <w:r w:rsidRPr="1C09DF7E">
              <w:rPr>
                <w:rFonts w:ascii="Calibri" w:eastAsia="Calibri" w:hAnsi="Calibri" w:cs="Calibri"/>
                <w:color w:val="000000" w:themeColor="text1"/>
              </w:rPr>
              <w:t>-1374.07</w:t>
            </w:r>
          </w:p>
        </w:tc>
        <w:tc>
          <w:tcPr>
            <w:tcW w:w="860"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bottom"/>
          </w:tcPr>
          <w:p w14:paraId="1FB69B7F" w14:textId="7CBCD0B9" w:rsidR="1C09DF7E" w:rsidRDefault="1C09DF7E" w:rsidP="1C09DF7E">
            <w:pPr>
              <w:spacing w:after="0"/>
            </w:pPr>
            <w:r w:rsidRPr="1C09DF7E">
              <w:rPr>
                <w:rFonts w:ascii="Calibri" w:eastAsia="Calibri" w:hAnsi="Calibri" w:cs="Calibri"/>
                <w:color w:val="000000" w:themeColor="text1"/>
              </w:rPr>
              <w:t>208.47</w:t>
            </w:r>
          </w:p>
        </w:tc>
        <w:tc>
          <w:tcPr>
            <w:tcW w:w="903" w:type="dxa"/>
            <w:tcBorders>
              <w:top w:val="single" w:sz="4" w:space="0" w:color="auto"/>
              <w:left w:val="single" w:sz="4" w:space="0" w:color="auto"/>
              <w:bottom w:val="single" w:sz="8" w:space="0" w:color="auto"/>
              <w:right w:val="single" w:sz="4" w:space="0" w:color="auto"/>
            </w:tcBorders>
            <w:tcMar>
              <w:top w:w="15" w:type="dxa"/>
              <w:left w:w="15" w:type="dxa"/>
              <w:right w:w="15" w:type="dxa"/>
            </w:tcMar>
            <w:vAlign w:val="bottom"/>
          </w:tcPr>
          <w:p w14:paraId="47C80E79" w14:textId="1ADE585F" w:rsidR="1C09DF7E" w:rsidRDefault="1C09DF7E" w:rsidP="1C09DF7E">
            <w:pPr>
              <w:spacing w:after="0"/>
            </w:pPr>
            <w:r w:rsidRPr="1C09DF7E">
              <w:rPr>
                <w:rFonts w:ascii="Calibri" w:eastAsia="Calibri" w:hAnsi="Calibri" w:cs="Calibri"/>
                <w:color w:val="000000" w:themeColor="text1"/>
              </w:rPr>
              <w:t>-1374.07</w:t>
            </w:r>
          </w:p>
        </w:tc>
        <w:tc>
          <w:tcPr>
            <w:tcW w:w="1034" w:type="dxa"/>
            <w:tcBorders>
              <w:top w:val="single" w:sz="4" w:space="0" w:color="auto"/>
              <w:left w:val="single" w:sz="4" w:space="0" w:color="auto"/>
              <w:bottom w:val="single" w:sz="8" w:space="0" w:color="auto"/>
              <w:right w:val="single" w:sz="8" w:space="0" w:color="auto"/>
            </w:tcBorders>
            <w:tcMar>
              <w:top w:w="15" w:type="dxa"/>
              <w:left w:w="15" w:type="dxa"/>
              <w:right w:w="15" w:type="dxa"/>
            </w:tcMar>
            <w:vAlign w:val="bottom"/>
          </w:tcPr>
          <w:p w14:paraId="05D49A83" w14:textId="279581B9" w:rsidR="1C09DF7E" w:rsidRDefault="1C09DF7E" w:rsidP="1C09DF7E">
            <w:pPr>
              <w:spacing w:after="0"/>
            </w:pPr>
            <w:r w:rsidRPr="1C09DF7E">
              <w:rPr>
                <w:rFonts w:ascii="Calibri" w:eastAsia="Calibri" w:hAnsi="Calibri" w:cs="Calibri"/>
                <w:color w:val="000000" w:themeColor="text1"/>
              </w:rPr>
              <w:t>208.47</w:t>
            </w:r>
          </w:p>
        </w:tc>
      </w:tr>
    </w:tbl>
    <w:p w14:paraId="6533A274" w14:textId="6A93A30E" w:rsidR="00114355" w:rsidRDefault="173B292A" w:rsidP="00E277EC">
      <w:pPr>
        <w:pStyle w:val="Default"/>
        <w:spacing w:line="480" w:lineRule="auto"/>
        <w:rPr>
          <w:b/>
        </w:rPr>
      </w:pPr>
      <w:r>
        <w:t xml:space="preserve">It is seen that </w:t>
      </w:r>
      <w:proofErr w:type="gramStart"/>
      <w:r>
        <w:t>Big</w:t>
      </w:r>
      <w:proofErr w:type="gramEnd"/>
      <w:r>
        <w:t xml:space="preserve"> data variable p-value is greater than 0.05 (considering 95% significance</w:t>
      </w:r>
      <w:r w:rsidR="463A7CB3">
        <w:t>), hence it is not possible to conclude big data is related to % change in sales.</w:t>
      </w:r>
      <w:r>
        <w:t>)</w:t>
      </w:r>
      <w:r w:rsidR="68A75C9A">
        <w:t xml:space="preserve">. </w:t>
      </w:r>
      <w:proofErr w:type="gramStart"/>
      <w:r w:rsidR="684EBDFB">
        <w:t>Hence</w:t>
      </w:r>
      <w:proofErr w:type="gramEnd"/>
      <w:r w:rsidR="684EBDFB">
        <w:t xml:space="preserve"> </w:t>
      </w:r>
      <w:r w:rsidR="78439F68">
        <w:t>we cannot conclude that Big data is affecting sales</w:t>
      </w:r>
      <w:r w:rsidR="22CDCDB6">
        <w:t xml:space="preserve"> for luxury brands</w:t>
      </w:r>
    </w:p>
    <w:p w14:paraId="10945115" w14:textId="0F4CB703" w:rsidR="5D8B57BA" w:rsidRDefault="5C4CFB39" w:rsidP="008E4BC1">
      <w:pPr>
        <w:pStyle w:val="Default"/>
        <w:spacing w:line="480" w:lineRule="auto"/>
        <w:rPr>
          <w:b/>
          <w:color w:val="000000" w:themeColor="text1"/>
        </w:rPr>
      </w:pPr>
      <w:r w:rsidRPr="48982C4D">
        <w:rPr>
          <w:color w:val="000000" w:themeColor="text1"/>
        </w:rPr>
        <w:t>Art in product design is crucial for creating unique selling points and brand identity. Big data is valuable for optimizing marketing strategies, but it may not excel in driving innovation as it relies heavily on historical data and consumer feedback.</w:t>
      </w:r>
    </w:p>
    <w:p w14:paraId="22CDDA0E" w14:textId="701A62C2" w:rsidR="3A838014" w:rsidRDefault="3A838014" w:rsidP="6A764571">
      <w:pPr>
        <w:pStyle w:val="Default"/>
        <w:spacing w:line="480" w:lineRule="auto"/>
        <w:rPr>
          <w:color w:val="000000" w:themeColor="text1"/>
        </w:rPr>
      </w:pPr>
      <w:r w:rsidRPr="6A5F7AF4">
        <w:rPr>
          <w:color w:val="000000" w:themeColor="text1"/>
        </w:rPr>
        <w:t>Peck</w:t>
      </w:r>
      <w:r w:rsidRPr="74B5C0B6">
        <w:rPr>
          <w:color w:val="000000" w:themeColor="text1"/>
        </w:rPr>
        <w:t xml:space="preserve"> </w:t>
      </w:r>
      <w:r w:rsidRPr="1B21251F">
        <w:rPr>
          <w:color w:val="000000" w:themeColor="text1"/>
        </w:rPr>
        <w:t xml:space="preserve">firing </w:t>
      </w:r>
      <w:r w:rsidRPr="528C57AF">
        <w:rPr>
          <w:color w:val="000000" w:themeColor="text1"/>
        </w:rPr>
        <w:t>creative heads</w:t>
      </w:r>
      <w:r w:rsidRPr="7C917739">
        <w:rPr>
          <w:color w:val="000000" w:themeColor="text1"/>
        </w:rPr>
        <w:t xml:space="preserve"> of all</w:t>
      </w:r>
      <w:r w:rsidRPr="067B8A07">
        <w:rPr>
          <w:color w:val="000000" w:themeColor="text1"/>
        </w:rPr>
        <w:t xml:space="preserve"> the 3 brands is </w:t>
      </w:r>
      <w:r w:rsidRPr="699A1744">
        <w:rPr>
          <w:color w:val="000000" w:themeColor="text1"/>
        </w:rPr>
        <w:t>wrong.</w:t>
      </w:r>
      <w:r w:rsidRPr="311187DB">
        <w:rPr>
          <w:color w:val="000000" w:themeColor="text1"/>
        </w:rPr>
        <w:t xml:space="preserve"> </w:t>
      </w:r>
      <w:r w:rsidRPr="2C843C97">
        <w:rPr>
          <w:color w:val="000000" w:themeColor="text1"/>
        </w:rPr>
        <w:t>The</w:t>
      </w:r>
      <w:r w:rsidR="4D0159D4" w:rsidRPr="2C843C97">
        <w:rPr>
          <w:color w:val="000000" w:themeColor="text1"/>
        </w:rPr>
        <w:t xml:space="preserve">re </w:t>
      </w:r>
      <w:proofErr w:type="gramStart"/>
      <w:r w:rsidR="5D2B45E3" w:rsidRPr="2F76E66A">
        <w:rPr>
          <w:color w:val="000000" w:themeColor="text1"/>
        </w:rPr>
        <w:t>isn’t</w:t>
      </w:r>
      <w:proofErr w:type="gramEnd"/>
      <w:r w:rsidR="4D0159D4" w:rsidRPr="58C5E4DD">
        <w:rPr>
          <w:color w:val="000000" w:themeColor="text1"/>
        </w:rPr>
        <w:t xml:space="preserve"> a </w:t>
      </w:r>
      <w:r w:rsidR="4D0159D4" w:rsidRPr="1031176E">
        <w:rPr>
          <w:color w:val="000000" w:themeColor="text1"/>
        </w:rPr>
        <w:t xml:space="preserve">one size fits all </w:t>
      </w:r>
      <w:r w:rsidR="4D0159D4" w:rsidRPr="0A7B1F2A">
        <w:rPr>
          <w:color w:val="000000" w:themeColor="text1"/>
        </w:rPr>
        <w:t xml:space="preserve">solution to </w:t>
      </w:r>
      <w:r w:rsidR="4D0159D4" w:rsidRPr="2D61023C">
        <w:rPr>
          <w:color w:val="000000" w:themeColor="text1"/>
        </w:rPr>
        <w:t xml:space="preserve">this case. We </w:t>
      </w:r>
      <w:r w:rsidR="4D0159D4" w:rsidRPr="50B31843">
        <w:rPr>
          <w:color w:val="000000" w:themeColor="text1"/>
        </w:rPr>
        <w:t xml:space="preserve">have </w:t>
      </w:r>
      <w:r w:rsidR="4D0159D4" w:rsidRPr="45244B70">
        <w:rPr>
          <w:color w:val="000000" w:themeColor="text1"/>
        </w:rPr>
        <w:t xml:space="preserve">observed </w:t>
      </w:r>
      <w:r w:rsidR="4D0159D4" w:rsidRPr="3D31CA70">
        <w:rPr>
          <w:color w:val="000000" w:themeColor="text1"/>
        </w:rPr>
        <w:t xml:space="preserve">in our analysis that </w:t>
      </w:r>
      <w:r w:rsidR="4D0159D4" w:rsidRPr="4FA1CD38">
        <w:rPr>
          <w:color w:val="000000" w:themeColor="text1"/>
        </w:rPr>
        <w:t xml:space="preserve">luxury </w:t>
      </w:r>
      <w:r w:rsidR="4D0159D4" w:rsidRPr="7B80C3A6">
        <w:rPr>
          <w:color w:val="000000" w:themeColor="text1"/>
        </w:rPr>
        <w:t>b</w:t>
      </w:r>
      <w:r w:rsidR="1134ABB1" w:rsidRPr="7B80C3A6">
        <w:rPr>
          <w:color w:val="000000" w:themeColor="text1"/>
        </w:rPr>
        <w:t xml:space="preserve">rands </w:t>
      </w:r>
      <w:r w:rsidR="39D06ED8" w:rsidRPr="6CC1DDF5">
        <w:rPr>
          <w:color w:val="000000" w:themeColor="text1"/>
        </w:rPr>
        <w:t>don't</w:t>
      </w:r>
      <w:r w:rsidR="1134ABB1" w:rsidRPr="7B80C3A6">
        <w:rPr>
          <w:color w:val="000000" w:themeColor="text1"/>
        </w:rPr>
        <w:t xml:space="preserve"> </w:t>
      </w:r>
      <w:r w:rsidR="1134ABB1" w:rsidRPr="3E81B376">
        <w:rPr>
          <w:color w:val="000000" w:themeColor="text1"/>
        </w:rPr>
        <w:t xml:space="preserve">actually </w:t>
      </w:r>
      <w:r w:rsidR="0C6A0EB4" w:rsidRPr="6CC1DDF5">
        <w:rPr>
          <w:color w:val="000000" w:themeColor="text1"/>
        </w:rPr>
        <w:t xml:space="preserve">depend on </w:t>
      </w:r>
      <w:r w:rsidR="0C6A0EB4" w:rsidRPr="56FD16FA">
        <w:rPr>
          <w:color w:val="000000" w:themeColor="text1"/>
        </w:rPr>
        <w:t>big data</w:t>
      </w:r>
      <w:r w:rsidR="0C6A0EB4" w:rsidRPr="367867F9">
        <w:rPr>
          <w:color w:val="000000" w:themeColor="text1"/>
        </w:rPr>
        <w:t xml:space="preserve"> </w:t>
      </w:r>
      <w:r w:rsidR="0C6A0EB4" w:rsidRPr="59CA7E00">
        <w:rPr>
          <w:color w:val="000000" w:themeColor="text1"/>
        </w:rPr>
        <w:t>to a great extent</w:t>
      </w:r>
      <w:r w:rsidR="1E7436C0" w:rsidRPr="34E4D014">
        <w:rPr>
          <w:color w:val="000000" w:themeColor="text1"/>
        </w:rPr>
        <w:t>, while thrifty and fast-fashioned brands can</w:t>
      </w:r>
      <w:r w:rsidR="408D2CEC" w:rsidRPr="34E4D014">
        <w:rPr>
          <w:color w:val="000000" w:themeColor="text1"/>
        </w:rPr>
        <w:t xml:space="preserve"> actually benefit from ever changing customer dynamics.</w:t>
      </w:r>
      <w:r w:rsidR="0C6A0EB4" w:rsidRPr="3FF647D1">
        <w:rPr>
          <w:color w:val="000000" w:themeColor="text1"/>
        </w:rPr>
        <w:t xml:space="preserve"> </w:t>
      </w:r>
      <w:r w:rsidR="23D7130E" w:rsidRPr="463103EF">
        <w:rPr>
          <w:color w:val="000000" w:themeColor="text1"/>
        </w:rPr>
        <w:t xml:space="preserve">A mix of </w:t>
      </w:r>
      <w:r w:rsidR="23D7130E" w:rsidRPr="099E26B4">
        <w:rPr>
          <w:color w:val="000000" w:themeColor="text1"/>
        </w:rPr>
        <w:t xml:space="preserve">the </w:t>
      </w:r>
      <w:r w:rsidR="23D7130E" w:rsidRPr="15588F48">
        <w:rPr>
          <w:color w:val="000000" w:themeColor="text1"/>
        </w:rPr>
        <w:t xml:space="preserve">both the </w:t>
      </w:r>
      <w:r w:rsidR="23D7130E" w:rsidRPr="76A6C6BE">
        <w:rPr>
          <w:color w:val="000000" w:themeColor="text1"/>
        </w:rPr>
        <w:t>worlds is needed</w:t>
      </w:r>
      <w:r w:rsidR="23D7130E" w:rsidRPr="6558808A">
        <w:rPr>
          <w:color w:val="000000" w:themeColor="text1"/>
        </w:rPr>
        <w:t xml:space="preserve"> to</w:t>
      </w:r>
      <w:r w:rsidR="23D7130E" w:rsidRPr="45621F22">
        <w:rPr>
          <w:color w:val="000000" w:themeColor="text1"/>
        </w:rPr>
        <w:t xml:space="preserve"> generate the</w:t>
      </w:r>
      <w:r w:rsidR="23D7130E" w:rsidRPr="720FFA5D">
        <w:rPr>
          <w:color w:val="000000" w:themeColor="text1"/>
        </w:rPr>
        <w:t xml:space="preserve"> USP of</w:t>
      </w:r>
      <w:r w:rsidR="23D7130E" w:rsidRPr="5DAF5634">
        <w:rPr>
          <w:color w:val="000000" w:themeColor="text1"/>
        </w:rPr>
        <w:t xml:space="preserve"> a</w:t>
      </w:r>
      <w:r w:rsidR="23D7130E" w:rsidRPr="679BF9B2">
        <w:rPr>
          <w:color w:val="000000" w:themeColor="text1"/>
        </w:rPr>
        <w:t xml:space="preserve"> brand </w:t>
      </w:r>
      <w:r w:rsidR="23D7130E" w:rsidRPr="0AEE0FBA">
        <w:rPr>
          <w:color w:val="000000" w:themeColor="text1"/>
        </w:rPr>
        <w:t xml:space="preserve">to tell it </w:t>
      </w:r>
      <w:r w:rsidR="23D7130E" w:rsidRPr="2DD3F2CC">
        <w:rPr>
          <w:color w:val="000000" w:themeColor="text1"/>
        </w:rPr>
        <w:t xml:space="preserve">apart from the </w:t>
      </w:r>
      <w:r w:rsidR="23D7130E" w:rsidRPr="26725016">
        <w:rPr>
          <w:color w:val="000000" w:themeColor="text1"/>
        </w:rPr>
        <w:t>competitors.</w:t>
      </w:r>
      <w:r w:rsidR="23D7130E" w:rsidRPr="235FF221">
        <w:rPr>
          <w:color w:val="000000" w:themeColor="text1"/>
        </w:rPr>
        <w:t xml:space="preserve"> </w:t>
      </w:r>
      <w:r w:rsidR="26958876" w:rsidRPr="590B4073">
        <w:rPr>
          <w:color w:val="000000" w:themeColor="text1"/>
        </w:rPr>
        <w:t>Instead</w:t>
      </w:r>
      <w:r w:rsidR="23D7130E" w:rsidRPr="590B4073">
        <w:rPr>
          <w:color w:val="000000" w:themeColor="text1"/>
        </w:rPr>
        <w:t xml:space="preserve"> </w:t>
      </w:r>
      <w:r w:rsidR="26958876" w:rsidRPr="61FAD2B2">
        <w:rPr>
          <w:color w:val="000000" w:themeColor="text1"/>
        </w:rPr>
        <w:t xml:space="preserve">of </w:t>
      </w:r>
      <w:r w:rsidR="6BF3EC35" w:rsidRPr="729F76E6">
        <w:rPr>
          <w:color w:val="000000" w:themeColor="text1"/>
        </w:rPr>
        <w:t xml:space="preserve">replacing </w:t>
      </w:r>
      <w:r w:rsidR="6BF3EC35" w:rsidRPr="2AE30F61">
        <w:rPr>
          <w:color w:val="000000" w:themeColor="text1"/>
        </w:rPr>
        <w:t xml:space="preserve">one </w:t>
      </w:r>
      <w:r w:rsidR="6BF3EC35" w:rsidRPr="495271AC">
        <w:rPr>
          <w:color w:val="000000" w:themeColor="text1"/>
        </w:rPr>
        <w:t>another, they</w:t>
      </w:r>
      <w:r w:rsidR="23D7130E" w:rsidRPr="495271AC">
        <w:rPr>
          <w:color w:val="000000" w:themeColor="text1"/>
        </w:rPr>
        <w:t xml:space="preserve"> </w:t>
      </w:r>
      <w:r w:rsidR="6BF3EC35" w:rsidRPr="13974949">
        <w:rPr>
          <w:color w:val="000000" w:themeColor="text1"/>
        </w:rPr>
        <w:t>should</w:t>
      </w:r>
      <w:r w:rsidR="23D7130E" w:rsidRPr="13974949">
        <w:rPr>
          <w:color w:val="000000" w:themeColor="text1"/>
        </w:rPr>
        <w:t xml:space="preserve"> </w:t>
      </w:r>
      <w:r w:rsidR="6BF3EC35" w:rsidRPr="72B6D8DB">
        <w:rPr>
          <w:color w:val="000000" w:themeColor="text1"/>
        </w:rPr>
        <w:t xml:space="preserve">counter-balance </w:t>
      </w:r>
      <w:r w:rsidR="60F7EE80" w:rsidRPr="34E4D014">
        <w:rPr>
          <w:color w:val="000000" w:themeColor="text1"/>
        </w:rPr>
        <w:t>each</w:t>
      </w:r>
      <w:r w:rsidR="6BF3EC35" w:rsidRPr="34E4D014">
        <w:rPr>
          <w:color w:val="000000" w:themeColor="text1"/>
        </w:rPr>
        <w:t>.</w:t>
      </w:r>
      <w:r w:rsidR="23D7130E" w:rsidRPr="34E4D014">
        <w:rPr>
          <w:color w:val="000000" w:themeColor="text1"/>
        </w:rPr>
        <w:t xml:space="preserve"> </w:t>
      </w:r>
    </w:p>
    <w:p w14:paraId="7531E3ED" w14:textId="68AB872D" w:rsidR="49397C20" w:rsidRDefault="49397C20" w:rsidP="49397C20">
      <w:pPr>
        <w:pStyle w:val="Default"/>
        <w:spacing w:line="480" w:lineRule="auto"/>
        <w:rPr>
          <w:b/>
          <w:bCs/>
          <w:color w:val="000000" w:themeColor="text1"/>
        </w:rPr>
      </w:pPr>
    </w:p>
    <w:p w14:paraId="506FC94F" w14:textId="77777777" w:rsidR="00632901" w:rsidRDefault="00632901"/>
    <w:sectPr w:rsidR="00632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288DB"/>
    <w:multiLevelType w:val="hybridMultilevel"/>
    <w:tmpl w:val="FFFFFFFF"/>
    <w:lvl w:ilvl="0" w:tplc="34AC17BC">
      <w:start w:val="2"/>
      <w:numFmt w:val="decimal"/>
      <w:lvlText w:val="%1."/>
      <w:lvlJc w:val="left"/>
      <w:pPr>
        <w:ind w:left="1440" w:hanging="360"/>
      </w:pPr>
    </w:lvl>
    <w:lvl w:ilvl="1" w:tplc="F774E388">
      <w:start w:val="1"/>
      <w:numFmt w:val="lowerLetter"/>
      <w:lvlText w:val="%2."/>
      <w:lvlJc w:val="left"/>
      <w:pPr>
        <w:ind w:left="1440" w:hanging="360"/>
      </w:pPr>
    </w:lvl>
    <w:lvl w:ilvl="2" w:tplc="5AE68EA4">
      <w:start w:val="1"/>
      <w:numFmt w:val="lowerRoman"/>
      <w:lvlText w:val="%3."/>
      <w:lvlJc w:val="right"/>
      <w:pPr>
        <w:ind w:left="2160" w:hanging="180"/>
      </w:pPr>
    </w:lvl>
    <w:lvl w:ilvl="3" w:tplc="9B0ECF62">
      <w:start w:val="1"/>
      <w:numFmt w:val="decimal"/>
      <w:lvlText w:val="%4."/>
      <w:lvlJc w:val="left"/>
      <w:pPr>
        <w:ind w:left="2880" w:hanging="360"/>
      </w:pPr>
    </w:lvl>
    <w:lvl w:ilvl="4" w:tplc="6A8A872C">
      <w:start w:val="1"/>
      <w:numFmt w:val="lowerLetter"/>
      <w:lvlText w:val="%5."/>
      <w:lvlJc w:val="left"/>
      <w:pPr>
        <w:ind w:left="3600" w:hanging="360"/>
      </w:pPr>
    </w:lvl>
    <w:lvl w:ilvl="5" w:tplc="21A86E40">
      <w:start w:val="1"/>
      <w:numFmt w:val="lowerRoman"/>
      <w:lvlText w:val="%6."/>
      <w:lvlJc w:val="right"/>
      <w:pPr>
        <w:ind w:left="4320" w:hanging="180"/>
      </w:pPr>
    </w:lvl>
    <w:lvl w:ilvl="6" w:tplc="1B8E7370">
      <w:start w:val="1"/>
      <w:numFmt w:val="decimal"/>
      <w:lvlText w:val="%7."/>
      <w:lvlJc w:val="left"/>
      <w:pPr>
        <w:ind w:left="5040" w:hanging="360"/>
      </w:pPr>
    </w:lvl>
    <w:lvl w:ilvl="7" w:tplc="F60A6766">
      <w:start w:val="1"/>
      <w:numFmt w:val="lowerLetter"/>
      <w:lvlText w:val="%8."/>
      <w:lvlJc w:val="left"/>
      <w:pPr>
        <w:ind w:left="5760" w:hanging="360"/>
      </w:pPr>
    </w:lvl>
    <w:lvl w:ilvl="8" w:tplc="3F36451E">
      <w:start w:val="1"/>
      <w:numFmt w:val="lowerRoman"/>
      <w:lvlText w:val="%9."/>
      <w:lvlJc w:val="right"/>
      <w:pPr>
        <w:ind w:left="6480" w:hanging="180"/>
      </w:pPr>
    </w:lvl>
  </w:abstractNum>
  <w:abstractNum w:abstractNumId="1" w15:restartNumberingAfterBreak="0">
    <w:nsid w:val="61CC4353"/>
    <w:multiLevelType w:val="hybridMultilevel"/>
    <w:tmpl w:val="FFFFFFFF"/>
    <w:lvl w:ilvl="0" w:tplc="569AC882">
      <w:start w:val="1"/>
      <w:numFmt w:val="decimal"/>
      <w:lvlText w:val="%1."/>
      <w:lvlJc w:val="left"/>
      <w:pPr>
        <w:ind w:left="1440" w:hanging="360"/>
      </w:pPr>
    </w:lvl>
    <w:lvl w:ilvl="1" w:tplc="9C0605AA">
      <w:start w:val="1"/>
      <w:numFmt w:val="lowerLetter"/>
      <w:lvlText w:val="%2."/>
      <w:lvlJc w:val="left"/>
      <w:pPr>
        <w:ind w:left="1440" w:hanging="360"/>
      </w:pPr>
    </w:lvl>
    <w:lvl w:ilvl="2" w:tplc="A04E70B4">
      <w:start w:val="1"/>
      <w:numFmt w:val="lowerRoman"/>
      <w:lvlText w:val="%3."/>
      <w:lvlJc w:val="right"/>
      <w:pPr>
        <w:ind w:left="2160" w:hanging="180"/>
      </w:pPr>
    </w:lvl>
    <w:lvl w:ilvl="3" w:tplc="2006ED32">
      <w:start w:val="1"/>
      <w:numFmt w:val="decimal"/>
      <w:lvlText w:val="%4."/>
      <w:lvlJc w:val="left"/>
      <w:pPr>
        <w:ind w:left="2880" w:hanging="360"/>
      </w:pPr>
    </w:lvl>
    <w:lvl w:ilvl="4" w:tplc="60424E6C">
      <w:start w:val="1"/>
      <w:numFmt w:val="lowerLetter"/>
      <w:lvlText w:val="%5."/>
      <w:lvlJc w:val="left"/>
      <w:pPr>
        <w:ind w:left="3600" w:hanging="360"/>
      </w:pPr>
    </w:lvl>
    <w:lvl w:ilvl="5" w:tplc="072EAA82">
      <w:start w:val="1"/>
      <w:numFmt w:val="lowerRoman"/>
      <w:lvlText w:val="%6."/>
      <w:lvlJc w:val="right"/>
      <w:pPr>
        <w:ind w:left="4320" w:hanging="180"/>
      </w:pPr>
    </w:lvl>
    <w:lvl w:ilvl="6" w:tplc="CD0E1688">
      <w:start w:val="1"/>
      <w:numFmt w:val="decimal"/>
      <w:lvlText w:val="%7."/>
      <w:lvlJc w:val="left"/>
      <w:pPr>
        <w:ind w:left="5040" w:hanging="360"/>
      </w:pPr>
    </w:lvl>
    <w:lvl w:ilvl="7" w:tplc="A27C1B48">
      <w:start w:val="1"/>
      <w:numFmt w:val="lowerLetter"/>
      <w:lvlText w:val="%8."/>
      <w:lvlJc w:val="left"/>
      <w:pPr>
        <w:ind w:left="5760" w:hanging="360"/>
      </w:pPr>
    </w:lvl>
    <w:lvl w:ilvl="8" w:tplc="DEC273FA">
      <w:start w:val="1"/>
      <w:numFmt w:val="lowerRoman"/>
      <w:lvlText w:val="%9."/>
      <w:lvlJc w:val="right"/>
      <w:pPr>
        <w:ind w:left="6480" w:hanging="180"/>
      </w:pPr>
    </w:lvl>
  </w:abstractNum>
  <w:abstractNum w:abstractNumId="2" w15:restartNumberingAfterBreak="0">
    <w:nsid w:val="740B141C"/>
    <w:multiLevelType w:val="hybridMultilevel"/>
    <w:tmpl w:val="12964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352524">
    <w:abstractNumId w:val="2"/>
  </w:num>
  <w:num w:numId="2" w16cid:durableId="655838499">
    <w:abstractNumId w:val="0"/>
  </w:num>
  <w:num w:numId="3" w16cid:durableId="2077320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55"/>
    <w:rsid w:val="00015FD4"/>
    <w:rsid w:val="00031646"/>
    <w:rsid w:val="0004794C"/>
    <w:rsid w:val="00050B5F"/>
    <w:rsid w:val="00051556"/>
    <w:rsid w:val="000605F8"/>
    <w:rsid w:val="00061796"/>
    <w:rsid w:val="0007634E"/>
    <w:rsid w:val="00080067"/>
    <w:rsid w:val="0009004C"/>
    <w:rsid w:val="00097B72"/>
    <w:rsid w:val="00101CDE"/>
    <w:rsid w:val="00114355"/>
    <w:rsid w:val="0011485F"/>
    <w:rsid w:val="00122F2A"/>
    <w:rsid w:val="001248AC"/>
    <w:rsid w:val="001361D5"/>
    <w:rsid w:val="00137299"/>
    <w:rsid w:val="00155464"/>
    <w:rsid w:val="00160F61"/>
    <w:rsid w:val="00167611"/>
    <w:rsid w:val="00173B6A"/>
    <w:rsid w:val="001743F0"/>
    <w:rsid w:val="00181062"/>
    <w:rsid w:val="00186580"/>
    <w:rsid w:val="0019439D"/>
    <w:rsid w:val="001962F9"/>
    <w:rsid w:val="00197715"/>
    <w:rsid w:val="001A50D3"/>
    <w:rsid w:val="001A6086"/>
    <w:rsid w:val="001B4898"/>
    <w:rsid w:val="001C4BF1"/>
    <w:rsid w:val="001D1C8E"/>
    <w:rsid w:val="001D2533"/>
    <w:rsid w:val="001E2F01"/>
    <w:rsid w:val="00227085"/>
    <w:rsid w:val="002402F8"/>
    <w:rsid w:val="00247DFA"/>
    <w:rsid w:val="002915D9"/>
    <w:rsid w:val="002B60AC"/>
    <w:rsid w:val="002C1690"/>
    <w:rsid w:val="002D04EE"/>
    <w:rsid w:val="002D1782"/>
    <w:rsid w:val="002E4A4B"/>
    <w:rsid w:val="002F683F"/>
    <w:rsid w:val="003136E7"/>
    <w:rsid w:val="00316207"/>
    <w:rsid w:val="00316714"/>
    <w:rsid w:val="00316CDE"/>
    <w:rsid w:val="00323490"/>
    <w:rsid w:val="003244BD"/>
    <w:rsid w:val="00331CB9"/>
    <w:rsid w:val="00336825"/>
    <w:rsid w:val="00352C3E"/>
    <w:rsid w:val="003808F5"/>
    <w:rsid w:val="00381DB2"/>
    <w:rsid w:val="0038594D"/>
    <w:rsid w:val="00393035"/>
    <w:rsid w:val="003A7A5D"/>
    <w:rsid w:val="003C1843"/>
    <w:rsid w:val="003C54B0"/>
    <w:rsid w:val="003D1ADD"/>
    <w:rsid w:val="003D76DF"/>
    <w:rsid w:val="003F563D"/>
    <w:rsid w:val="003F610C"/>
    <w:rsid w:val="004113D9"/>
    <w:rsid w:val="0041195D"/>
    <w:rsid w:val="00425D8B"/>
    <w:rsid w:val="004604B0"/>
    <w:rsid w:val="00483B12"/>
    <w:rsid w:val="004922AD"/>
    <w:rsid w:val="0049231B"/>
    <w:rsid w:val="004A65D7"/>
    <w:rsid w:val="004B1216"/>
    <w:rsid w:val="004D4768"/>
    <w:rsid w:val="004D5098"/>
    <w:rsid w:val="004F36AB"/>
    <w:rsid w:val="004F504C"/>
    <w:rsid w:val="00506E3F"/>
    <w:rsid w:val="00515E1A"/>
    <w:rsid w:val="005448D8"/>
    <w:rsid w:val="0054535F"/>
    <w:rsid w:val="00552579"/>
    <w:rsid w:val="00553361"/>
    <w:rsid w:val="00553735"/>
    <w:rsid w:val="00553D4F"/>
    <w:rsid w:val="00556778"/>
    <w:rsid w:val="00556B4A"/>
    <w:rsid w:val="005601E7"/>
    <w:rsid w:val="005639B1"/>
    <w:rsid w:val="0056679A"/>
    <w:rsid w:val="005B1FF1"/>
    <w:rsid w:val="005B325A"/>
    <w:rsid w:val="005B72D1"/>
    <w:rsid w:val="005C147E"/>
    <w:rsid w:val="005C6741"/>
    <w:rsid w:val="005F761E"/>
    <w:rsid w:val="005F7E8F"/>
    <w:rsid w:val="0060390C"/>
    <w:rsid w:val="00616365"/>
    <w:rsid w:val="00622F80"/>
    <w:rsid w:val="00632901"/>
    <w:rsid w:val="006428EC"/>
    <w:rsid w:val="00645FD5"/>
    <w:rsid w:val="006553D7"/>
    <w:rsid w:val="00662F7A"/>
    <w:rsid w:val="00670B3B"/>
    <w:rsid w:val="00670C6B"/>
    <w:rsid w:val="006C2A4A"/>
    <w:rsid w:val="006D5F96"/>
    <w:rsid w:val="006D6D9B"/>
    <w:rsid w:val="006E78C7"/>
    <w:rsid w:val="00706252"/>
    <w:rsid w:val="00713659"/>
    <w:rsid w:val="007242B0"/>
    <w:rsid w:val="00741E04"/>
    <w:rsid w:val="00766EF4"/>
    <w:rsid w:val="0078330C"/>
    <w:rsid w:val="00791AB6"/>
    <w:rsid w:val="0079636E"/>
    <w:rsid w:val="007A2BDC"/>
    <w:rsid w:val="007A3F5E"/>
    <w:rsid w:val="007C7249"/>
    <w:rsid w:val="007D4631"/>
    <w:rsid w:val="007D782F"/>
    <w:rsid w:val="007E1248"/>
    <w:rsid w:val="007F4731"/>
    <w:rsid w:val="0081358A"/>
    <w:rsid w:val="00827595"/>
    <w:rsid w:val="00864813"/>
    <w:rsid w:val="0087037B"/>
    <w:rsid w:val="008773BC"/>
    <w:rsid w:val="00896148"/>
    <w:rsid w:val="008A1ACA"/>
    <w:rsid w:val="008C197A"/>
    <w:rsid w:val="008D772F"/>
    <w:rsid w:val="008E4BC1"/>
    <w:rsid w:val="008F1488"/>
    <w:rsid w:val="008F28C6"/>
    <w:rsid w:val="00905468"/>
    <w:rsid w:val="009178F2"/>
    <w:rsid w:val="009273F2"/>
    <w:rsid w:val="009279A9"/>
    <w:rsid w:val="009344C7"/>
    <w:rsid w:val="00966BFC"/>
    <w:rsid w:val="0098049A"/>
    <w:rsid w:val="00982B38"/>
    <w:rsid w:val="00984E46"/>
    <w:rsid w:val="00992529"/>
    <w:rsid w:val="009B4834"/>
    <w:rsid w:val="009E049B"/>
    <w:rsid w:val="009E1657"/>
    <w:rsid w:val="009E1821"/>
    <w:rsid w:val="00A018E2"/>
    <w:rsid w:val="00A13978"/>
    <w:rsid w:val="00A1547C"/>
    <w:rsid w:val="00A24877"/>
    <w:rsid w:val="00A3325F"/>
    <w:rsid w:val="00A6170B"/>
    <w:rsid w:val="00A65C91"/>
    <w:rsid w:val="00A675CF"/>
    <w:rsid w:val="00A74FBA"/>
    <w:rsid w:val="00A829C9"/>
    <w:rsid w:val="00A835CC"/>
    <w:rsid w:val="00A848D3"/>
    <w:rsid w:val="00A96726"/>
    <w:rsid w:val="00AB6F2C"/>
    <w:rsid w:val="00AC209F"/>
    <w:rsid w:val="00AD21E3"/>
    <w:rsid w:val="00AD22AE"/>
    <w:rsid w:val="00AD6760"/>
    <w:rsid w:val="00AE05C7"/>
    <w:rsid w:val="00AE48D1"/>
    <w:rsid w:val="00AE71CA"/>
    <w:rsid w:val="00AE75C6"/>
    <w:rsid w:val="00AF32F0"/>
    <w:rsid w:val="00AF7F4D"/>
    <w:rsid w:val="00B00BB7"/>
    <w:rsid w:val="00B169C1"/>
    <w:rsid w:val="00B2314B"/>
    <w:rsid w:val="00B2716B"/>
    <w:rsid w:val="00B3100C"/>
    <w:rsid w:val="00B32D99"/>
    <w:rsid w:val="00B32DA9"/>
    <w:rsid w:val="00B44A92"/>
    <w:rsid w:val="00B4581A"/>
    <w:rsid w:val="00B55038"/>
    <w:rsid w:val="00B924F8"/>
    <w:rsid w:val="00B966EA"/>
    <w:rsid w:val="00BA12F0"/>
    <w:rsid w:val="00BA27D7"/>
    <w:rsid w:val="00BA3B9E"/>
    <w:rsid w:val="00BB262C"/>
    <w:rsid w:val="00BB69BC"/>
    <w:rsid w:val="00BB6D7E"/>
    <w:rsid w:val="00BD1498"/>
    <w:rsid w:val="00BD77D1"/>
    <w:rsid w:val="00BE10D3"/>
    <w:rsid w:val="00BE157C"/>
    <w:rsid w:val="00BE396B"/>
    <w:rsid w:val="00BE4854"/>
    <w:rsid w:val="00BF0B23"/>
    <w:rsid w:val="00BF7A28"/>
    <w:rsid w:val="00C02516"/>
    <w:rsid w:val="00C0772D"/>
    <w:rsid w:val="00C07C80"/>
    <w:rsid w:val="00C232AB"/>
    <w:rsid w:val="00C32D82"/>
    <w:rsid w:val="00C4756F"/>
    <w:rsid w:val="00C640EB"/>
    <w:rsid w:val="00C742F1"/>
    <w:rsid w:val="00C81389"/>
    <w:rsid w:val="00C81674"/>
    <w:rsid w:val="00C818DF"/>
    <w:rsid w:val="00C87FDF"/>
    <w:rsid w:val="00CA3317"/>
    <w:rsid w:val="00CA3F0F"/>
    <w:rsid w:val="00CA453C"/>
    <w:rsid w:val="00CB4799"/>
    <w:rsid w:val="00CC3407"/>
    <w:rsid w:val="00CC531B"/>
    <w:rsid w:val="00CC5856"/>
    <w:rsid w:val="00CC5954"/>
    <w:rsid w:val="00CF4641"/>
    <w:rsid w:val="00CF7941"/>
    <w:rsid w:val="00D12868"/>
    <w:rsid w:val="00D30D7B"/>
    <w:rsid w:val="00D372CE"/>
    <w:rsid w:val="00D61426"/>
    <w:rsid w:val="00D722A8"/>
    <w:rsid w:val="00D75A29"/>
    <w:rsid w:val="00DB500E"/>
    <w:rsid w:val="00DD0488"/>
    <w:rsid w:val="00DD3EED"/>
    <w:rsid w:val="00DECCC5"/>
    <w:rsid w:val="00E07740"/>
    <w:rsid w:val="00E2710D"/>
    <w:rsid w:val="00E277EC"/>
    <w:rsid w:val="00E30937"/>
    <w:rsid w:val="00E43221"/>
    <w:rsid w:val="00E5288B"/>
    <w:rsid w:val="00E55CC4"/>
    <w:rsid w:val="00E63252"/>
    <w:rsid w:val="00E71DCD"/>
    <w:rsid w:val="00E87FF7"/>
    <w:rsid w:val="00EA33E5"/>
    <w:rsid w:val="00EC321E"/>
    <w:rsid w:val="00EC45C5"/>
    <w:rsid w:val="00ED1EFE"/>
    <w:rsid w:val="00ED4AF7"/>
    <w:rsid w:val="00ED6A35"/>
    <w:rsid w:val="00EE2909"/>
    <w:rsid w:val="00EF19B7"/>
    <w:rsid w:val="00EF4940"/>
    <w:rsid w:val="00EF4CE3"/>
    <w:rsid w:val="00F13AE8"/>
    <w:rsid w:val="00F16289"/>
    <w:rsid w:val="00F26CD5"/>
    <w:rsid w:val="00F354FE"/>
    <w:rsid w:val="00F45757"/>
    <w:rsid w:val="00F544FC"/>
    <w:rsid w:val="00F55F7A"/>
    <w:rsid w:val="00F723D5"/>
    <w:rsid w:val="00F90A2B"/>
    <w:rsid w:val="00F92904"/>
    <w:rsid w:val="00F93145"/>
    <w:rsid w:val="00F96C43"/>
    <w:rsid w:val="00F96F77"/>
    <w:rsid w:val="00FD06C2"/>
    <w:rsid w:val="00FD1887"/>
    <w:rsid w:val="014FE448"/>
    <w:rsid w:val="01953FDE"/>
    <w:rsid w:val="02275942"/>
    <w:rsid w:val="028C7217"/>
    <w:rsid w:val="02DEDC1A"/>
    <w:rsid w:val="0303BA40"/>
    <w:rsid w:val="03AB828C"/>
    <w:rsid w:val="042CC3AD"/>
    <w:rsid w:val="04342870"/>
    <w:rsid w:val="048FE9DC"/>
    <w:rsid w:val="04FAEDE1"/>
    <w:rsid w:val="067B8A07"/>
    <w:rsid w:val="0693E81B"/>
    <w:rsid w:val="070E618A"/>
    <w:rsid w:val="0812C7DC"/>
    <w:rsid w:val="09976D9A"/>
    <w:rsid w:val="099E26B4"/>
    <w:rsid w:val="09BBE19D"/>
    <w:rsid w:val="0A320CFB"/>
    <w:rsid w:val="0A7B1F2A"/>
    <w:rsid w:val="0AEE0FBA"/>
    <w:rsid w:val="0B4907C5"/>
    <w:rsid w:val="0B7D8C43"/>
    <w:rsid w:val="0C33E02B"/>
    <w:rsid w:val="0C6A0EB4"/>
    <w:rsid w:val="0CE4A568"/>
    <w:rsid w:val="0DB330BD"/>
    <w:rsid w:val="0E01AF44"/>
    <w:rsid w:val="0E0CF0B6"/>
    <w:rsid w:val="0EA7EFCF"/>
    <w:rsid w:val="0EE46936"/>
    <w:rsid w:val="0F555B7A"/>
    <w:rsid w:val="1031176E"/>
    <w:rsid w:val="1085B59D"/>
    <w:rsid w:val="10953C02"/>
    <w:rsid w:val="111256AE"/>
    <w:rsid w:val="1134ABB1"/>
    <w:rsid w:val="11458AA2"/>
    <w:rsid w:val="11644DD4"/>
    <w:rsid w:val="116A9E8E"/>
    <w:rsid w:val="118E393C"/>
    <w:rsid w:val="11A14C0E"/>
    <w:rsid w:val="11C39C10"/>
    <w:rsid w:val="11E3CB3D"/>
    <w:rsid w:val="12C0DED8"/>
    <w:rsid w:val="131D684D"/>
    <w:rsid w:val="13974949"/>
    <w:rsid w:val="13A62A89"/>
    <w:rsid w:val="149E7F47"/>
    <w:rsid w:val="14CEB37A"/>
    <w:rsid w:val="15588F48"/>
    <w:rsid w:val="158E813C"/>
    <w:rsid w:val="1629DE1F"/>
    <w:rsid w:val="16DD3AEE"/>
    <w:rsid w:val="173B292A"/>
    <w:rsid w:val="17DB5088"/>
    <w:rsid w:val="1837A96C"/>
    <w:rsid w:val="1A3689D1"/>
    <w:rsid w:val="1B21251F"/>
    <w:rsid w:val="1B8A1A98"/>
    <w:rsid w:val="1BE1D3A7"/>
    <w:rsid w:val="1C09DF7E"/>
    <w:rsid w:val="1C0E9213"/>
    <w:rsid w:val="1CFA6780"/>
    <w:rsid w:val="1D2B2CDD"/>
    <w:rsid w:val="1D32501A"/>
    <w:rsid w:val="1D3D6241"/>
    <w:rsid w:val="1D73AE0F"/>
    <w:rsid w:val="1E7436C0"/>
    <w:rsid w:val="1F4E2F10"/>
    <w:rsid w:val="201CDA91"/>
    <w:rsid w:val="2038F5B9"/>
    <w:rsid w:val="20C2C36B"/>
    <w:rsid w:val="20C3803F"/>
    <w:rsid w:val="20D8B4EA"/>
    <w:rsid w:val="20E20336"/>
    <w:rsid w:val="20EA157B"/>
    <w:rsid w:val="20F6D185"/>
    <w:rsid w:val="21995B77"/>
    <w:rsid w:val="21D23569"/>
    <w:rsid w:val="21ECECEA"/>
    <w:rsid w:val="221AB928"/>
    <w:rsid w:val="2247B6AA"/>
    <w:rsid w:val="227DD397"/>
    <w:rsid w:val="22CDCDB6"/>
    <w:rsid w:val="22D34449"/>
    <w:rsid w:val="235FF221"/>
    <w:rsid w:val="23936E48"/>
    <w:rsid w:val="23D7130E"/>
    <w:rsid w:val="23DBD880"/>
    <w:rsid w:val="24356610"/>
    <w:rsid w:val="24EFED88"/>
    <w:rsid w:val="25E45309"/>
    <w:rsid w:val="25F2EB9E"/>
    <w:rsid w:val="26725016"/>
    <w:rsid w:val="26958876"/>
    <w:rsid w:val="26F81C39"/>
    <w:rsid w:val="278C201F"/>
    <w:rsid w:val="27943F7B"/>
    <w:rsid w:val="2795AC6B"/>
    <w:rsid w:val="2799A5C1"/>
    <w:rsid w:val="27D19137"/>
    <w:rsid w:val="27F6270A"/>
    <w:rsid w:val="28BC8AC9"/>
    <w:rsid w:val="28CB979C"/>
    <w:rsid w:val="294F6A86"/>
    <w:rsid w:val="298BE3ED"/>
    <w:rsid w:val="29B08F42"/>
    <w:rsid w:val="2A063E89"/>
    <w:rsid w:val="2A99B28A"/>
    <w:rsid w:val="2AE30F61"/>
    <w:rsid w:val="2B27817D"/>
    <w:rsid w:val="2B9A9B18"/>
    <w:rsid w:val="2BECECA3"/>
    <w:rsid w:val="2C843C97"/>
    <w:rsid w:val="2D61023C"/>
    <w:rsid w:val="2D9107BB"/>
    <w:rsid w:val="2D9614A2"/>
    <w:rsid w:val="2DD3F2CC"/>
    <w:rsid w:val="2DD5EC05"/>
    <w:rsid w:val="2F76E66A"/>
    <w:rsid w:val="2F85F632"/>
    <w:rsid w:val="2FD9CB13"/>
    <w:rsid w:val="30297D3E"/>
    <w:rsid w:val="30D158D6"/>
    <w:rsid w:val="311187DB"/>
    <w:rsid w:val="312C8945"/>
    <w:rsid w:val="31E2A3E1"/>
    <w:rsid w:val="3214420B"/>
    <w:rsid w:val="321A8417"/>
    <w:rsid w:val="32374210"/>
    <w:rsid w:val="32549ECD"/>
    <w:rsid w:val="3371856F"/>
    <w:rsid w:val="34E4D014"/>
    <w:rsid w:val="35021897"/>
    <w:rsid w:val="3529EBE3"/>
    <w:rsid w:val="35A9E093"/>
    <w:rsid w:val="35C2BE2E"/>
    <w:rsid w:val="361D50AA"/>
    <w:rsid w:val="3643C7DF"/>
    <w:rsid w:val="367867F9"/>
    <w:rsid w:val="367A4106"/>
    <w:rsid w:val="37B20C12"/>
    <w:rsid w:val="37E2FDFF"/>
    <w:rsid w:val="385BFDFA"/>
    <w:rsid w:val="3913E46B"/>
    <w:rsid w:val="397BF426"/>
    <w:rsid w:val="39C12461"/>
    <w:rsid w:val="39D06ED8"/>
    <w:rsid w:val="3A838014"/>
    <w:rsid w:val="3C384601"/>
    <w:rsid w:val="3C6F6EBD"/>
    <w:rsid w:val="3CF76362"/>
    <w:rsid w:val="3D0EF828"/>
    <w:rsid w:val="3D31CA70"/>
    <w:rsid w:val="3DA8EB72"/>
    <w:rsid w:val="3E64F4AC"/>
    <w:rsid w:val="3E81B376"/>
    <w:rsid w:val="3EE7CB77"/>
    <w:rsid w:val="3EF54E23"/>
    <w:rsid w:val="3F3A4512"/>
    <w:rsid w:val="3F5A5760"/>
    <w:rsid w:val="3F809DC2"/>
    <w:rsid w:val="3FBE3FA4"/>
    <w:rsid w:val="3FF647D1"/>
    <w:rsid w:val="408D2CEC"/>
    <w:rsid w:val="41FF7A17"/>
    <w:rsid w:val="427C5C95"/>
    <w:rsid w:val="42A04517"/>
    <w:rsid w:val="4309D4B6"/>
    <w:rsid w:val="43444E69"/>
    <w:rsid w:val="43837D8A"/>
    <w:rsid w:val="438B0BC0"/>
    <w:rsid w:val="43BAF8A9"/>
    <w:rsid w:val="44BE06AD"/>
    <w:rsid w:val="45244B70"/>
    <w:rsid w:val="45621F22"/>
    <w:rsid w:val="463103EF"/>
    <w:rsid w:val="463A7CB3"/>
    <w:rsid w:val="46B20828"/>
    <w:rsid w:val="47304C67"/>
    <w:rsid w:val="474DA924"/>
    <w:rsid w:val="475D8335"/>
    <w:rsid w:val="47A83BA0"/>
    <w:rsid w:val="4861E30C"/>
    <w:rsid w:val="48982C4D"/>
    <w:rsid w:val="49397C20"/>
    <w:rsid w:val="495271AC"/>
    <w:rsid w:val="4954443E"/>
    <w:rsid w:val="4AA0944A"/>
    <w:rsid w:val="4B250EFA"/>
    <w:rsid w:val="4BEBC41D"/>
    <w:rsid w:val="4BF3B81E"/>
    <w:rsid w:val="4C39B518"/>
    <w:rsid w:val="4C3D9FC5"/>
    <w:rsid w:val="4D0159D4"/>
    <w:rsid w:val="4D02A549"/>
    <w:rsid w:val="4DCB3410"/>
    <w:rsid w:val="4EB4FAB1"/>
    <w:rsid w:val="4F6F2F6E"/>
    <w:rsid w:val="4FA1CD38"/>
    <w:rsid w:val="4FF80B28"/>
    <w:rsid w:val="506C7F3E"/>
    <w:rsid w:val="50B31843"/>
    <w:rsid w:val="513129B1"/>
    <w:rsid w:val="51C9C92B"/>
    <w:rsid w:val="52437851"/>
    <w:rsid w:val="528C57AF"/>
    <w:rsid w:val="52E4A475"/>
    <w:rsid w:val="54610460"/>
    <w:rsid w:val="553BD0FB"/>
    <w:rsid w:val="555512BE"/>
    <w:rsid w:val="5557C57C"/>
    <w:rsid w:val="56B961A0"/>
    <w:rsid w:val="56FD16FA"/>
    <w:rsid w:val="572E4B69"/>
    <w:rsid w:val="586ACD8E"/>
    <w:rsid w:val="58A8A140"/>
    <w:rsid w:val="58C5E4DD"/>
    <w:rsid w:val="58C67C55"/>
    <w:rsid w:val="58CEBE33"/>
    <w:rsid w:val="58EA480A"/>
    <w:rsid w:val="5901F227"/>
    <w:rsid w:val="590B4073"/>
    <w:rsid w:val="59CA7E00"/>
    <w:rsid w:val="59D5D82B"/>
    <w:rsid w:val="5A1FC64C"/>
    <w:rsid w:val="5A289F24"/>
    <w:rsid w:val="5AB4E253"/>
    <w:rsid w:val="5AB58924"/>
    <w:rsid w:val="5BDD6CD6"/>
    <w:rsid w:val="5C4CFB39"/>
    <w:rsid w:val="5D2B45E3"/>
    <w:rsid w:val="5D76179B"/>
    <w:rsid w:val="5D8B57BA"/>
    <w:rsid w:val="5DAF5634"/>
    <w:rsid w:val="5E29788B"/>
    <w:rsid w:val="5FE7588E"/>
    <w:rsid w:val="60E6F142"/>
    <w:rsid w:val="60F7EE80"/>
    <w:rsid w:val="61AC8D77"/>
    <w:rsid w:val="61BFA256"/>
    <w:rsid w:val="61FAD2B2"/>
    <w:rsid w:val="6212A578"/>
    <w:rsid w:val="63FA05C9"/>
    <w:rsid w:val="654B9ED2"/>
    <w:rsid w:val="6558808A"/>
    <w:rsid w:val="655AEA94"/>
    <w:rsid w:val="65766E44"/>
    <w:rsid w:val="65A31560"/>
    <w:rsid w:val="65D46D64"/>
    <w:rsid w:val="66324537"/>
    <w:rsid w:val="663F7169"/>
    <w:rsid w:val="66A0E1AC"/>
    <w:rsid w:val="67270FE9"/>
    <w:rsid w:val="675FFF0D"/>
    <w:rsid w:val="679BF9B2"/>
    <w:rsid w:val="684EBDFB"/>
    <w:rsid w:val="685B49E4"/>
    <w:rsid w:val="68A75C9A"/>
    <w:rsid w:val="6938F903"/>
    <w:rsid w:val="699A1744"/>
    <w:rsid w:val="69A687A7"/>
    <w:rsid w:val="6A428959"/>
    <w:rsid w:val="6A5F7AF4"/>
    <w:rsid w:val="6A764571"/>
    <w:rsid w:val="6A7ADA8A"/>
    <w:rsid w:val="6A82626E"/>
    <w:rsid w:val="6B47C61E"/>
    <w:rsid w:val="6B75F290"/>
    <w:rsid w:val="6BF3EC35"/>
    <w:rsid w:val="6C618F0F"/>
    <w:rsid w:val="6CB512A2"/>
    <w:rsid w:val="6CC1DDF5"/>
    <w:rsid w:val="6D258BEC"/>
    <w:rsid w:val="6D71D8E9"/>
    <w:rsid w:val="6EAC9DAE"/>
    <w:rsid w:val="6EE8A47D"/>
    <w:rsid w:val="6FF39155"/>
    <w:rsid w:val="7000A1F4"/>
    <w:rsid w:val="715CD878"/>
    <w:rsid w:val="720FFA5D"/>
    <w:rsid w:val="72220BA7"/>
    <w:rsid w:val="729F76E6"/>
    <w:rsid w:val="72B6D8DB"/>
    <w:rsid w:val="7314156E"/>
    <w:rsid w:val="7323AF72"/>
    <w:rsid w:val="7342994B"/>
    <w:rsid w:val="741E694C"/>
    <w:rsid w:val="74B5C0B6"/>
    <w:rsid w:val="7513285E"/>
    <w:rsid w:val="751A76F6"/>
    <w:rsid w:val="756AB2DD"/>
    <w:rsid w:val="76439013"/>
    <w:rsid w:val="765AA2AA"/>
    <w:rsid w:val="76A6C6BE"/>
    <w:rsid w:val="778ABA39"/>
    <w:rsid w:val="77CF0F17"/>
    <w:rsid w:val="77D1137F"/>
    <w:rsid w:val="7822128E"/>
    <w:rsid w:val="78439F68"/>
    <w:rsid w:val="78984E84"/>
    <w:rsid w:val="78B09967"/>
    <w:rsid w:val="799B4323"/>
    <w:rsid w:val="7B80C3A6"/>
    <w:rsid w:val="7C917739"/>
    <w:rsid w:val="7CD604FA"/>
    <w:rsid w:val="7D24C608"/>
    <w:rsid w:val="7D4B37C5"/>
    <w:rsid w:val="7D8F55B6"/>
    <w:rsid w:val="7DEBAE4E"/>
    <w:rsid w:val="7E643D85"/>
    <w:rsid w:val="7E84891F"/>
    <w:rsid w:val="7E978156"/>
    <w:rsid w:val="7EB9A5FD"/>
    <w:rsid w:val="7F2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1FB2"/>
  <w15:chartTrackingRefBased/>
  <w15:docId w15:val="{AA8351EC-C571-44CC-9F50-3434467C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B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4355"/>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n-IN" w:eastAsia="ja-JP"/>
    </w:rPr>
  </w:style>
  <w:style w:type="table" w:styleId="TableGrid">
    <w:name w:val="Table Grid"/>
    <w:basedOn w:val="TableNormal"/>
    <w:uiPriority w:val="39"/>
    <w:rsid w:val="00BA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33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9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Sharma</dc:creator>
  <cp:keywords/>
  <dc:description/>
  <cp:lastModifiedBy>Vishnu vardhan Ponduri</cp:lastModifiedBy>
  <cp:revision>2</cp:revision>
  <dcterms:created xsi:type="dcterms:W3CDTF">2023-12-31T06:48:00Z</dcterms:created>
  <dcterms:modified xsi:type="dcterms:W3CDTF">2023-12-31T06:48:00Z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2023-10-04T06:31:40Z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34886de5-d7d5-4fc8-a212-647340c9089d</vt:lpwstr>
  </property>
  <property fmtid="{D5CDD505-2E9C-101B-9397-08002B2CF9AE}" pid="8" name="MSIP_Label_4044bd30-2ed7-4c9d-9d12-46200872a97b_ContentBits">
    <vt:lpwstr>0</vt:lpwstr>
  </property>
</Properties>
</file>