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left"/>
        <w:rPr>
          <w:sz w:val="28"/>
          <w:szCs w:val="28"/>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276" w:lineRule="auto"/>
        <w:ind w:left="0" w:firstLine="0"/>
        <w:jc w:val="center"/>
        <w:rPr>
          <w:color w:val="000000"/>
          <w:sz w:val="18"/>
          <w:szCs w:val="18"/>
        </w:rPr>
      </w:pPr>
      <w:r w:rsidDel="00000000" w:rsidR="00000000" w:rsidRPr="00000000">
        <w:rPr>
          <w:rFonts w:ascii="Mulish" w:cs="Mulish" w:eastAsia="Mulish" w:hAnsi="Mulish"/>
          <w:color w:val="000000"/>
          <w:sz w:val="24"/>
          <w:szCs w:val="24"/>
        </w:rPr>
        <w:drawing>
          <wp:inline distB="19050" distT="19050" distL="19050" distR="19050">
            <wp:extent cx="4048959" cy="4750222"/>
            <wp:effectExtent b="0" l="0" r="0" t="0"/>
            <wp:docPr descr="A picture containing text, indoor, shelf&#10;&#10;Description automatically generated" id="1" name="image1.png"/>
            <a:graphic>
              <a:graphicData uri="http://schemas.openxmlformats.org/drawingml/2006/picture">
                <pic:pic>
                  <pic:nvPicPr>
                    <pic:cNvPr descr="A picture containing text, indoor, shelf&#10;&#10;Description automatically generated" id="0" name="image1.png"/>
                    <pic:cNvPicPr preferRelativeResize="0"/>
                  </pic:nvPicPr>
                  <pic:blipFill>
                    <a:blip r:embed="rId7"/>
                    <a:srcRect b="0" l="0" r="0" t="0"/>
                    <a:stretch>
                      <a:fillRect/>
                    </a:stretch>
                  </pic:blipFill>
                  <pic:spPr>
                    <a:xfrm>
                      <a:off x="0" y="0"/>
                      <a:ext cx="4048959" cy="475022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right="0" w:firstLine="0"/>
        <w:jc w:val="center"/>
        <w:rPr>
          <w:b w:val="1"/>
          <w:sz w:val="44"/>
          <w:szCs w:val="44"/>
        </w:rPr>
      </w:pPr>
      <w:r w:rsidDel="00000000" w:rsidR="00000000" w:rsidRPr="00000000">
        <w:rPr>
          <w:b w:val="1"/>
          <w:sz w:val="44"/>
          <w:szCs w:val="44"/>
          <w:rtl w:val="0"/>
        </w:rPr>
        <w:t xml:space="preserve">Catalyst</w:t>
      </w:r>
    </w:p>
    <w:p w:rsidR="00000000" w:rsidDel="00000000" w:rsidP="00000000" w:rsidRDefault="00000000" w:rsidRPr="00000000" w14:paraId="00000004">
      <w:pPr>
        <w:ind w:left="0" w:firstLine="0"/>
        <w:jc w:val="center"/>
        <w:rPr>
          <w:color w:val="000000"/>
          <w:sz w:val="18"/>
          <w:szCs w:val="18"/>
        </w:rPr>
      </w:pPr>
      <w:r w:rsidDel="00000000" w:rsidR="00000000" w:rsidRPr="00000000">
        <w:rPr>
          <w:sz w:val="28"/>
          <w:szCs w:val="28"/>
          <w:rtl w:val="0"/>
        </w:rPr>
        <w:t xml:space="preserve">Concept Note v1.1</w:t>
      </w:r>
      <w:r w:rsidDel="00000000" w:rsidR="00000000" w:rsidRPr="00000000">
        <w:rPr>
          <w:rtl w:val="0"/>
        </w:rPr>
      </w:r>
    </w:p>
    <w:p w:rsidR="00000000" w:rsidDel="00000000" w:rsidP="00000000" w:rsidRDefault="00000000" w:rsidRPr="00000000" w14:paraId="00000005">
      <w:pPr>
        <w:ind w:left="0" w:right="0" w:firstLine="0"/>
        <w:rPr>
          <w:color w:val="000000"/>
          <w:sz w:val="18"/>
          <w:szCs w:val="18"/>
        </w:rPr>
      </w:pPr>
      <w:r w:rsidDel="00000000" w:rsidR="00000000" w:rsidRPr="00000000">
        <w:rPr>
          <w:rtl w:val="0"/>
        </w:rPr>
      </w:r>
    </w:p>
    <w:p w:rsidR="00000000" w:rsidDel="00000000" w:rsidP="00000000" w:rsidRDefault="00000000" w:rsidRPr="00000000" w14:paraId="00000006">
      <w:pPr>
        <w:ind w:left="0" w:right="0" w:firstLine="0"/>
        <w:rPr>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07">
      <w:pPr>
        <w:ind w:left="0" w:right="0" w:firstLine="0"/>
        <w:rPr>
          <w:color w:val="000000"/>
          <w:sz w:val="18"/>
          <w:szCs w:val="18"/>
        </w:rPr>
      </w:pPr>
      <w:r w:rsidDel="00000000" w:rsidR="00000000" w:rsidRPr="00000000">
        <w:rPr>
          <w:rtl w:val="0"/>
        </w:rPr>
      </w:r>
    </w:p>
    <w:sdt>
      <w:sdtPr>
        <w:id w:val="-795000342"/>
        <w:docPartObj>
          <w:docPartGallery w:val="Table of Contents"/>
          <w:docPartUnique w:val="1"/>
        </w:docPartObj>
      </w:sdtPr>
      <w:sdtContent>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245j4e1j9da">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bhbfs2rs31">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j5b42355l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Challenges</w:t>
              <w:tab/>
              <w:t xml:space="preserve">3</w:t>
            </w:r>
          </w:hyperlink>
          <w:r w:rsidDel="00000000" w:rsidR="00000000" w:rsidRPr="00000000">
            <w:rPr>
              <w:rtl w:val="0"/>
            </w:rPr>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rv63xg2lf3a">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Objectives</w:t>
              <w:tab/>
              <w:t xml:space="preserve">4</w:t>
            </w:r>
          </w:hyperlink>
          <w:r w:rsidDel="00000000" w:rsidR="00000000" w:rsidRPr="00000000">
            <w:rPr>
              <w:rtl w:val="0"/>
            </w:rPr>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7n2b1jbno5q">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Key Features</w:t>
              <w:tab/>
              <w:t xml:space="preserve">4</w:t>
            </w:r>
          </w:hyperlink>
          <w:r w:rsidDel="00000000" w:rsidR="00000000" w:rsidRPr="00000000">
            <w:rPr>
              <w:rtl w:val="0"/>
            </w:rPr>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tdyydkpj6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w:t>
              <w:tab/>
              <w:t xml:space="preserve">5</w:t>
            </w:r>
          </w:hyperlink>
          <w:r w:rsidDel="00000000" w:rsidR="00000000" w:rsidRPr="00000000">
            <w:rPr>
              <w:rtl w:val="0"/>
            </w:rPr>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ya5zg71ff3">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Infrastructure</w:t>
              <w:tab/>
              <w:t xml:space="preserve">5</w:t>
            </w:r>
          </w:hyperlink>
          <w:r w:rsidDel="00000000" w:rsidR="00000000" w:rsidRPr="00000000">
            <w:rPr>
              <w:rtl w:val="0"/>
            </w:rPr>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x0a2oat9p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High-Level Design</w:t>
              <w:tab/>
              <w:t xml:space="preserve">5</w:t>
            </w:r>
          </w:hyperlink>
          <w:r w:rsidDel="00000000" w:rsidR="00000000" w:rsidRPr="00000000">
            <w:rPr>
              <w:rtl w:val="0"/>
            </w:rPr>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g092ufq3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Datastore</w:t>
              <w:tab/>
              <w:t xml:space="preserve">7</w:t>
            </w:r>
          </w:hyperlink>
          <w:r w:rsidDel="00000000" w:rsidR="00000000" w:rsidRPr="00000000">
            <w:rPr>
              <w:rtl w:val="0"/>
            </w:rPr>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lg48vnlg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Production Readiness Checklist</w:t>
              <w:tab/>
              <w:t xml:space="preserve">7</w:t>
            </w:r>
          </w:hyperlink>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yftmed5wvc3">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Impact and Sustainability &lt;TODO&gt;</w:t>
              <w:tab/>
              <w:t xml:space="preserve">8</w:t>
            </w:r>
          </w:hyperlink>
          <w:r w:rsidDel="00000000" w:rsidR="00000000" w:rsidRPr="00000000">
            <w:rPr>
              <w:rtl w:val="0"/>
            </w:rPr>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ocx6ry1re0y">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Supporting Documentation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Heading2"/>
        <w:ind w:left="0" w:right="0" w:firstLine="0"/>
        <w:rPr>
          <w:rFonts w:ascii="Nunito" w:cs="Nunito" w:eastAsia="Nunito" w:hAnsi="Nunito"/>
          <w:color w:val="000000"/>
          <w:sz w:val="28"/>
          <w:szCs w:val="28"/>
        </w:rPr>
      </w:pPr>
      <w:bookmarkStart w:colFirst="0" w:colLast="0" w:name="_26nr2v49kyf2" w:id="0"/>
      <w:bookmarkEnd w:id="0"/>
      <w:r w:rsidDel="00000000" w:rsidR="00000000" w:rsidRPr="00000000">
        <w:rPr>
          <w:rtl w:val="0"/>
        </w:rPr>
      </w:r>
    </w:p>
    <w:p w:rsidR="00000000" w:rsidDel="00000000" w:rsidP="00000000" w:rsidRDefault="00000000" w:rsidRPr="00000000" w14:paraId="00000015">
      <w:pPr>
        <w:ind w:left="0" w:right="0" w:firstLine="0"/>
        <w:rPr>
          <w:color w:val="000000"/>
        </w:rPr>
      </w:pPr>
      <w:r w:rsidDel="00000000" w:rsidR="00000000" w:rsidRPr="00000000">
        <w:rPr>
          <w:rtl w:val="0"/>
        </w:rPr>
      </w:r>
    </w:p>
    <w:p w:rsidR="00000000" w:rsidDel="00000000" w:rsidP="00000000" w:rsidRDefault="00000000" w:rsidRPr="00000000" w14:paraId="00000016">
      <w:pPr>
        <w:pStyle w:val="Heading3"/>
        <w:pBdr>
          <w:top w:color="d9d9e3" w:space="0" w:sz="0" w:val="none"/>
          <w:left w:color="d9d9e3" w:space="0" w:sz="0" w:val="none"/>
          <w:bottom w:color="d9d9e3" w:space="0" w:sz="0" w:val="none"/>
          <w:right w:color="d9d9e3" w:space="0" w:sz="0" w:val="none"/>
          <w:between w:color="d9d9e3" w:space="0" w:sz="0" w:val="none"/>
        </w:pBdr>
        <w:spacing w:after="0" w:before="580" w:line="240" w:lineRule="auto"/>
        <w:ind w:left="0" w:right="0" w:firstLine="0"/>
        <w:rPr>
          <w:b w:val="1"/>
          <w:color w:val="000000"/>
        </w:rPr>
      </w:pPr>
      <w:bookmarkStart w:colFirst="0" w:colLast="0" w:name="_4ucui6rdtsnh"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after="0" w:before="580" w:lineRule="auto"/>
        <w:ind w:left="0" w:firstLine="0"/>
        <w:rPr/>
      </w:pPr>
      <w:bookmarkStart w:colFirst="0" w:colLast="0" w:name="_e245j4e1j9da" w:id="2"/>
      <w:bookmarkEnd w:id="2"/>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18">
      <w:pPr>
        <w:spacing w:after="0" w:before="0" w:lineRule="auto"/>
        <w:ind w:left="0" w:right="0" w:firstLine="0"/>
        <w:rPr>
          <w:color w:val="000000"/>
        </w:rPr>
      </w:pPr>
      <w:r w:rsidDel="00000000" w:rsidR="00000000" w:rsidRPr="00000000">
        <w:rPr>
          <w:rtl w:val="0"/>
        </w:rPr>
      </w:r>
    </w:p>
    <w:p w:rsidR="00000000" w:rsidDel="00000000" w:rsidP="00000000" w:rsidRDefault="00000000" w:rsidRPr="00000000" w14:paraId="00000019">
      <w:pPr>
        <w:spacing w:after="0" w:before="0" w:lineRule="auto"/>
        <w:ind w:left="0" w:right="0" w:firstLine="0"/>
        <w:rPr>
          <w:b w:val="1"/>
          <w:color w:val="000000"/>
        </w:rPr>
      </w:pPr>
      <w:r w:rsidDel="00000000" w:rsidR="00000000" w:rsidRPr="00000000">
        <w:rPr>
          <w:rFonts w:ascii="Andika" w:cs="Andika" w:eastAsia="Andika" w:hAnsi="Andika"/>
          <w:b w:val="1"/>
          <w:color w:val="000000"/>
          <w:rtl w:val="0"/>
        </w:rPr>
        <w:t xml:space="preserve">Catalyst [/ˈkatəlɪst/] noun</w:t>
      </w:r>
    </w:p>
    <w:p w:rsidR="00000000" w:rsidDel="00000000" w:rsidP="00000000" w:rsidRDefault="00000000" w:rsidRPr="00000000" w14:paraId="0000001A">
      <w:pPr>
        <w:numPr>
          <w:ilvl w:val="0"/>
          <w:numId w:val="10"/>
        </w:numPr>
        <w:spacing w:after="0" w:before="0" w:lineRule="auto"/>
        <w:ind w:left="720" w:right="0" w:hanging="360"/>
        <w:rPr>
          <w:color w:val="000000"/>
        </w:rPr>
      </w:pPr>
      <w:r w:rsidDel="00000000" w:rsidR="00000000" w:rsidRPr="00000000">
        <w:rPr>
          <w:color w:val="000000"/>
          <w:rtl w:val="0"/>
        </w:rPr>
        <w:t xml:space="preserve">Any substance that increases the rate of a reaction without itself being consumed</w:t>
      </w:r>
    </w:p>
    <w:p w:rsidR="00000000" w:rsidDel="00000000" w:rsidP="00000000" w:rsidRDefault="00000000" w:rsidRPr="00000000" w14:paraId="0000001B">
      <w:pPr>
        <w:numPr>
          <w:ilvl w:val="0"/>
          <w:numId w:val="10"/>
        </w:numPr>
        <w:spacing w:after="0" w:before="0" w:lineRule="auto"/>
        <w:ind w:left="720" w:right="0" w:hanging="360"/>
        <w:rPr>
          <w:color w:val="000000"/>
        </w:rPr>
      </w:pPr>
      <w:r w:rsidDel="00000000" w:rsidR="00000000" w:rsidRPr="00000000">
        <w:rPr>
          <w:color w:val="000000"/>
          <w:rtl w:val="0"/>
        </w:rPr>
        <w:t xml:space="preserve">An event or person that causes great change</w:t>
      </w:r>
    </w:p>
    <w:p w:rsidR="00000000" w:rsidDel="00000000" w:rsidP="00000000" w:rsidRDefault="00000000" w:rsidRPr="00000000" w14:paraId="0000001C">
      <w:pPr>
        <w:spacing w:after="200" w:before="200" w:lineRule="auto"/>
        <w:ind w:left="0" w:right="0" w:firstLine="0"/>
        <w:rPr>
          <w:color w:val="000000"/>
        </w:rPr>
      </w:pPr>
      <w:r w:rsidDel="00000000" w:rsidR="00000000" w:rsidRPr="00000000">
        <w:rPr>
          <w:color w:val="000000"/>
          <w:rtl w:val="0"/>
        </w:rPr>
        <w:t xml:space="preserve">The purpose of the catalyst is to speed up the custom PG integrations between Razorpay and the merchant systems. The catalyst framework shall have all the building blocks which are required to onboard any merchant with Razorpay PG offerings</w:t>
      </w:r>
    </w:p>
    <w:p w:rsidR="00000000" w:rsidDel="00000000" w:rsidP="00000000" w:rsidRDefault="00000000" w:rsidRPr="00000000" w14:paraId="0000001D">
      <w:pPr>
        <w:spacing w:after="200" w:before="200" w:lineRule="auto"/>
        <w:ind w:left="0" w:right="0" w:firstLine="0"/>
        <w:rPr>
          <w:color w:val="000000"/>
        </w:rPr>
      </w:pPr>
      <w:r w:rsidDel="00000000" w:rsidR="00000000" w:rsidRPr="00000000">
        <w:rPr>
          <w:color w:val="000000"/>
          <w:rtl w:val="0"/>
        </w:rPr>
        <w:t xml:space="preserve">Repo: https://github.com/razorpay/catalyst</w:t>
      </w:r>
    </w:p>
    <w:p w:rsidR="00000000" w:rsidDel="00000000" w:rsidP="00000000" w:rsidRDefault="00000000" w:rsidRPr="00000000" w14:paraId="0000001E">
      <w:pPr>
        <w:pStyle w:val="Heading2"/>
        <w:spacing w:after="200" w:before="200" w:lineRule="auto"/>
        <w:ind w:left="0" w:firstLine="0"/>
        <w:rPr/>
      </w:pPr>
      <w:bookmarkStart w:colFirst="0" w:colLast="0" w:name="_msbhbfs2rs31" w:id="3"/>
      <w:bookmarkEnd w:id="3"/>
      <w:r w:rsidDel="00000000" w:rsidR="00000000" w:rsidRPr="00000000">
        <w:rPr>
          <w:b w:val="1"/>
          <w:sz w:val="28"/>
          <w:szCs w:val="28"/>
          <w:rtl w:val="0"/>
        </w:rPr>
        <w:t xml:space="preserve">Problem Statement</w:t>
      </w:r>
      <w:r w:rsidDel="00000000" w:rsidR="00000000" w:rsidRPr="00000000">
        <w:rPr>
          <w:rtl w:val="0"/>
        </w:rPr>
      </w:r>
    </w:p>
    <w:p w:rsidR="00000000" w:rsidDel="00000000" w:rsidP="00000000" w:rsidRDefault="00000000" w:rsidRPr="00000000" w14:paraId="0000001F">
      <w:pPr>
        <w:spacing w:after="200" w:before="200" w:lineRule="auto"/>
        <w:ind w:left="0" w:firstLine="0"/>
        <w:rPr>
          <w:b w:val="1"/>
          <w:color w:val="000000"/>
          <w:u w:val="single"/>
        </w:rPr>
      </w:pPr>
      <w:r w:rsidDel="00000000" w:rsidR="00000000" w:rsidRPr="00000000">
        <w:rPr>
          <w:color w:val="000000"/>
          <w:rtl w:val="0"/>
        </w:rPr>
        <w:t xml:space="preserve">With our past experience working with NTRP, Rajasthan Govt eGras &amp; IFHRMS projects, The Professional Services Team has noticed a few commonalities that can help us seize the opportunity in Govt &amp; Banking verticals at scale. Following are the functionalities which are common in the aforementioned projects</w:t>
      </w:r>
      <w:r w:rsidDel="00000000" w:rsidR="00000000" w:rsidRPr="00000000">
        <w:rPr>
          <w:rtl w:val="0"/>
        </w:rPr>
      </w:r>
    </w:p>
    <w:p w:rsidR="00000000" w:rsidDel="00000000" w:rsidP="00000000" w:rsidRDefault="00000000" w:rsidRPr="00000000" w14:paraId="00000020">
      <w:pPr>
        <w:numPr>
          <w:ilvl w:val="0"/>
          <w:numId w:val="9"/>
        </w:numPr>
        <w:spacing w:after="200" w:before="200" w:lineRule="auto"/>
        <w:ind w:left="720" w:right="0" w:hanging="360"/>
        <w:rPr>
          <w:rFonts w:ascii="Nunito" w:cs="Nunito" w:eastAsia="Nunito" w:hAnsi="Nunito"/>
          <w:color w:val="000000"/>
        </w:rPr>
      </w:pPr>
      <w:r w:rsidDel="00000000" w:rsidR="00000000" w:rsidRPr="00000000">
        <w:rPr>
          <w:rFonts w:ascii="Nunito" w:cs="Nunito" w:eastAsia="Nunito" w:hAnsi="Nunito"/>
          <w:color w:val="000000"/>
          <w:rtl w:val="0"/>
        </w:rPr>
        <w:t xml:space="preserve">The information exchange between these systems &amp; the PA/PG is always end-to-end encrypted</w:t>
      </w:r>
      <w:r w:rsidDel="00000000" w:rsidR="00000000" w:rsidRPr="00000000">
        <w:rPr>
          <w:rtl w:val="0"/>
        </w:rPr>
      </w:r>
    </w:p>
    <w:p w:rsidR="00000000" w:rsidDel="00000000" w:rsidP="00000000" w:rsidRDefault="00000000" w:rsidRPr="00000000" w14:paraId="00000021">
      <w:pPr>
        <w:numPr>
          <w:ilvl w:val="0"/>
          <w:numId w:val="9"/>
        </w:numPr>
        <w:spacing w:after="200" w:before="200" w:lineRule="auto"/>
        <w:ind w:left="720" w:right="0" w:hanging="360"/>
        <w:rPr>
          <w:rFonts w:ascii="Nunito" w:cs="Nunito" w:eastAsia="Nunito" w:hAnsi="Nunito"/>
          <w:color w:val="000000"/>
        </w:rPr>
      </w:pPr>
      <w:r w:rsidDel="00000000" w:rsidR="00000000" w:rsidRPr="00000000">
        <w:rPr>
          <w:rFonts w:ascii="Nunito" w:cs="Nunito" w:eastAsia="Nunito" w:hAnsi="Nunito"/>
          <w:color w:val="000000"/>
          <w:rtl w:val="0"/>
        </w:rPr>
        <w:t xml:space="preserve">They cannot integrate with the PA/PGs instead they expect us to integrate with their systems</w:t>
      </w:r>
      <w:r w:rsidDel="00000000" w:rsidR="00000000" w:rsidRPr="00000000">
        <w:rPr>
          <w:rtl w:val="0"/>
        </w:rPr>
      </w:r>
    </w:p>
    <w:p w:rsidR="00000000" w:rsidDel="00000000" w:rsidP="00000000" w:rsidRDefault="00000000" w:rsidRPr="00000000" w14:paraId="00000022">
      <w:pPr>
        <w:numPr>
          <w:ilvl w:val="0"/>
          <w:numId w:val="9"/>
        </w:numPr>
        <w:spacing w:after="200" w:before="200" w:lineRule="auto"/>
        <w:ind w:left="720" w:right="0" w:hanging="360"/>
        <w:rPr>
          <w:rFonts w:ascii="Nunito" w:cs="Nunito" w:eastAsia="Nunito" w:hAnsi="Nunito"/>
          <w:color w:val="000000"/>
        </w:rPr>
      </w:pPr>
      <w:r w:rsidDel="00000000" w:rsidR="00000000" w:rsidRPr="00000000">
        <w:rPr>
          <w:rFonts w:ascii="Nunito" w:cs="Nunito" w:eastAsia="Nunito" w:hAnsi="Nunito"/>
          <w:color w:val="000000"/>
          <w:rtl w:val="0"/>
        </w:rPr>
        <w:t xml:space="preserve">Typically these are S2S APIs &amp; they refrain from calling multiple </w:t>
      </w:r>
      <w:r w:rsidDel="00000000" w:rsidR="00000000" w:rsidRPr="00000000">
        <w:rPr>
          <w:color w:val="000000"/>
          <w:rtl w:val="0"/>
        </w:rPr>
        <w:t xml:space="preserve">APIs</w:t>
      </w:r>
      <w:r w:rsidDel="00000000" w:rsidR="00000000" w:rsidRPr="00000000">
        <w:rPr>
          <w:rFonts w:ascii="Nunito" w:cs="Nunito" w:eastAsia="Nunito" w:hAnsi="Nunito"/>
          <w:color w:val="000000"/>
          <w:rtl w:val="0"/>
        </w:rPr>
        <w:t xml:space="preserve">/Endpoints</w:t>
      </w:r>
      <w:r w:rsidDel="00000000" w:rsidR="00000000" w:rsidRPr="00000000">
        <w:rPr>
          <w:rtl w:val="0"/>
        </w:rPr>
      </w:r>
    </w:p>
    <w:p w:rsidR="00000000" w:rsidDel="00000000" w:rsidP="00000000" w:rsidRDefault="00000000" w:rsidRPr="00000000" w14:paraId="00000023">
      <w:pPr>
        <w:numPr>
          <w:ilvl w:val="0"/>
          <w:numId w:val="9"/>
        </w:numPr>
        <w:spacing w:after="200" w:before="200" w:lineRule="auto"/>
        <w:ind w:left="720" w:right="0" w:hanging="360"/>
        <w:rPr>
          <w:rFonts w:ascii="Nunito" w:cs="Nunito" w:eastAsia="Nunito" w:hAnsi="Nunito"/>
          <w:color w:val="000000"/>
        </w:rPr>
      </w:pPr>
      <w:r w:rsidDel="00000000" w:rsidR="00000000" w:rsidRPr="00000000">
        <w:rPr>
          <w:rFonts w:ascii="Nunito" w:cs="Nunito" w:eastAsia="Nunito" w:hAnsi="Nunito"/>
          <w:color w:val="000000"/>
          <w:rtl w:val="0"/>
        </w:rPr>
        <w:t xml:space="preserve">All of the integrations follow the Browser redirect for Payment invocation</w:t>
      </w:r>
      <w:r w:rsidDel="00000000" w:rsidR="00000000" w:rsidRPr="00000000">
        <w:rPr>
          <w:rtl w:val="0"/>
        </w:rPr>
      </w:r>
    </w:p>
    <w:p w:rsidR="00000000" w:rsidDel="00000000" w:rsidP="00000000" w:rsidRDefault="00000000" w:rsidRPr="00000000" w14:paraId="00000024">
      <w:pPr>
        <w:numPr>
          <w:ilvl w:val="0"/>
          <w:numId w:val="9"/>
        </w:numPr>
        <w:spacing w:after="200" w:before="200" w:lineRule="auto"/>
        <w:ind w:left="720" w:right="0" w:hanging="360"/>
        <w:rPr>
          <w:rFonts w:ascii="Nunito" w:cs="Nunito" w:eastAsia="Nunito" w:hAnsi="Nunito"/>
          <w:color w:val="000000"/>
        </w:rPr>
      </w:pPr>
      <w:r w:rsidDel="00000000" w:rsidR="00000000" w:rsidRPr="00000000">
        <w:rPr>
          <w:rFonts w:ascii="Nunito" w:cs="Nunito" w:eastAsia="Nunito" w:hAnsi="Nunito"/>
          <w:color w:val="000000"/>
          <w:rtl w:val="0"/>
        </w:rPr>
        <w:t xml:space="preserve">The Govt entities will have more than 1 payment partner at their end, which makes it impossible to integrate Razorpay’s payment SDKs on their client apps</w:t>
      </w:r>
      <w:r w:rsidDel="00000000" w:rsidR="00000000" w:rsidRPr="00000000">
        <w:rPr>
          <w:rtl w:val="0"/>
        </w:rPr>
      </w:r>
    </w:p>
    <w:p w:rsidR="00000000" w:rsidDel="00000000" w:rsidP="00000000" w:rsidRDefault="00000000" w:rsidRPr="00000000" w14:paraId="00000025">
      <w:pPr>
        <w:pStyle w:val="Heading3"/>
        <w:spacing w:after="200" w:lineRule="auto"/>
        <w:ind w:left="0" w:firstLine="0"/>
        <w:rPr/>
      </w:pPr>
      <w:bookmarkStart w:colFirst="0" w:colLast="0" w:name="_hbj5b42355lm" w:id="4"/>
      <w:bookmarkEnd w:id="4"/>
      <w:r w:rsidDel="00000000" w:rsidR="00000000" w:rsidRPr="00000000">
        <w:rPr>
          <w:rtl w:val="0"/>
        </w:rPr>
        <w:t xml:space="preserve">Challenges</w:t>
      </w:r>
    </w:p>
    <w:p w:rsidR="00000000" w:rsidDel="00000000" w:rsidP="00000000" w:rsidRDefault="00000000" w:rsidRPr="00000000" w14:paraId="00000026">
      <w:pPr>
        <w:ind w:left="0" w:right="0" w:firstLine="0"/>
        <w:rPr>
          <w:color w:val="000000"/>
        </w:rPr>
      </w:pPr>
      <w:r w:rsidDel="00000000" w:rsidR="00000000" w:rsidRPr="00000000">
        <w:rPr>
          <w:color w:val="000000"/>
          <w:rtl w:val="0"/>
        </w:rPr>
        <w:t xml:space="preserve">Currently, the PS team is facing challenges in scaling up the existing PHP-based service custom-solutions-web to meet the merchant requirements, here are a few reasons why:</w:t>
      </w:r>
    </w:p>
    <w:p w:rsidR="00000000" w:rsidDel="00000000" w:rsidP="00000000" w:rsidRDefault="00000000" w:rsidRPr="00000000" w14:paraId="00000027">
      <w:pPr>
        <w:numPr>
          <w:ilvl w:val="0"/>
          <w:numId w:val="5"/>
        </w:numPr>
        <w:ind w:left="720" w:right="0" w:hanging="360"/>
        <w:rPr>
          <w:color w:val="000000"/>
          <w:u w:val="none"/>
        </w:rPr>
      </w:pPr>
      <w:r w:rsidDel="00000000" w:rsidR="00000000" w:rsidRPr="00000000">
        <w:rPr>
          <w:color w:val="000000"/>
          <w:rtl w:val="0"/>
        </w:rPr>
        <w:t xml:space="preserve">As an organization, Razorpay has decided to use Golang as a defacto framework for all backend services &amp; maintaining a PHP-based service for newer implementation can increase the scope of migration in the future</w:t>
      </w:r>
    </w:p>
    <w:p w:rsidR="00000000" w:rsidDel="00000000" w:rsidP="00000000" w:rsidRDefault="00000000" w:rsidRPr="00000000" w14:paraId="00000028">
      <w:pPr>
        <w:numPr>
          <w:ilvl w:val="0"/>
          <w:numId w:val="5"/>
        </w:numPr>
        <w:ind w:left="720" w:right="0" w:hanging="360"/>
        <w:rPr>
          <w:color w:val="000000"/>
          <w:u w:val="none"/>
        </w:rPr>
      </w:pPr>
      <w:r w:rsidDel="00000000" w:rsidR="00000000" w:rsidRPr="00000000">
        <w:rPr>
          <w:color w:val="000000"/>
          <w:rtl w:val="0"/>
        </w:rPr>
        <w:t xml:space="preserve">Enhancing the PHP code base to support Asynchronous processing on the workers is far more complex &amp; redundant. The common utility package of Razorpay in Golang provides this out of the box</w:t>
      </w:r>
    </w:p>
    <w:p w:rsidR="00000000" w:rsidDel="00000000" w:rsidP="00000000" w:rsidRDefault="00000000" w:rsidRPr="00000000" w14:paraId="00000029">
      <w:pPr>
        <w:numPr>
          <w:ilvl w:val="0"/>
          <w:numId w:val="5"/>
        </w:numPr>
        <w:ind w:left="720" w:right="0" w:hanging="360"/>
        <w:rPr>
          <w:color w:val="000000"/>
          <w:u w:val="none"/>
        </w:rPr>
      </w:pPr>
      <w:r w:rsidDel="00000000" w:rsidR="00000000" w:rsidRPr="00000000">
        <w:rPr>
          <w:color w:val="000000"/>
          <w:rtl w:val="0"/>
        </w:rPr>
        <w:t xml:space="preserve">The PHP service consumes more CPU &amp; Memory as supposed to the Golang-based service, any enhancements here will considerably increase the overall infrastructure cost</w:t>
      </w:r>
      <w:r w:rsidDel="00000000" w:rsidR="00000000" w:rsidRPr="00000000">
        <w:rPr>
          <w:rtl w:val="0"/>
        </w:rPr>
      </w:r>
    </w:p>
    <w:p w:rsidR="00000000" w:rsidDel="00000000" w:rsidP="00000000" w:rsidRDefault="00000000" w:rsidRPr="00000000" w14:paraId="0000002A">
      <w:pPr>
        <w:pStyle w:val="Heading2"/>
        <w:widowControl w:val="0"/>
        <w:spacing w:after="200" w:before="200" w:lineRule="auto"/>
        <w:ind w:left="0" w:firstLine="0"/>
        <w:rPr>
          <w:b w:val="1"/>
          <w:sz w:val="28"/>
          <w:szCs w:val="28"/>
        </w:rPr>
      </w:pPr>
      <w:bookmarkStart w:colFirst="0" w:colLast="0" w:name="_krv63xg2lf3a" w:id="5"/>
      <w:bookmarkEnd w:id="5"/>
      <w:r w:rsidDel="00000000" w:rsidR="00000000" w:rsidRPr="00000000">
        <w:rPr>
          <w:b w:val="1"/>
          <w:sz w:val="28"/>
          <w:szCs w:val="28"/>
          <w:rtl w:val="0"/>
        </w:rPr>
        <w:t xml:space="preserve">Objectives</w:t>
      </w:r>
    </w:p>
    <w:p w:rsidR="00000000" w:rsidDel="00000000" w:rsidP="00000000" w:rsidRDefault="00000000" w:rsidRPr="00000000" w14:paraId="0000002B">
      <w:pPr>
        <w:keepLines w:val="1"/>
        <w:widowControl w:val="0"/>
        <w:numPr>
          <w:ilvl w:val="0"/>
          <w:numId w:val="3"/>
        </w:numPr>
        <w:spacing w:after="0" w:before="0" w:lineRule="auto"/>
        <w:ind w:left="720" w:hanging="360"/>
        <w:rPr>
          <w:color w:val="000000"/>
        </w:rPr>
      </w:pPr>
      <w:r w:rsidDel="00000000" w:rsidR="00000000" w:rsidRPr="00000000">
        <w:rPr>
          <w:color w:val="000000"/>
          <w:rtl w:val="0"/>
        </w:rPr>
        <w:t xml:space="preserve">Migrate the existing solution from CSW to catalyst with a primary focus on optimizing the performance of crons and reducing CPU resource consumption. </w:t>
      </w:r>
    </w:p>
    <w:p w:rsidR="00000000" w:rsidDel="00000000" w:rsidP="00000000" w:rsidRDefault="00000000" w:rsidRPr="00000000" w14:paraId="0000002C">
      <w:pPr>
        <w:keepLines w:val="1"/>
        <w:widowControl w:val="0"/>
        <w:numPr>
          <w:ilvl w:val="1"/>
          <w:numId w:val="3"/>
        </w:numPr>
        <w:spacing w:after="0" w:before="0" w:lineRule="auto"/>
        <w:ind w:left="1440" w:hanging="360"/>
        <w:rPr>
          <w:color w:val="000000"/>
        </w:rPr>
      </w:pPr>
      <w:r w:rsidDel="00000000" w:rsidR="00000000" w:rsidRPr="00000000">
        <w:rPr>
          <w:color w:val="000000"/>
          <w:rtl w:val="0"/>
        </w:rPr>
        <w:t xml:space="preserve">This migration should lead to a more efficient and scalable system that can handle high workloads without causing significant spikes in CPU usage.</w:t>
      </w:r>
    </w:p>
    <w:p w:rsidR="00000000" w:rsidDel="00000000" w:rsidP="00000000" w:rsidRDefault="00000000" w:rsidRPr="00000000" w14:paraId="0000002D">
      <w:pPr>
        <w:keepLines w:val="1"/>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right="0" w:hanging="360"/>
        <w:rPr>
          <w:color w:val="000000"/>
          <w:u w:val="none"/>
        </w:rPr>
      </w:pPr>
      <w:r w:rsidDel="00000000" w:rsidR="00000000" w:rsidRPr="00000000">
        <w:rPr>
          <w:rFonts w:ascii="Nunito" w:cs="Nunito" w:eastAsia="Nunito" w:hAnsi="Nunito"/>
          <w:color w:val="000000"/>
          <w:rtl w:val="0"/>
        </w:rPr>
        <w:t xml:space="preserve">Improve performance and resource utilization</w:t>
      </w:r>
    </w:p>
    <w:p w:rsidR="00000000" w:rsidDel="00000000" w:rsidP="00000000" w:rsidRDefault="00000000" w:rsidRPr="00000000" w14:paraId="0000002E">
      <w:pPr>
        <w:keepLines w:val="1"/>
        <w:widowControl w:val="0"/>
        <w:numPr>
          <w:ilvl w:val="0"/>
          <w:numId w:val="3"/>
        </w:numPr>
        <w:spacing w:after="0" w:before="0" w:lineRule="auto"/>
        <w:ind w:left="720" w:hanging="360"/>
        <w:rPr>
          <w:color w:val="000000"/>
        </w:rPr>
      </w:pPr>
      <w:r w:rsidDel="00000000" w:rsidR="00000000" w:rsidRPr="00000000">
        <w:rPr>
          <w:color w:val="000000"/>
          <w:rtl w:val="0"/>
        </w:rPr>
        <w:t xml:space="preserve">The transition from synchronous to asynchronous processing, where possible, to better handle long-running tasks or tasks with high concurrency requirements.</w:t>
      </w:r>
      <w:r w:rsidDel="00000000" w:rsidR="00000000" w:rsidRPr="00000000">
        <w:rPr>
          <w:rtl w:val="0"/>
        </w:rPr>
      </w:r>
    </w:p>
    <w:p w:rsidR="00000000" w:rsidDel="00000000" w:rsidP="00000000" w:rsidRDefault="00000000" w:rsidRPr="00000000" w14:paraId="0000002F">
      <w:pPr>
        <w:keepLines w:val="1"/>
        <w:widowControl w:val="0"/>
        <w:numPr>
          <w:ilvl w:val="0"/>
          <w:numId w:val="3"/>
        </w:numPr>
        <w:spacing w:after="0" w:before="0" w:lineRule="auto"/>
        <w:ind w:left="720" w:hanging="360"/>
        <w:rPr>
          <w:color w:val="000000"/>
          <w:u w:val="none"/>
        </w:rPr>
      </w:pPr>
      <w:r w:rsidDel="00000000" w:rsidR="00000000" w:rsidRPr="00000000">
        <w:rPr>
          <w:color w:val="000000"/>
          <w:rtl w:val="0"/>
        </w:rPr>
        <w:t xml:space="preserve">Build a future-proof framework to take up all the custom implementations in the near future</w:t>
      </w:r>
    </w:p>
    <w:p w:rsidR="00000000" w:rsidDel="00000000" w:rsidP="00000000" w:rsidRDefault="00000000" w:rsidRPr="00000000" w14:paraId="00000030">
      <w:pPr>
        <w:keepLines w:val="1"/>
        <w:widowControl w:val="0"/>
        <w:numPr>
          <w:ilvl w:val="0"/>
          <w:numId w:val="3"/>
        </w:numPr>
        <w:spacing w:after="0" w:before="0" w:lineRule="auto"/>
        <w:ind w:left="720" w:hanging="360"/>
        <w:rPr>
          <w:color w:val="000000"/>
          <w:u w:val="none"/>
        </w:rPr>
      </w:pPr>
      <w:r w:rsidDel="00000000" w:rsidR="00000000" w:rsidRPr="00000000">
        <w:rPr>
          <w:color w:val="000000"/>
          <w:rtl w:val="0"/>
        </w:rPr>
        <w:t xml:space="preserve">Leverage the best practices &amp; common components built by other Engineering teams, keep the tech stack updated with org standards</w:t>
      </w:r>
    </w:p>
    <w:p w:rsidR="00000000" w:rsidDel="00000000" w:rsidP="00000000" w:rsidRDefault="00000000" w:rsidRPr="00000000" w14:paraId="00000031">
      <w:pPr>
        <w:keepLines w:val="1"/>
        <w:widowControl w:val="0"/>
        <w:numPr>
          <w:ilvl w:val="0"/>
          <w:numId w:val="3"/>
        </w:numPr>
        <w:spacing w:after="580" w:before="0" w:lineRule="auto"/>
        <w:ind w:left="720" w:hanging="360"/>
        <w:rPr>
          <w:color w:val="000000"/>
          <w:u w:val="none"/>
        </w:rPr>
      </w:pPr>
      <w:r w:rsidDel="00000000" w:rsidR="00000000" w:rsidRPr="00000000">
        <w:rPr>
          <w:color w:val="000000"/>
          <w:rtl w:val="0"/>
        </w:rPr>
        <w:t xml:space="preserve">Last but not least, Build a reliable, reusable framework for the custom projects which can increase the Go-To-Market time for the new implementations by a minimum of 40% lesser ETA</w:t>
      </w:r>
      <w:r w:rsidDel="00000000" w:rsidR="00000000" w:rsidRPr="00000000">
        <w:rPr>
          <w:rtl w:val="0"/>
        </w:rPr>
      </w:r>
    </w:p>
    <w:p w:rsidR="00000000" w:rsidDel="00000000" w:rsidP="00000000" w:rsidRDefault="00000000" w:rsidRPr="00000000" w14:paraId="00000032">
      <w:pPr>
        <w:pStyle w:val="Heading2"/>
        <w:spacing w:after="0" w:before="0" w:lineRule="auto"/>
        <w:rPr/>
      </w:pPr>
      <w:bookmarkStart w:colFirst="0" w:colLast="0" w:name="_a7n2b1jbno5q" w:id="6"/>
      <w:bookmarkEnd w:id="6"/>
      <w:r w:rsidDel="00000000" w:rsidR="00000000" w:rsidRPr="00000000">
        <w:rPr>
          <w:rtl w:val="0"/>
        </w:rPr>
        <w:t xml:space="preserve">Key Features</w:t>
      </w:r>
    </w:p>
    <w:p w:rsidR="00000000" w:rsidDel="00000000" w:rsidP="00000000" w:rsidRDefault="00000000" w:rsidRPr="00000000" w14:paraId="0000003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Rule="auto"/>
        <w:ind w:left="720" w:right="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The key feature of Catalyst is faster processing without </w:t>
      </w:r>
      <w:r w:rsidDel="00000000" w:rsidR="00000000" w:rsidRPr="00000000">
        <w:rPr>
          <w:color w:val="000000"/>
          <w:rtl w:val="0"/>
        </w:rPr>
        <w:t xml:space="preserve">significant</w:t>
      </w:r>
      <w:r w:rsidDel="00000000" w:rsidR="00000000" w:rsidRPr="00000000">
        <w:rPr>
          <w:rFonts w:ascii="Nunito" w:cs="Nunito" w:eastAsia="Nunito" w:hAnsi="Nunito"/>
          <w:color w:val="000000"/>
          <w:rtl w:val="0"/>
        </w:rPr>
        <w:t xml:space="preserve"> CPU processing. We will achieve this by using worker threads and Golang as our primary choice of programming language.</w:t>
      </w:r>
      <w:r w:rsidDel="00000000" w:rsidR="00000000" w:rsidRPr="00000000">
        <w:rPr>
          <w:rtl w:val="0"/>
        </w:rPr>
      </w:r>
    </w:p>
    <w:p w:rsidR="00000000" w:rsidDel="00000000" w:rsidP="00000000" w:rsidRDefault="00000000" w:rsidRPr="00000000" w14:paraId="0000003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Implement foundational design patterns for the use cases defined in the problem statement</w:t>
      </w:r>
    </w:p>
    <w:p w:rsidR="00000000" w:rsidDel="00000000" w:rsidP="00000000" w:rsidRDefault="00000000" w:rsidRPr="00000000" w14:paraId="0000003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A common repository for all the custom reporting use-cases</w:t>
      </w:r>
    </w:p>
    <w:p w:rsidR="00000000" w:rsidDel="00000000" w:rsidP="00000000" w:rsidRDefault="00000000" w:rsidRPr="00000000" w14:paraId="0000003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A common repository for all the custom webhook implementations</w:t>
      </w:r>
    </w:p>
    <w:p w:rsidR="00000000" w:rsidDel="00000000" w:rsidP="00000000" w:rsidRDefault="00000000" w:rsidRPr="00000000" w14:paraId="0000003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Multi Data source connection will connect to the custom-solutions-web repository to support all the existing use-cases</w:t>
      </w:r>
    </w:p>
    <w:p w:rsidR="00000000" w:rsidDel="00000000" w:rsidP="00000000" w:rsidRDefault="00000000" w:rsidRPr="00000000" w14:paraId="0000003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Support asynchronous processing using Kafka, 2-way pub-sub implementation between catalyst &amp; custom-solutions-web</w:t>
      </w:r>
    </w:p>
    <w:p w:rsidR="00000000" w:rsidDel="00000000" w:rsidP="00000000" w:rsidRDefault="00000000" w:rsidRPr="00000000" w14:paraId="0000003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Framework-level support to retries in case of external gateway API failures</w:t>
      </w:r>
    </w:p>
    <w:p w:rsidR="00000000" w:rsidDel="00000000" w:rsidP="00000000" w:rsidRDefault="00000000" w:rsidRPr="00000000" w14:paraId="0000003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color w:val="000000"/>
          <w:u w:val="none"/>
        </w:rPr>
      </w:pPr>
      <w:r w:rsidDel="00000000" w:rsidR="00000000" w:rsidRPr="00000000">
        <w:rPr>
          <w:color w:val="000000"/>
          <w:rtl w:val="0"/>
        </w:rPr>
        <w:t xml:space="preserve">Out-of-the-box Mutex support for handling concurrency issues</w:t>
      </w:r>
    </w:p>
    <w:p w:rsidR="00000000" w:rsidDel="00000000" w:rsidP="00000000" w:rsidRDefault="00000000" w:rsidRPr="00000000" w14:paraId="0000003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580" w:before="0" w:beforeAutospacing="0" w:lineRule="auto"/>
        <w:ind w:left="720" w:right="0" w:hanging="360"/>
        <w:rPr>
          <w:color w:val="000000"/>
          <w:u w:val="none"/>
        </w:rPr>
      </w:pPr>
      <w:r w:rsidDel="00000000" w:rsidR="00000000" w:rsidRPr="00000000">
        <w:rPr>
          <w:color w:val="000000"/>
          <w:rtl w:val="0"/>
        </w:rPr>
        <w:t xml:space="preserve">Ability to run crons directly from the Spinnaker pipelines, this can help the TAT for on-call issues</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580" w:before="580" w:lineRule="auto"/>
        <w:ind w:left="0" w:right="0" w:firstLine="0"/>
        <w:rPr>
          <w:b w:val="1"/>
          <w:color w:val="000000"/>
        </w:rPr>
      </w:pPr>
      <w:r w:rsidDel="00000000" w:rsidR="00000000" w:rsidRPr="00000000">
        <w:rPr>
          <w:b w:val="1"/>
          <w:color w:val="000000"/>
          <w:rtl w:val="0"/>
        </w:rPr>
        <w:t xml:space="preserve">Projects in pipeline for Catalyst</w:t>
      </w:r>
    </w:p>
    <w:p w:rsidR="00000000" w:rsidDel="00000000" w:rsidP="00000000" w:rsidRDefault="00000000" w:rsidRPr="00000000" w14:paraId="0000003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Rule="auto"/>
        <w:ind w:left="720" w:right="0" w:hanging="360"/>
        <w:rPr>
          <w:b w:val="1"/>
          <w:color w:val="000000"/>
          <w:u w:val="none"/>
        </w:rPr>
      </w:pPr>
      <w:hyperlink r:id="rId8">
        <w:r w:rsidDel="00000000" w:rsidR="00000000" w:rsidRPr="00000000">
          <w:rPr>
            <w:b w:val="1"/>
            <w:color w:val="0000ee"/>
            <w:u w:val="single"/>
            <w:rtl w:val="0"/>
          </w:rPr>
          <w:t xml:space="preserve">RBI Scroll - PACS 2.0 Solution Document.docx</w:t>
        </w:r>
      </w:hyperlink>
      <w:r w:rsidDel="00000000" w:rsidR="00000000" w:rsidRPr="00000000">
        <w:rPr>
          <w:rtl w:val="0"/>
        </w:rPr>
      </w:r>
    </w:p>
    <w:p w:rsidR="00000000" w:rsidDel="00000000" w:rsidP="00000000" w:rsidRDefault="00000000" w:rsidRPr="00000000" w14:paraId="0000003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right="0" w:hanging="360"/>
        <w:rPr>
          <w:b w:val="1"/>
          <w:color w:val="000000"/>
          <w:u w:val="none"/>
        </w:rPr>
      </w:pPr>
      <w:hyperlink r:id="rId9">
        <w:r w:rsidDel="00000000" w:rsidR="00000000" w:rsidRPr="00000000">
          <w:rPr>
            <w:b w:val="1"/>
            <w:color w:val="0000ee"/>
            <w:u w:val="single"/>
            <w:rtl w:val="0"/>
          </w:rPr>
          <w:t xml:space="preserve">E-Grass Scroll Files - BRD</w:t>
        </w:r>
      </w:hyperlink>
      <w:r w:rsidDel="00000000" w:rsidR="00000000" w:rsidRPr="00000000">
        <w:rPr>
          <w:rtl w:val="0"/>
        </w:rPr>
      </w:r>
    </w:p>
    <w:p w:rsidR="00000000" w:rsidDel="00000000" w:rsidP="00000000" w:rsidRDefault="00000000" w:rsidRPr="00000000" w14:paraId="0000003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580" w:before="0" w:beforeAutospacing="0" w:lineRule="auto"/>
        <w:ind w:left="720" w:right="0" w:hanging="360"/>
        <w:rPr>
          <w:b w:val="1"/>
          <w:color w:val="000000"/>
          <w:u w:val="none"/>
        </w:rPr>
      </w:pPr>
      <w:hyperlink r:id="rId10">
        <w:r w:rsidDel="00000000" w:rsidR="00000000" w:rsidRPr="00000000">
          <w:rPr>
            <w:b w:val="1"/>
            <w:color w:val="0000ee"/>
            <w:u w:val="single"/>
            <w:rtl w:val="0"/>
          </w:rPr>
          <w:t xml:space="preserve">NTRP PAO Integration - API Spec.doc</w:t>
        </w:r>
      </w:hyperlink>
      <w:r w:rsidDel="00000000" w:rsidR="00000000" w:rsidRPr="00000000">
        <w:rPr>
          <w:rtl w:val="0"/>
        </w:rPr>
      </w:r>
    </w:p>
    <w:p w:rsidR="00000000" w:rsidDel="00000000" w:rsidP="00000000" w:rsidRDefault="00000000" w:rsidRPr="00000000" w14:paraId="00000040">
      <w:pPr>
        <w:pStyle w:val="Heading2"/>
        <w:ind w:left="0" w:firstLine="0"/>
        <w:rPr/>
      </w:pPr>
      <w:bookmarkStart w:colFirst="0" w:colLast="0" w:name="_ktdyydkpj6lz" w:id="7"/>
      <w:bookmarkEnd w:id="7"/>
      <w:r w:rsidDel="00000000" w:rsidR="00000000" w:rsidRPr="00000000">
        <w:rPr>
          <w:rtl w:val="0"/>
        </w:rPr>
        <w:t xml:space="preserve">Architecture</w:t>
      </w:r>
    </w:p>
    <w:p w:rsidR="00000000" w:rsidDel="00000000" w:rsidP="00000000" w:rsidRDefault="00000000" w:rsidRPr="00000000" w14:paraId="00000041">
      <w:pPr>
        <w:pStyle w:val="Heading3"/>
        <w:ind w:left="0" w:firstLine="0"/>
        <w:rPr/>
      </w:pPr>
      <w:bookmarkStart w:colFirst="0" w:colLast="0" w:name="_kbya5zg71ff3" w:id="8"/>
      <w:bookmarkEnd w:id="8"/>
      <w:r w:rsidDel="00000000" w:rsidR="00000000" w:rsidRPr="00000000">
        <w:rPr>
          <w:rtl w:val="0"/>
        </w:rPr>
        <w:t xml:space="preserve">Infrastructure</w:t>
      </w:r>
    </w:p>
    <w:p w:rsidR="00000000" w:rsidDel="00000000" w:rsidP="00000000" w:rsidRDefault="00000000" w:rsidRPr="00000000" w14:paraId="00000042">
      <w:pPr>
        <w:ind w:left="0" w:firstLine="0"/>
        <w:rPr/>
      </w:pPr>
      <w:r w:rsidDel="00000000" w:rsidR="00000000" w:rsidRPr="00000000">
        <w:rPr>
          <w:rtl w:val="0"/>
        </w:rPr>
        <w:tab/>
        <w:t xml:space="preserve">Catalyst is a Golang-based microservice hosted on the Razorpay Non-CDE instance of the Kubernetes Cluster. The setup is similar to any other Golang-based service in the current infrastructure.</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u w:val="single"/>
        </w:rPr>
      </w:pPr>
      <w:r w:rsidDel="00000000" w:rsidR="00000000" w:rsidRPr="00000000">
        <w:rPr>
          <w:u w:val="single"/>
          <w:rtl w:val="0"/>
        </w:rPr>
        <w:t xml:space="preserve">Some key considerations are given below</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Catalyst will not store card-sensitive data, hence it's a non-cde candidate.</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Leverage the domain, solutions.razorpay.com in production &amp; solutions.stage.razorpay.in in the stage environment</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Route the traffic via the Edge gateway to leverage the rate limiter &amp; other functionalities supported by Kong</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Setup web &amp; worker pods on the Kubernetes</w:t>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Setup separate pipelines to execute the crons in Spinnaker</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Leverage existing static IPs already in place</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Connects to Razorpay’s Kafka Queues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u w:val="single"/>
        </w:rPr>
      </w:pPr>
      <w:r w:rsidDel="00000000" w:rsidR="00000000" w:rsidRPr="00000000">
        <w:rPr>
          <w:u w:val="single"/>
          <w:rtl w:val="0"/>
        </w:rPr>
        <w:t xml:space="preserve">Kubernetes configuration to begin with</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Memory Allocation:</w:t>
      </w:r>
    </w:p>
    <w:p w:rsidR="00000000" w:rsidDel="00000000" w:rsidP="00000000" w:rsidRDefault="00000000" w:rsidRPr="00000000" w14:paraId="00000051">
      <w:pPr>
        <w:ind w:left="0" w:firstLine="0"/>
        <w:rPr/>
      </w:pPr>
      <w:r w:rsidDel="00000000" w:rsidR="00000000" w:rsidRPr="00000000">
        <w:rPr>
          <w:rtl w:val="0"/>
        </w:rPr>
        <w:t xml:space="preserve">CPU Allocation:</w:t>
      </w:r>
    </w:p>
    <w:p w:rsidR="00000000" w:rsidDel="00000000" w:rsidP="00000000" w:rsidRDefault="00000000" w:rsidRPr="00000000" w14:paraId="00000052">
      <w:pPr>
        <w:ind w:left="0" w:firstLine="0"/>
        <w:rPr/>
      </w:pPr>
      <w:r w:rsidDel="00000000" w:rsidR="00000000" w:rsidRPr="00000000">
        <w:rPr>
          <w:rtl w:val="0"/>
        </w:rPr>
        <w:t xml:space="preserve">Minimum Number of Web Pods/Cluster:</w:t>
      </w:r>
    </w:p>
    <w:p w:rsidR="00000000" w:rsidDel="00000000" w:rsidP="00000000" w:rsidRDefault="00000000" w:rsidRPr="00000000" w14:paraId="00000053">
      <w:pPr>
        <w:ind w:left="0" w:firstLine="0"/>
        <w:rPr/>
      </w:pPr>
      <w:r w:rsidDel="00000000" w:rsidR="00000000" w:rsidRPr="00000000">
        <w:rPr>
          <w:rtl w:val="0"/>
        </w:rPr>
        <w:t xml:space="preserve">Minimum Number of Worker Pods/Cluster:</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3"/>
        <w:ind w:left="0" w:firstLine="0"/>
        <w:rPr/>
      </w:pPr>
      <w:bookmarkStart w:colFirst="0" w:colLast="0" w:name="_swx0a2oat9pp" w:id="9"/>
      <w:bookmarkEnd w:id="9"/>
      <w:r w:rsidDel="00000000" w:rsidR="00000000" w:rsidRPr="00000000">
        <w:rPr>
          <w:rtl w:val="0"/>
        </w:rPr>
        <w:t xml:space="preserve">High-Level Design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Basis the infrastructure considerations, here is the high-level architecture diagram of Catalyst.</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Pointers</w:t>
      </w:r>
      <w:r w:rsidDel="00000000" w:rsidR="00000000" w:rsidRPr="00000000">
        <w:rPr>
          <w:rtl w:val="0"/>
        </w:rPr>
        <w:t xml:space="preserve">:</w:t>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Razorpay’s infra has a CDE (Card Data Environment Zone) &amp; a Non-CDE Zone &amp; each Zone has 2 Availability Kubernetes clusters. Traffic between the clusters is distributed using an ALB</w:t>
      </w:r>
    </w:p>
    <w:p w:rsidR="00000000" w:rsidDel="00000000" w:rsidP="00000000" w:rsidRDefault="00000000" w:rsidRPr="00000000" w14:paraId="0000005B">
      <w:pPr>
        <w:numPr>
          <w:ilvl w:val="0"/>
          <w:numId w:val="6"/>
        </w:numPr>
        <w:ind w:left="720" w:hanging="360"/>
        <w:rPr>
          <w:u w:val="none"/>
        </w:rPr>
      </w:pPr>
      <w:r w:rsidDel="00000000" w:rsidR="00000000" w:rsidRPr="00000000">
        <w:rPr>
          <w:rtl w:val="0"/>
        </w:rPr>
        <w:t xml:space="preserve">Point 2 (in the diagram), the NLB is used to meet the static IP requirements of the NTRP project which is leveraged for the catalyst service as well</w:t>
      </w:r>
    </w:p>
    <w:p w:rsidR="00000000" w:rsidDel="00000000" w:rsidP="00000000" w:rsidRDefault="00000000" w:rsidRPr="00000000" w14:paraId="0000005C">
      <w:pPr>
        <w:numPr>
          <w:ilvl w:val="0"/>
          <w:numId w:val="6"/>
        </w:numPr>
        <w:ind w:left="720" w:hanging="360"/>
        <w:rPr>
          <w:u w:val="none"/>
        </w:rPr>
      </w:pPr>
      <w:r w:rsidDel="00000000" w:rsidR="00000000" w:rsidRPr="00000000">
        <w:rPr>
          <w:rtl w:val="0"/>
        </w:rPr>
        <w:t xml:space="preserve">As of date, Edge is available only in the CDE Zone of Razorpay, all the traffic of Non-CDE Zone services from Edge is routed through a proxy service (Point 5 in the diagram)</w:t>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All traffic pointing to the route solutions.razorpay.com/v2 is intended to reach the catalyst service in both stage &amp; prod infrastructure.</w:t>
      </w:r>
    </w:p>
    <w:p w:rsidR="00000000" w:rsidDel="00000000" w:rsidP="00000000" w:rsidRDefault="00000000" w:rsidRPr="00000000" w14:paraId="0000005E">
      <w:pPr>
        <w:numPr>
          <w:ilvl w:val="1"/>
          <w:numId w:val="6"/>
        </w:numPr>
        <w:ind w:left="1440" w:hanging="360"/>
        <w:rPr>
          <w:u w:val="none"/>
        </w:rPr>
      </w:pPr>
      <w:r w:rsidDel="00000000" w:rsidR="00000000" w:rsidRPr="00000000">
        <w:rPr>
          <w:rtl w:val="0"/>
        </w:rPr>
        <w:t xml:space="preserve">Rules for routing the v2 traffic are added at the Edge Gateway</w:t>
        <w:br w:type="textWrapping"/>
        <w:br w:type="textWrapping"/>
        <w:br w:type="textWrapping"/>
        <w:t xml:space="preserve">CSW - solutions.razorpay.com/status</w:t>
        <w:br w:type="textWrapping"/>
        <w:t xml:space="preserve">Catalyst - solutions.razorpay.com/v2/check</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580" w:before="580" w:lineRule="auto"/>
        <w:ind w:left="-720" w:right="0" w:firstLine="0"/>
        <w:jc w:val="both"/>
        <w:rPr>
          <w:rFonts w:ascii="Nunito" w:cs="Nunito" w:eastAsia="Nunito" w:hAnsi="Nunito"/>
          <w:color w:val="000000"/>
        </w:rPr>
      </w:pPr>
      <w:hyperlink r:id="rId11">
        <w:r w:rsidDel="00000000" w:rsidR="00000000" w:rsidRPr="00000000">
          <w:rPr>
            <w:rFonts w:ascii="Nunito" w:cs="Nunito" w:eastAsia="Nunito" w:hAnsi="Nunito"/>
            <w:color w:val="000000"/>
          </w:rPr>
          <w:drawing>
            <wp:inline distB="19050" distT="19050" distL="19050" distR="19050">
              <wp:extent cx="6961527" cy="549941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961527" cy="549941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0">
      <w:pPr>
        <w:ind w:left="0" w:right="0" w:firstLine="0"/>
        <w:rPr>
          <w:color w:val="000000"/>
        </w:rPr>
      </w:pPr>
      <w:r w:rsidDel="00000000" w:rsidR="00000000" w:rsidRPr="00000000">
        <w:rPr>
          <w:color w:val="000000"/>
          <w:rtl w:val="0"/>
        </w:rPr>
        <w:t xml:space="preserve">Source: </w:t>
      </w:r>
      <w:hyperlink r:id="rId13">
        <w:r w:rsidDel="00000000" w:rsidR="00000000" w:rsidRPr="00000000">
          <w:rPr>
            <w:color w:val="000000"/>
            <w:u w:val="single"/>
            <w:rtl w:val="0"/>
          </w:rPr>
          <w:t xml:space="preserve">Catalyst HLD</w:t>
        </w:r>
      </w:hyperlink>
      <w:r w:rsidDel="00000000" w:rsidR="00000000" w:rsidRPr="00000000">
        <w:rPr>
          <w:color w:val="000000"/>
          <w:rtl w:val="0"/>
        </w:rPr>
        <w:t xml:space="preserve"> </w:t>
      </w:r>
    </w:p>
    <w:p w:rsidR="00000000" w:rsidDel="00000000" w:rsidP="00000000" w:rsidRDefault="00000000" w:rsidRPr="00000000" w14:paraId="00000061">
      <w:pPr>
        <w:ind w:left="0" w:right="0" w:firstLine="0"/>
        <w:rPr>
          <w:color w:val="000000"/>
        </w:rPr>
      </w:pPr>
      <w:r w:rsidDel="00000000" w:rsidR="00000000" w:rsidRPr="00000000">
        <w:rPr>
          <w:rtl w:val="0"/>
        </w:rPr>
      </w:r>
    </w:p>
    <w:p w:rsidR="00000000" w:rsidDel="00000000" w:rsidP="00000000" w:rsidRDefault="00000000" w:rsidRPr="00000000" w14:paraId="00000062">
      <w:pPr>
        <w:pStyle w:val="Heading3"/>
        <w:ind w:left="0" w:firstLine="0"/>
        <w:rPr/>
      </w:pPr>
      <w:bookmarkStart w:colFirst="0" w:colLast="0" w:name="_7vg092ufq3wr" w:id="10"/>
      <w:bookmarkEnd w:id="10"/>
      <w:commentRangeStart w:id="0"/>
      <w:commentRangeStart w:id="1"/>
      <w:commentRangeStart w:id="2"/>
      <w:r w:rsidDel="00000000" w:rsidR="00000000" w:rsidRPr="00000000">
        <w:rPr>
          <w:rtl w:val="0"/>
        </w:rPr>
        <w:t xml:space="preserve">Datastore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3">
      <w:pPr>
        <w:keepLines w:val="1"/>
        <w:pBdr>
          <w:top w:color="d9d9e3" w:space="0" w:sz="0" w:val="none"/>
          <w:left w:color="d9d9e3" w:space="0" w:sz="0" w:val="none"/>
          <w:bottom w:color="d9d9e3" w:space="0" w:sz="0" w:val="none"/>
          <w:right w:color="d9d9e3" w:space="0" w:sz="0" w:val="none"/>
          <w:between w:color="d9d9e3" w:space="0" w:sz="0" w:val="none"/>
        </w:pBdr>
        <w:spacing w:after="0" w:before="580" w:lineRule="auto"/>
        <w:ind w:left="0" w:right="0" w:firstLine="0"/>
        <w:rPr>
          <w:color w:val="000000"/>
        </w:rPr>
      </w:pPr>
      <w:r w:rsidDel="00000000" w:rsidR="00000000" w:rsidRPr="00000000">
        <w:rPr>
          <w:rtl w:val="0"/>
        </w:rPr>
        <w:t xml:space="preserve">To begin with, the Catalyst service will have its own DB &amp; the plan is to take every feature individually from the custom solutions web repo &amp; </w:t>
      </w:r>
      <w:r w:rsidDel="00000000" w:rsidR="00000000" w:rsidRPr="00000000">
        <w:rPr>
          <w:color w:val="000000"/>
          <w:rtl w:val="0"/>
        </w:rPr>
        <w:t xml:space="preserve">migrate it to the Catalyst service.</w:t>
      </w:r>
    </w:p>
    <w:p w:rsidR="00000000" w:rsidDel="00000000" w:rsidP="00000000" w:rsidRDefault="00000000" w:rsidRPr="00000000" w14:paraId="00000064">
      <w:pPr>
        <w:keepLines w:val="1"/>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pPr>
      <w:r w:rsidDel="00000000" w:rsidR="00000000" w:rsidRPr="00000000">
        <w:rPr>
          <w:color w:val="000000"/>
          <w:rtl w:val="0"/>
        </w:rPr>
        <w:t xml:space="preserve">Additionally, the Catalyst will have read access to the CSW Database for all the asynchronou</w:t>
      </w:r>
      <w:r w:rsidDel="00000000" w:rsidR="00000000" w:rsidRPr="00000000">
        <w:rPr>
          <w:rtl w:val="0"/>
        </w:rPr>
        <w:t xml:space="preserve">s/cron workloads. </w:t>
      </w:r>
    </w:p>
    <w:p w:rsidR="00000000" w:rsidDel="00000000" w:rsidP="00000000" w:rsidRDefault="00000000" w:rsidRPr="00000000" w14:paraId="00000065">
      <w:pPr>
        <w:keepLines w:val="1"/>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color w:val="000000"/>
        </w:rPr>
      </w:pPr>
      <w:r w:rsidDel="00000000" w:rsidR="00000000" w:rsidRPr="00000000">
        <w:rPr>
          <w:rtl w:val="0"/>
        </w:rPr>
        <w:t xml:space="preserve">The production cut-over will happen when the feature gets implemented in Catalyst &amp; the database tables are completely in sync between CSW DB &amp; Catalyst DB.</w:t>
      </w: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color w:val="000000"/>
        </w:rPr>
      </w:pPr>
      <w:r w:rsidDel="00000000" w:rsidR="00000000" w:rsidRPr="00000000">
        <w:rPr>
          <w:rtl w:val="0"/>
        </w:rPr>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color w:val="000000"/>
        </w:rPr>
      </w:pPr>
      <w:r w:rsidDel="00000000" w:rsidR="00000000" w:rsidRPr="00000000">
        <w:rPr>
          <w:color w:val="000000"/>
          <w:rtl w:val="0"/>
        </w:rPr>
        <w:t xml:space="preserve">Keeping this in mind, the following are the considerations for the datastore</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color w:val="000000"/>
        </w:rPr>
      </w:pPr>
      <w:r w:rsidDel="00000000" w:rsidR="00000000" w:rsidRPr="00000000">
        <w:rPr>
          <w:rtl w:val="0"/>
        </w:rPr>
      </w:r>
    </w:p>
    <w:p w:rsidR="00000000" w:rsidDel="00000000" w:rsidP="00000000" w:rsidRDefault="00000000" w:rsidRPr="00000000" w14:paraId="0000006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right="0" w:hanging="360"/>
        <w:rPr>
          <w:color w:val="000000"/>
          <w:u w:val="none"/>
        </w:rPr>
      </w:pPr>
      <w:r w:rsidDel="00000000" w:rsidR="00000000" w:rsidRPr="00000000">
        <w:rPr>
          <w:color w:val="000000"/>
          <w:rtl w:val="0"/>
        </w:rPr>
        <w:t xml:space="preserve">SQL DB to support existing business use cases &amp; for the newer implementations</w:t>
      </w:r>
    </w:p>
    <w:p w:rsidR="00000000" w:rsidDel="00000000" w:rsidP="00000000" w:rsidRDefault="00000000" w:rsidRPr="00000000" w14:paraId="0000006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right="0" w:hanging="360"/>
        <w:rPr>
          <w:color w:val="000000"/>
          <w:u w:val="none"/>
        </w:rPr>
      </w:pPr>
      <w:r w:rsidDel="00000000" w:rsidR="00000000" w:rsidRPr="00000000">
        <w:rPr>
          <w:color w:val="000000"/>
          <w:rtl w:val="0"/>
        </w:rPr>
        <w:t xml:space="preserve">Write Access to catalyst AWS Aurora instance</w:t>
      </w:r>
    </w:p>
    <w:p w:rsidR="00000000" w:rsidDel="00000000" w:rsidP="00000000" w:rsidRDefault="00000000" w:rsidRPr="00000000" w14:paraId="0000006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right="0" w:hanging="360"/>
        <w:rPr>
          <w:color w:val="000000"/>
          <w:u w:val="none"/>
        </w:rPr>
      </w:pPr>
      <w:r w:rsidDel="00000000" w:rsidR="00000000" w:rsidRPr="00000000">
        <w:rPr>
          <w:color w:val="000000"/>
          <w:rtl w:val="0"/>
        </w:rPr>
        <w:t xml:space="preserve">Read Access to CSW Aurora instance</w:t>
      </w:r>
    </w:p>
    <w:p w:rsidR="00000000" w:rsidDel="00000000" w:rsidP="00000000" w:rsidRDefault="00000000" w:rsidRPr="00000000" w14:paraId="0000006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right="0" w:hanging="360"/>
        <w:rPr>
          <w:color w:val="000000"/>
          <w:u w:val="none"/>
        </w:rPr>
      </w:pPr>
      <w:r w:rsidDel="00000000" w:rsidR="00000000" w:rsidRPr="00000000">
        <w:rPr>
          <w:color w:val="000000"/>
          <w:rtl w:val="0"/>
        </w:rPr>
        <w:t xml:space="preserve">Redis for Mutex Implementation</w:t>
      </w:r>
    </w:p>
    <w:p w:rsidR="00000000" w:rsidDel="00000000" w:rsidP="00000000" w:rsidRDefault="00000000" w:rsidRPr="00000000" w14:paraId="0000006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right="0" w:hanging="360"/>
        <w:rPr>
          <w:color w:val="000000"/>
          <w:u w:val="none"/>
        </w:rPr>
      </w:pPr>
      <w:r w:rsidDel="00000000" w:rsidR="00000000" w:rsidRPr="00000000">
        <w:rPr>
          <w:color w:val="000000"/>
          <w:rtl w:val="0"/>
        </w:rPr>
        <w:t xml:space="preserve">Write access to the Catalyst Hosted Redis instance</w:t>
      </w:r>
    </w:p>
    <w:p w:rsidR="00000000" w:rsidDel="00000000" w:rsidP="00000000" w:rsidRDefault="00000000" w:rsidRPr="00000000" w14:paraId="0000006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right="0" w:hanging="360"/>
        <w:rPr>
          <w:color w:val="000000"/>
          <w:u w:val="none"/>
        </w:rPr>
      </w:pPr>
      <w:r w:rsidDel="00000000" w:rsidR="00000000" w:rsidRPr="00000000">
        <w:rPr>
          <w:color w:val="000000"/>
          <w:rtl w:val="0"/>
        </w:rPr>
        <w:t xml:space="preserve">Kafka for the Worker Orchestration</w:t>
      </w:r>
    </w:p>
    <w:p w:rsidR="00000000" w:rsidDel="00000000" w:rsidP="00000000" w:rsidRDefault="00000000" w:rsidRPr="00000000" w14:paraId="0000006F">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right="0" w:hanging="360"/>
        <w:rPr>
          <w:color w:val="000000"/>
          <w:u w:val="none"/>
        </w:rPr>
      </w:pPr>
      <w:r w:rsidDel="00000000" w:rsidR="00000000" w:rsidRPr="00000000">
        <w:rPr>
          <w:color w:val="000000"/>
          <w:rtl w:val="0"/>
        </w:rPr>
        <w:br w:type="textWrapping"/>
        <w:br w:type="textWrapping"/>
      </w:r>
      <w:r w:rsidDel="00000000" w:rsidR="00000000" w:rsidRPr="00000000">
        <w:rPr>
          <w:rtl w:val="0"/>
        </w:rPr>
      </w:r>
    </w:p>
    <w:p w:rsidR="00000000" w:rsidDel="00000000" w:rsidP="00000000" w:rsidRDefault="00000000" w:rsidRPr="00000000" w14:paraId="00000070">
      <w:pPr>
        <w:ind w:left="270" w:firstLine="0"/>
        <w:rPr>
          <w:rFonts w:ascii="Courier New" w:cs="Courier New" w:eastAsia="Courier New" w:hAnsi="Courier New"/>
          <w:color w:val="444746"/>
          <w:highlight w:val="white"/>
        </w:rPr>
      </w:pPr>
      <w:r w:rsidDel="00000000" w:rsidR="00000000" w:rsidRPr="00000000">
        <w:rPr>
          <w:color w:val="444746"/>
          <w:highlight w:val="white"/>
          <w:rtl w:val="0"/>
        </w:rPr>
        <w:t xml:space="preserve">An example of table for datastore consideration:</w:t>
        <w:br w:type="textWrapping"/>
        <w:br w:type="textWrapping"/>
      </w:r>
      <w:r w:rsidDel="00000000" w:rsidR="00000000" w:rsidRPr="00000000">
        <w:rPr>
          <w:rFonts w:ascii="Courier New" w:cs="Courier New" w:eastAsia="Courier New" w:hAnsi="Courier New"/>
          <w:color w:val="444746"/>
          <w:highlight w:val="white"/>
          <w:rtl w:val="0"/>
        </w:rPr>
        <w:t xml:space="preserve"> \DB::statement("CREATE TABLE `</w:t>
      </w:r>
      <w:r w:rsidDel="00000000" w:rsidR="00000000" w:rsidRPr="00000000">
        <w:rPr>
          <w:rFonts w:ascii="Courier New" w:cs="Courier New" w:eastAsia="Courier New" w:hAnsi="Courier New"/>
          <w:b w:val="1"/>
          <w:i w:val="1"/>
          <w:color w:val="444746"/>
          <w:highlight w:val="white"/>
          <w:rtl w:val="0"/>
        </w:rPr>
        <w:t xml:space="preserve">garvi_payments</w:t>
      </w:r>
      <w:r w:rsidDel="00000000" w:rsidR="00000000" w:rsidRPr="00000000">
        <w:rPr>
          <w:rFonts w:ascii="Courier New" w:cs="Courier New" w:eastAsia="Courier New" w:hAnsi="Courier New"/>
          <w:color w:val="444746"/>
          <w:highlight w:val="white"/>
          <w:rtl w:val="0"/>
        </w:rPr>
        <w:t xml:space="preserve">` (</w:t>
      </w:r>
    </w:p>
    <w:p w:rsidR="00000000" w:rsidDel="00000000" w:rsidP="00000000" w:rsidRDefault="00000000" w:rsidRPr="00000000" w14:paraId="00000071">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id</w:t>
      </w:r>
      <w:r w:rsidDel="00000000" w:rsidR="00000000" w:rsidRPr="00000000">
        <w:rPr>
          <w:rFonts w:ascii="Courier New" w:cs="Courier New" w:eastAsia="Courier New" w:hAnsi="Courier New"/>
          <w:color w:val="444746"/>
          <w:highlight w:val="white"/>
          <w:rtl w:val="0"/>
        </w:rPr>
        <w:t xml:space="preserve">` char(14) CHARACTER SET utf8mb4 COLLATE utf8mb4_bin NOT NULL,</w:t>
      </w:r>
    </w:p>
    <w:p w:rsidR="00000000" w:rsidDel="00000000" w:rsidP="00000000" w:rsidRDefault="00000000" w:rsidRPr="00000000" w14:paraId="00000072">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merchant_id</w:t>
      </w:r>
      <w:r w:rsidDel="00000000" w:rsidR="00000000" w:rsidRPr="00000000">
        <w:rPr>
          <w:rFonts w:ascii="Courier New" w:cs="Courier New" w:eastAsia="Courier New" w:hAnsi="Courier New"/>
          <w:color w:val="444746"/>
          <w:highlight w:val="white"/>
          <w:rtl w:val="0"/>
        </w:rPr>
        <w:t xml:space="preserve">` char(14) CHARACTER SET utf8mb4 COLLATE utf8mb4_bin  NOT NULL,</w:t>
      </w:r>
    </w:p>
    <w:p w:rsidR="00000000" w:rsidDel="00000000" w:rsidP="00000000" w:rsidRDefault="00000000" w:rsidRPr="00000000" w14:paraId="00000073">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payment_id</w:t>
      </w:r>
      <w:r w:rsidDel="00000000" w:rsidR="00000000" w:rsidRPr="00000000">
        <w:rPr>
          <w:rFonts w:ascii="Courier New" w:cs="Courier New" w:eastAsia="Courier New" w:hAnsi="Courier New"/>
          <w:color w:val="444746"/>
          <w:highlight w:val="white"/>
          <w:rtl w:val="0"/>
        </w:rPr>
        <w:t xml:space="preserve">` char(20) CHARACTER SET utf8mb4 COLLATE utf8mb4_bin  NOT NULL,</w:t>
      </w:r>
    </w:p>
    <w:p w:rsidR="00000000" w:rsidDel="00000000" w:rsidP="00000000" w:rsidRDefault="00000000" w:rsidRPr="00000000" w14:paraId="00000074">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cin</w:t>
      </w:r>
      <w:r w:rsidDel="00000000" w:rsidR="00000000" w:rsidRPr="00000000">
        <w:rPr>
          <w:rFonts w:ascii="Courier New" w:cs="Courier New" w:eastAsia="Courier New" w:hAnsi="Courier New"/>
          <w:color w:val="444746"/>
          <w:highlight w:val="white"/>
          <w:rtl w:val="0"/>
        </w:rPr>
        <w:t xml:space="preserve">` varchar(26) NOT NULL,</w:t>
      </w:r>
    </w:p>
    <w:p w:rsidR="00000000" w:rsidDel="00000000" w:rsidP="00000000" w:rsidRDefault="00000000" w:rsidRPr="00000000" w14:paraId="00000075">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version</w:t>
      </w:r>
      <w:r w:rsidDel="00000000" w:rsidR="00000000" w:rsidRPr="00000000">
        <w:rPr>
          <w:rFonts w:ascii="Courier New" w:cs="Courier New" w:eastAsia="Courier New" w:hAnsi="Courier New"/>
          <w:color w:val="444746"/>
          <w:highlight w:val="white"/>
          <w:rtl w:val="0"/>
        </w:rPr>
        <w:t xml:space="preserve">` varchar(5) NOT NULL COMMENT 'version column is for handling concurrency',</w:t>
      </w:r>
    </w:p>
    <w:p w:rsidR="00000000" w:rsidDel="00000000" w:rsidP="00000000" w:rsidRDefault="00000000" w:rsidRPr="00000000" w14:paraId="00000076">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created_at</w:t>
      </w:r>
      <w:r w:rsidDel="00000000" w:rsidR="00000000" w:rsidRPr="00000000">
        <w:rPr>
          <w:rFonts w:ascii="Courier New" w:cs="Courier New" w:eastAsia="Courier New" w:hAnsi="Courier New"/>
          <w:color w:val="444746"/>
          <w:highlight w:val="white"/>
          <w:rtl w:val="0"/>
        </w:rPr>
        <w:t xml:space="preserve">` bigint NOT NULL,</w:t>
      </w:r>
    </w:p>
    <w:p w:rsidR="00000000" w:rsidDel="00000000" w:rsidP="00000000" w:rsidRDefault="00000000" w:rsidRPr="00000000" w14:paraId="00000077">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w:t>
      </w:r>
      <w:r w:rsidDel="00000000" w:rsidR="00000000" w:rsidRPr="00000000">
        <w:rPr>
          <w:rFonts w:ascii="Courier New" w:cs="Courier New" w:eastAsia="Courier New" w:hAnsi="Courier New"/>
          <w:b w:val="1"/>
          <w:color w:val="444746"/>
          <w:highlight w:val="white"/>
          <w:rtl w:val="0"/>
        </w:rPr>
        <w:t xml:space="preserve">updated_at</w:t>
      </w:r>
      <w:r w:rsidDel="00000000" w:rsidR="00000000" w:rsidRPr="00000000">
        <w:rPr>
          <w:rFonts w:ascii="Courier New" w:cs="Courier New" w:eastAsia="Courier New" w:hAnsi="Courier New"/>
          <w:color w:val="444746"/>
          <w:highlight w:val="white"/>
          <w:rtl w:val="0"/>
        </w:rPr>
        <w:t xml:space="preserve">` bigint NOT NULL,</w:t>
      </w:r>
    </w:p>
    <w:p w:rsidR="00000000" w:rsidDel="00000000" w:rsidP="00000000" w:rsidRDefault="00000000" w:rsidRPr="00000000" w14:paraId="00000078">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primary key(id),</w:t>
      </w:r>
    </w:p>
    <w:p w:rsidR="00000000" w:rsidDel="00000000" w:rsidP="00000000" w:rsidRDefault="00000000" w:rsidRPr="00000000" w14:paraId="00000079">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UNIQUE KEY `</w:t>
      </w:r>
      <w:r w:rsidDel="00000000" w:rsidR="00000000" w:rsidRPr="00000000">
        <w:rPr>
          <w:rFonts w:ascii="Courier New" w:cs="Courier New" w:eastAsia="Courier New" w:hAnsi="Courier New"/>
          <w:b w:val="1"/>
          <w:color w:val="444746"/>
          <w:highlight w:val="white"/>
          <w:rtl w:val="0"/>
        </w:rPr>
        <w:t xml:space="preserve">payment_id_UNIQUE</w:t>
      </w:r>
      <w:r w:rsidDel="00000000" w:rsidR="00000000" w:rsidRPr="00000000">
        <w:rPr>
          <w:rFonts w:ascii="Courier New" w:cs="Courier New" w:eastAsia="Courier New" w:hAnsi="Courier New"/>
          <w:color w:val="444746"/>
          <w:highlight w:val="white"/>
          <w:rtl w:val="0"/>
        </w:rPr>
        <w:t xml:space="preserve">` (`payment_id`),</w:t>
      </w:r>
    </w:p>
    <w:p w:rsidR="00000000" w:rsidDel="00000000" w:rsidP="00000000" w:rsidRDefault="00000000" w:rsidRPr="00000000" w14:paraId="0000007A">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UNIQUE KEY `</w:t>
      </w:r>
      <w:r w:rsidDel="00000000" w:rsidR="00000000" w:rsidRPr="00000000">
        <w:rPr>
          <w:rFonts w:ascii="Courier New" w:cs="Courier New" w:eastAsia="Courier New" w:hAnsi="Courier New"/>
          <w:b w:val="1"/>
          <w:color w:val="444746"/>
          <w:highlight w:val="white"/>
          <w:rtl w:val="0"/>
        </w:rPr>
        <w:t xml:space="preserve">garvi_payments_cin_unique</w:t>
      </w:r>
      <w:r w:rsidDel="00000000" w:rsidR="00000000" w:rsidRPr="00000000">
        <w:rPr>
          <w:rFonts w:ascii="Courier New" w:cs="Courier New" w:eastAsia="Courier New" w:hAnsi="Courier New"/>
          <w:color w:val="444746"/>
          <w:highlight w:val="white"/>
          <w:rtl w:val="0"/>
        </w:rPr>
        <w:t xml:space="preserve">` (`cin`)</w:t>
      </w:r>
    </w:p>
    <w:p w:rsidR="00000000" w:rsidDel="00000000" w:rsidP="00000000" w:rsidRDefault="00000000" w:rsidRPr="00000000" w14:paraId="0000007B">
      <w:pPr>
        <w:ind w:left="270" w:firstLine="0"/>
        <w:rPr>
          <w:rFonts w:ascii="Courier New" w:cs="Courier New" w:eastAsia="Courier New" w:hAnsi="Courier New"/>
          <w:color w:val="444746"/>
          <w:highlight w:val="white"/>
        </w:rPr>
      </w:pPr>
      <w:r w:rsidDel="00000000" w:rsidR="00000000" w:rsidRPr="00000000">
        <w:rPr>
          <w:rFonts w:ascii="Courier New" w:cs="Courier New" w:eastAsia="Courier New" w:hAnsi="Courier New"/>
          <w:color w:val="444746"/>
          <w:highlight w:val="white"/>
          <w:rtl w:val="0"/>
        </w:rPr>
        <w:t xml:space="preserve">        ) ENGINE=InnoDB DEFAULT CHARSET=utf8mb4 COLLATE=utf8mb4_unicode_ci;");</w:t>
      </w:r>
    </w:p>
    <w:p w:rsidR="00000000" w:rsidDel="00000000" w:rsidP="00000000" w:rsidRDefault="00000000" w:rsidRPr="00000000" w14:paraId="0000007C">
      <w:pPr>
        <w:ind w:left="270" w:firstLine="0"/>
        <w:rPr>
          <w:color w:val="444746"/>
          <w:highlight w:val="white"/>
        </w:rPr>
      </w:pPr>
      <w:r w:rsidDel="00000000" w:rsidR="00000000" w:rsidRPr="00000000">
        <w:rPr>
          <w:rtl w:val="0"/>
        </w:rPr>
      </w:r>
    </w:p>
    <w:p w:rsidR="00000000" w:rsidDel="00000000" w:rsidP="00000000" w:rsidRDefault="00000000" w:rsidRPr="00000000" w14:paraId="0000007D">
      <w:pPr>
        <w:pStyle w:val="Heading3"/>
        <w:ind w:left="0" w:firstLine="0"/>
        <w:rPr/>
      </w:pPr>
      <w:bookmarkStart w:colFirst="0" w:colLast="0" w:name="_hnvql7vmf1p6" w:id="11"/>
      <w:bookmarkEnd w:id="11"/>
      <w:r w:rsidDel="00000000" w:rsidR="00000000" w:rsidRPr="00000000">
        <w:rPr>
          <w:rtl w:val="0"/>
        </w:rPr>
        <w:t xml:space="preserve">Pod Architecture</w:t>
      </w:r>
    </w:p>
    <w:p w:rsidR="00000000" w:rsidDel="00000000" w:rsidP="00000000" w:rsidRDefault="00000000" w:rsidRPr="00000000" w14:paraId="0000007E">
      <w:pPr>
        <w:rPr/>
      </w:pPr>
      <w:r w:rsidDel="00000000" w:rsidR="00000000" w:rsidRPr="00000000">
        <w:rPr>
          <w:rtl w:val="0"/>
        </w:rPr>
        <w:tab/>
      </w:r>
    </w:p>
    <w:p w:rsidR="00000000" w:rsidDel="00000000" w:rsidP="00000000" w:rsidRDefault="00000000" w:rsidRPr="00000000" w14:paraId="0000007F">
      <w:pPr>
        <w:rPr/>
      </w:pPr>
      <w:r w:rsidDel="00000000" w:rsidR="00000000" w:rsidRPr="00000000">
        <w:rPr>
          <w:rtl w:val="0"/>
        </w:rPr>
        <w:tab/>
        <w:t xml:space="preserve">The catalyst will be having 4 types of pod</w:t>
      </w:r>
    </w:p>
    <w:p w:rsidR="00000000" w:rsidDel="00000000" w:rsidP="00000000" w:rsidRDefault="00000000" w:rsidRPr="00000000" w14:paraId="00000080">
      <w:pPr>
        <w:numPr>
          <w:ilvl w:val="0"/>
          <w:numId w:val="2"/>
        </w:numPr>
        <w:ind w:left="900" w:hanging="360"/>
        <w:rPr>
          <w:u w:val="none"/>
        </w:rPr>
      </w:pPr>
      <w:r w:rsidDel="00000000" w:rsidR="00000000" w:rsidRPr="00000000">
        <w:rPr>
          <w:rtl w:val="0"/>
        </w:rPr>
        <w:t xml:space="preserve">API - This pod will be the main pod which will receive and process the API requests. It will have a grpc server running at the port 8080, and an HTTP server which will be a proxy layer grpc server using grpc gateway on 8081. The metrics will be exposed at port 8082/metrics.</w:t>
      </w:r>
    </w:p>
    <w:p w:rsidR="00000000" w:rsidDel="00000000" w:rsidP="00000000" w:rsidRDefault="00000000" w:rsidRPr="00000000" w14:paraId="00000081">
      <w:pPr>
        <w:numPr>
          <w:ilvl w:val="0"/>
          <w:numId w:val="2"/>
        </w:numPr>
        <w:ind w:left="900" w:hanging="360"/>
        <w:rPr>
          <w:u w:val="none"/>
        </w:rPr>
      </w:pPr>
      <w:r w:rsidDel="00000000" w:rsidR="00000000" w:rsidRPr="00000000">
        <w:rPr>
          <w:rtl w:val="0"/>
        </w:rPr>
        <w:t xml:space="preserve">Worker Pods - We will have multiple workers for different use cases. The workers will receive the jobs from Kafka and which worker will pick the task will be decided based on the topic of the Kafka message. The further details of the task will be in the payload of the message.</w:t>
      </w:r>
    </w:p>
    <w:p w:rsidR="00000000" w:rsidDel="00000000" w:rsidP="00000000" w:rsidRDefault="00000000" w:rsidRPr="00000000" w14:paraId="00000082">
      <w:pPr>
        <w:numPr>
          <w:ilvl w:val="0"/>
          <w:numId w:val="2"/>
        </w:numPr>
        <w:ind w:left="900" w:hanging="360"/>
        <w:rPr>
          <w:u w:val="none"/>
        </w:rPr>
      </w:pPr>
      <w:r w:rsidDel="00000000" w:rsidR="00000000" w:rsidRPr="00000000">
        <w:rPr>
          <w:rtl w:val="0"/>
        </w:rPr>
        <w:t xml:space="preserve">Console - This pod will be the entry point for running all the crons. The Kubernetes will initiate a pod of this and run the command. Then depending on the command the console will push the relevant job to Kafka for workers to consume. This can also be done manually by running a spinnaker pipeline.</w:t>
      </w:r>
    </w:p>
    <w:p w:rsidR="00000000" w:rsidDel="00000000" w:rsidP="00000000" w:rsidRDefault="00000000" w:rsidRPr="00000000" w14:paraId="00000083">
      <w:pPr>
        <w:numPr>
          <w:ilvl w:val="0"/>
          <w:numId w:val="2"/>
        </w:numPr>
        <w:ind w:left="900" w:hanging="360"/>
        <w:rPr>
          <w:u w:val="none"/>
        </w:rPr>
      </w:pPr>
      <w:r w:rsidDel="00000000" w:rsidR="00000000" w:rsidRPr="00000000">
        <w:rPr>
          <w:rtl w:val="0"/>
        </w:rPr>
        <w:t xml:space="preserve">Migration - This pod will only be used while running migrations on the database. We will be using the goose package to handle them.</w:t>
      </w:r>
      <w:r w:rsidDel="00000000" w:rsidR="00000000" w:rsidRPr="00000000">
        <w:rPr>
          <w:rtl w:val="0"/>
        </w:rPr>
      </w:r>
    </w:p>
    <w:p w:rsidR="00000000" w:rsidDel="00000000" w:rsidP="00000000" w:rsidRDefault="00000000" w:rsidRPr="00000000" w14:paraId="00000084">
      <w:pPr>
        <w:ind w:left="0" w:firstLine="0"/>
        <w:rPr>
          <w:color w:val="444746"/>
          <w:highlight w:val="white"/>
        </w:rPr>
      </w:pPr>
      <w:r w:rsidDel="00000000" w:rsidR="00000000" w:rsidRPr="00000000">
        <w:rPr>
          <w:rtl w:val="0"/>
        </w:rPr>
      </w:r>
    </w:p>
    <w:p w:rsidR="00000000" w:rsidDel="00000000" w:rsidP="00000000" w:rsidRDefault="00000000" w:rsidRPr="00000000" w14:paraId="00000085">
      <w:pPr>
        <w:pStyle w:val="Heading3"/>
        <w:ind w:left="0" w:firstLine="0"/>
        <w:rPr/>
      </w:pPr>
      <w:bookmarkStart w:colFirst="0" w:colLast="0" w:name="_jhlg48vnlg35" w:id="12"/>
      <w:bookmarkEnd w:id="12"/>
      <w:r w:rsidDel="00000000" w:rsidR="00000000" w:rsidRPr="00000000">
        <w:rPr>
          <w:rtl w:val="0"/>
        </w:rPr>
        <w:t xml:space="preserve">Production Readiness Checklist</w:t>
      </w:r>
    </w:p>
    <w:p w:rsidR="00000000" w:rsidDel="00000000" w:rsidP="00000000" w:rsidRDefault="00000000" w:rsidRPr="00000000" w14:paraId="00000086">
      <w:pPr>
        <w:numPr>
          <w:ilvl w:val="0"/>
          <w:numId w:val="11"/>
        </w:numPr>
        <w:spacing w:after="0" w:afterAutospacing="0" w:before="580" w:lineRule="auto"/>
        <w:ind w:left="720" w:hanging="360"/>
        <w:rPr>
          <w:color w:val="000000"/>
          <w:u w:val="none"/>
        </w:rPr>
      </w:pPr>
      <w:r w:rsidDel="00000000" w:rsidR="00000000" w:rsidRPr="00000000">
        <w:rPr>
          <w:color w:val="000000"/>
          <w:rtl w:val="0"/>
        </w:rPr>
        <w:t xml:space="preserve">Dockerising the application - </w:t>
      </w:r>
    </w:p>
    <w:p w:rsidR="00000000" w:rsidDel="00000000" w:rsidP="00000000" w:rsidRDefault="00000000" w:rsidRPr="00000000" w14:paraId="00000087">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Using the go-foundation for the boilerplate code</w:t>
      </w:r>
    </w:p>
    <w:p w:rsidR="00000000" w:rsidDel="00000000" w:rsidP="00000000" w:rsidRDefault="00000000" w:rsidRPr="00000000" w14:paraId="00000088">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Docker &amp; Harbor is supported Out of the box</w:t>
      </w:r>
    </w:p>
    <w:p w:rsidR="00000000" w:rsidDel="00000000" w:rsidP="00000000" w:rsidRDefault="00000000" w:rsidRPr="00000000" w14:paraId="00000089">
      <w:pPr>
        <w:numPr>
          <w:ilvl w:val="2"/>
          <w:numId w:val="11"/>
        </w:numPr>
        <w:spacing w:after="0" w:afterAutospacing="0" w:before="0" w:beforeAutospacing="0" w:lineRule="auto"/>
        <w:ind w:left="2160" w:hanging="360"/>
        <w:rPr>
          <w:color w:val="000000"/>
          <w:u w:val="none"/>
        </w:rPr>
      </w:pPr>
      <w:r w:rsidDel="00000000" w:rsidR="00000000" w:rsidRPr="00000000">
        <w:rPr>
          <w:color w:val="000000"/>
          <w:rtl w:val="0"/>
        </w:rPr>
        <w:t xml:space="preserve">Features: </w:t>
      </w:r>
      <w:hyperlink r:id="rId14">
        <w:r w:rsidDel="00000000" w:rsidR="00000000" w:rsidRPr="00000000">
          <w:rPr>
            <w:color w:val="000000"/>
            <w:u w:val="single"/>
            <w:rtl w:val="0"/>
          </w:rPr>
          <w:t xml:space="preserve">https://wiki.rzp.io/DevOps/Application-Dockerizing-Checklist</w:t>
        </w:r>
      </w:hyperlink>
      <w:r w:rsidDel="00000000" w:rsidR="00000000" w:rsidRPr="00000000">
        <w:rPr>
          <w:rtl w:val="0"/>
        </w:rPr>
      </w:r>
    </w:p>
    <w:p w:rsidR="00000000" w:rsidDel="00000000" w:rsidP="00000000" w:rsidRDefault="00000000" w:rsidRPr="00000000" w14:paraId="0000008A">
      <w:pPr>
        <w:numPr>
          <w:ilvl w:val="0"/>
          <w:numId w:val="11"/>
        </w:numPr>
        <w:spacing w:after="0" w:afterAutospacing="0" w:before="0" w:beforeAutospacing="0" w:lineRule="auto"/>
        <w:ind w:left="720" w:hanging="360"/>
        <w:rPr>
          <w:color w:val="000000"/>
          <w:u w:val="none"/>
        </w:rPr>
      </w:pPr>
      <w:r w:rsidDel="00000000" w:rsidR="00000000" w:rsidRPr="00000000">
        <w:rPr>
          <w:color w:val="000000"/>
          <w:rtl w:val="0"/>
        </w:rPr>
        <w:t xml:space="preserve">Deployment</w:t>
      </w:r>
    </w:p>
    <w:p w:rsidR="00000000" w:rsidDel="00000000" w:rsidP="00000000" w:rsidRDefault="00000000" w:rsidRPr="00000000" w14:paraId="0000008B">
      <w:pPr>
        <w:numPr>
          <w:ilvl w:val="1"/>
          <w:numId w:val="11"/>
        </w:numPr>
        <w:spacing w:after="0" w:afterAutospacing="0" w:before="0" w:beforeAutospacing="0" w:lineRule="auto"/>
        <w:ind w:left="1440" w:hanging="360"/>
        <w:rPr>
          <w:color w:val="000000"/>
          <w:u w:val="none"/>
        </w:rPr>
      </w:pPr>
      <w:r w:rsidDel="00000000" w:rsidR="00000000" w:rsidRPr="00000000">
        <w:rPr>
          <w:rFonts w:ascii="Arial Unicode MS" w:cs="Arial Unicode MS" w:eastAsia="Arial Unicode MS" w:hAnsi="Arial Unicode MS"/>
          <w:color w:val="000000"/>
          <w:rtl w:val="0"/>
        </w:rPr>
        <w:t xml:space="preserve">Stage Spinakker pipeline - ✅</w:t>
      </w:r>
    </w:p>
    <w:p w:rsidR="00000000" w:rsidDel="00000000" w:rsidP="00000000" w:rsidRDefault="00000000" w:rsidRPr="00000000" w14:paraId="0000008C">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Prod Spinakker pipeline -</w:t>
      </w:r>
      <w:r w:rsidDel="00000000" w:rsidR="00000000" w:rsidRPr="00000000">
        <w:rPr>
          <w:rtl w:val="0"/>
        </w:rPr>
      </w:r>
    </w:p>
    <w:p w:rsidR="00000000" w:rsidDel="00000000" w:rsidP="00000000" w:rsidRDefault="00000000" w:rsidRPr="00000000" w14:paraId="0000008D">
      <w:pPr>
        <w:numPr>
          <w:ilvl w:val="0"/>
          <w:numId w:val="11"/>
        </w:numPr>
        <w:spacing w:after="0" w:afterAutospacing="0" w:before="0" w:beforeAutospacing="0" w:lineRule="auto"/>
        <w:ind w:left="720" w:hanging="360"/>
        <w:rPr>
          <w:color w:val="000000"/>
          <w:u w:val="none"/>
        </w:rPr>
      </w:pPr>
      <w:r w:rsidDel="00000000" w:rsidR="00000000" w:rsidRPr="00000000">
        <w:rPr>
          <w:color w:val="000000"/>
          <w:rtl w:val="0"/>
        </w:rPr>
        <w:t xml:space="preserve">Monitoring</w:t>
      </w:r>
    </w:p>
    <w:p w:rsidR="00000000" w:rsidDel="00000000" w:rsidP="00000000" w:rsidRDefault="00000000" w:rsidRPr="00000000" w14:paraId="0000008E">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Stage Vajra dashboard - </w:t>
      </w:r>
      <w:hyperlink r:id="rId1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8F">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Prod Vajra dashboard - </w:t>
      </w:r>
    </w:p>
    <w:p w:rsidR="00000000" w:rsidDel="00000000" w:rsidP="00000000" w:rsidRDefault="00000000" w:rsidRPr="00000000" w14:paraId="00000090">
      <w:pPr>
        <w:numPr>
          <w:ilvl w:val="0"/>
          <w:numId w:val="11"/>
        </w:numPr>
        <w:spacing w:after="0" w:afterAutospacing="0" w:before="0" w:beforeAutospacing="0" w:lineRule="auto"/>
        <w:ind w:left="720" w:hanging="360"/>
        <w:rPr>
          <w:color w:val="000000"/>
          <w:u w:val="none"/>
        </w:rPr>
      </w:pPr>
      <w:r w:rsidDel="00000000" w:rsidR="00000000" w:rsidRPr="00000000">
        <w:rPr>
          <w:color w:val="000000"/>
          <w:rtl w:val="0"/>
        </w:rPr>
        <w:t xml:space="preserve">Alerts</w:t>
      </w:r>
    </w:p>
    <w:p w:rsidR="00000000" w:rsidDel="00000000" w:rsidP="00000000" w:rsidRDefault="00000000" w:rsidRPr="00000000" w14:paraId="00000091">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Slack -</w:t>
      </w:r>
    </w:p>
    <w:p w:rsidR="00000000" w:rsidDel="00000000" w:rsidP="00000000" w:rsidRDefault="00000000" w:rsidRPr="00000000" w14:paraId="00000092">
      <w:pPr>
        <w:numPr>
          <w:ilvl w:val="0"/>
          <w:numId w:val="11"/>
        </w:numPr>
        <w:spacing w:after="0" w:afterAutospacing="0" w:before="0" w:beforeAutospacing="0" w:lineRule="auto"/>
        <w:ind w:left="720" w:hanging="360"/>
        <w:rPr>
          <w:color w:val="000000"/>
          <w:u w:val="none"/>
        </w:rPr>
      </w:pPr>
      <w:r w:rsidDel="00000000" w:rsidR="00000000" w:rsidRPr="00000000">
        <w:rPr>
          <w:color w:val="000000"/>
          <w:rtl w:val="0"/>
        </w:rPr>
        <w:t xml:space="preserve">Performance testing</w:t>
        <w:br w:type="textWrapping"/>
        <w:tab/>
        <w:t xml:space="preserve">K6 integration - L</w:t>
        <w:br w:type="textWrapping"/>
        <w:tab/>
        <w:t xml:space="preserve">P99, P95 and P90 metric - M</w:t>
      </w:r>
    </w:p>
    <w:p w:rsidR="00000000" w:rsidDel="00000000" w:rsidP="00000000" w:rsidRDefault="00000000" w:rsidRPr="00000000" w14:paraId="00000093">
      <w:pPr>
        <w:numPr>
          <w:ilvl w:val="0"/>
          <w:numId w:val="11"/>
        </w:numPr>
        <w:spacing w:after="0" w:afterAutospacing="0" w:before="0" w:beforeAutospacing="0" w:lineRule="auto"/>
        <w:ind w:left="720" w:hanging="360"/>
        <w:rPr>
          <w:color w:val="000000"/>
          <w:u w:val="none"/>
        </w:rPr>
      </w:pPr>
      <w:r w:rsidDel="00000000" w:rsidR="00000000" w:rsidRPr="00000000">
        <w:rPr>
          <w:color w:val="000000"/>
          <w:rtl w:val="0"/>
        </w:rPr>
        <w:t xml:space="preserve">Sanity</w:t>
      </w:r>
    </w:p>
    <w:p w:rsidR="00000000" w:rsidDel="00000000" w:rsidP="00000000" w:rsidRDefault="00000000" w:rsidRPr="00000000" w14:paraId="00000094">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Probe check (/status) - Done</w:t>
      </w:r>
    </w:p>
    <w:p w:rsidR="00000000" w:rsidDel="00000000" w:rsidP="00000000" w:rsidRDefault="00000000" w:rsidRPr="00000000" w14:paraId="00000095">
      <w:pPr>
        <w:numPr>
          <w:ilvl w:val="1"/>
          <w:numId w:val="11"/>
        </w:numPr>
        <w:spacing w:after="0" w:afterAutospacing="0" w:before="0" w:beforeAutospacing="0" w:lineRule="auto"/>
        <w:ind w:left="1440" w:hanging="360"/>
        <w:rPr>
          <w:color w:val="000000"/>
          <w:u w:val="none"/>
        </w:rPr>
      </w:pPr>
      <w:r w:rsidDel="00000000" w:rsidR="00000000" w:rsidRPr="00000000">
        <w:rPr>
          <w:color w:val="000000"/>
          <w:rtl w:val="0"/>
        </w:rPr>
        <w:t xml:space="preserve">StatusCake integration - M</w:t>
      </w:r>
    </w:p>
    <w:p w:rsidR="00000000" w:rsidDel="00000000" w:rsidP="00000000" w:rsidRDefault="00000000" w:rsidRPr="00000000" w14:paraId="00000096">
      <w:pPr>
        <w:numPr>
          <w:ilvl w:val="0"/>
          <w:numId w:val="11"/>
        </w:numPr>
        <w:spacing w:after="0" w:afterAutospacing="0" w:before="0" w:beforeAutospacing="0" w:lineRule="auto"/>
        <w:ind w:left="720" w:hanging="360"/>
        <w:rPr>
          <w:color w:val="000000"/>
          <w:u w:val="none"/>
        </w:rPr>
      </w:pPr>
      <w:r w:rsidDel="00000000" w:rsidR="00000000" w:rsidRPr="00000000">
        <w:rPr>
          <w:rFonts w:ascii="Arial Unicode MS" w:cs="Arial Unicode MS" w:eastAsia="Arial Unicode MS" w:hAnsi="Arial Unicode MS"/>
          <w:color w:val="000000"/>
          <w:rtl w:val="0"/>
        </w:rPr>
        <w:t xml:space="preserve">Test coverage and automation - Harshil</w:t>
        <w:br w:type="textWrapping"/>
        <w:tab/>
        <w:t xml:space="preserve">Github actions for codeCoverage (unit tests &gt;60%) - S - ✅</w:t>
        <w:br w:type="textWrapping"/>
        <w:tab/>
        <w:t xml:space="preserve">Sonar coverage (github action) - L - ✅</w:t>
        <w:br w:type="textWrapping"/>
        <w:tab/>
        <w:t xml:space="preserve">ITF support - S ✅</w:t>
      </w:r>
    </w:p>
    <w:p w:rsidR="00000000" w:rsidDel="00000000" w:rsidP="00000000" w:rsidRDefault="00000000" w:rsidRPr="00000000" w14:paraId="00000097">
      <w:pPr>
        <w:numPr>
          <w:ilvl w:val="0"/>
          <w:numId w:val="11"/>
        </w:numPr>
        <w:spacing w:after="580" w:before="0" w:beforeAutospacing="0" w:lineRule="auto"/>
        <w:ind w:left="720" w:hanging="360"/>
        <w:rPr>
          <w:color w:val="000000"/>
          <w:u w:val="none"/>
        </w:rPr>
      </w:pPr>
      <w:r w:rsidDel="00000000" w:rsidR="00000000" w:rsidRPr="00000000">
        <w:rPr>
          <w:rFonts w:ascii="Arial Unicode MS" w:cs="Arial Unicode MS" w:eastAsia="Arial Unicode MS" w:hAnsi="Arial Unicode MS"/>
          <w:color w:val="000000"/>
          <w:rtl w:val="0"/>
        </w:rPr>
        <w:t xml:space="preserve">Additional improvements:</w:t>
        <w:br w:type="textWrapping"/>
        <w:tab/>
        <w:t xml:space="preserve">Credstash integration - S</w:t>
        <w:br w:type="textWrapping"/>
        <w:tab/>
        <w:t xml:space="preserve">Devstack Integration - S</w:t>
        <w:br w:type="textWrapping"/>
        <w:tab/>
        <w:t xml:space="preserve">Graceful Shutdown (queue and workers) - M ✅</w:t>
        <w:br w:type="textWrapping"/>
        <w:tab/>
        <w:t xml:space="preserve">Edge onboarding - M</w:t>
        <w:br w:type="textWrapping"/>
        <w:tab/>
        <w:t xml:space="preserve">Auth and RBAC (for cron routes using SCJ). - L </w:t>
        <w:br w:type="textWrapping"/>
        <w:tab/>
        <w:t xml:space="preserve">Logging support to stdout - S ✅</w:t>
        <w:br w:type="textWrapping"/>
        <w:tab/>
        <w:t xml:space="preserve">Dark and canary pipelines - L</w:t>
        <w:br w:type="textWrapping"/>
        <w:tab/>
        <w:t xml:space="preserve">Asynchronous processing (using worker threads)- XL  </w:t>
        <w:br w:type="textWrapping"/>
        <w:tab/>
      </w:r>
      <w:r w:rsidDel="00000000" w:rsidR="00000000" w:rsidRPr="00000000">
        <w:rPr>
          <w:color w:val="000000"/>
          <w:highlight w:val="white"/>
          <w:rtl w:val="0"/>
        </w:rPr>
        <w:t xml:space="preserve">DB selection (sql/nosql) - L </w:t>
      </w:r>
      <w:r w:rsidDel="00000000" w:rsidR="00000000" w:rsidRPr="00000000">
        <w:rPr>
          <w:rFonts w:ascii="Arial Unicode MS" w:cs="Arial Unicode MS" w:eastAsia="Arial Unicode MS" w:hAnsi="Arial Unicode MS"/>
          <w:color w:val="000000"/>
          <w:rtl w:val="0"/>
        </w:rPr>
        <w:t xml:space="preserve"> ✅</w:t>
      </w:r>
      <w:r w:rsidDel="00000000" w:rsidR="00000000" w:rsidRPr="00000000">
        <w:rPr>
          <w:color w:val="000000"/>
          <w:highlight w:val="white"/>
          <w:rtl w:val="0"/>
        </w:rPr>
        <w:br w:type="textWrapping"/>
        <w:tab/>
        <w:t xml:space="preserve">Redis integration - M</w:t>
        <w:br w:type="textWrapping"/>
        <w:tab/>
        <w:t xml:space="preserve">HyperTrace Integration. - M </w:t>
      </w:r>
      <w:r w:rsidDel="00000000" w:rsidR="00000000" w:rsidRPr="00000000">
        <w:rPr>
          <w:color w:val="000000"/>
          <w:shd w:fill="6aa84f" w:val="clear"/>
          <w:rtl w:val="0"/>
        </w:rPr>
        <w:br w:type="textWrapping"/>
      </w:r>
      <w:r w:rsidDel="00000000" w:rsidR="00000000" w:rsidRPr="00000000">
        <w:rPr>
          <w:color w:val="000000"/>
          <w:rtl w:val="0"/>
        </w:rPr>
        <w:t xml:space="preserve">             Splitz experiment support - M</w:t>
      </w:r>
      <w:r w:rsidDel="00000000" w:rsidR="00000000" w:rsidRPr="00000000">
        <w:rPr>
          <w:rtl w:val="0"/>
        </w:rPr>
      </w:r>
    </w:p>
    <w:p w:rsidR="00000000" w:rsidDel="00000000" w:rsidP="00000000" w:rsidRDefault="00000000" w:rsidRPr="00000000" w14:paraId="00000098">
      <w:pPr>
        <w:pStyle w:val="Heading2"/>
        <w:spacing w:after="580" w:before="580" w:lineRule="auto"/>
        <w:rPr/>
      </w:pPr>
      <w:bookmarkStart w:colFirst="0" w:colLast="0" w:name="_1yftmed5wvc3" w:id="13"/>
      <w:bookmarkEnd w:id="13"/>
      <w:r w:rsidDel="00000000" w:rsidR="00000000" w:rsidRPr="00000000">
        <w:rPr>
          <w:rtl w:val="0"/>
        </w:rPr>
        <w:t xml:space="preserve">Impact and Sustainability &lt;TODO&gt;</w:t>
      </w:r>
    </w:p>
    <w:p w:rsidR="00000000" w:rsidDel="00000000" w:rsidP="00000000" w:rsidRDefault="00000000" w:rsidRPr="00000000" w14:paraId="0000009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rFonts w:ascii="Nunito" w:cs="Nunito" w:eastAsia="Nunito" w:hAnsi="Nunito"/>
          <w:color w:val="000000"/>
        </w:rPr>
      </w:pPr>
      <w:r w:rsidDel="00000000" w:rsidR="00000000" w:rsidRPr="00000000">
        <w:rPr>
          <w:rFonts w:ascii="Nunito" w:cs="Nunito" w:eastAsia="Nunito" w:hAnsi="Nunito"/>
          <w:color w:val="000000"/>
          <w:rtl w:val="0"/>
        </w:rPr>
        <w:t xml:space="preserve">Describe the expected impact and sustainability of the software product.</w:t>
      </w:r>
    </w:p>
    <w:p w:rsidR="00000000" w:rsidDel="00000000" w:rsidP="00000000" w:rsidRDefault="00000000" w:rsidRPr="00000000" w14:paraId="0000009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0" w:right="0" w:firstLine="0"/>
        <w:rPr>
          <w:rFonts w:ascii="Nunito" w:cs="Nunito" w:eastAsia="Nunito" w:hAnsi="Nunito"/>
          <w:color w:val="000000"/>
        </w:rPr>
      </w:pPr>
      <w:r w:rsidDel="00000000" w:rsidR="00000000" w:rsidRPr="00000000">
        <w:rPr>
          <w:rFonts w:ascii="Nunito" w:cs="Nunito" w:eastAsia="Nunito" w:hAnsi="Nunito"/>
          <w:color w:val="000000"/>
          <w:rtl w:val="0"/>
        </w:rPr>
        <w:t xml:space="preserve">Identify any potential revenue streams or long-term growth opportunities.</w:t>
      </w:r>
    </w:p>
    <w:p w:rsidR="00000000" w:rsidDel="00000000" w:rsidP="00000000" w:rsidRDefault="00000000" w:rsidRPr="00000000" w14:paraId="0000009B">
      <w:pPr>
        <w:pStyle w:val="Heading2"/>
        <w:spacing w:after="580" w:before="580" w:lineRule="auto"/>
        <w:rPr/>
      </w:pPr>
      <w:bookmarkStart w:colFirst="0" w:colLast="0" w:name="_oocx6ry1re0y" w:id="14"/>
      <w:bookmarkEnd w:id="14"/>
      <w:r w:rsidDel="00000000" w:rsidR="00000000" w:rsidRPr="00000000">
        <w:rPr>
          <w:rtl w:val="0"/>
        </w:rPr>
        <w:t xml:space="preserve">Supporting Documentation</w:t>
      </w:r>
    </w:p>
    <w:p w:rsidR="00000000" w:rsidDel="00000000" w:rsidP="00000000" w:rsidRDefault="00000000" w:rsidRPr="00000000" w14:paraId="0000009C">
      <w:pPr>
        <w:numPr>
          <w:ilvl w:val="0"/>
          <w:numId w:val="12"/>
        </w:numPr>
        <w:pBdr>
          <w:top w:color="d9d9e3" w:space="0" w:sz="0" w:val="none"/>
          <w:left w:color="d9d9e3" w:space="0" w:sz="0" w:val="none"/>
          <w:bottom w:color="d9d9e3" w:space="0" w:sz="0" w:val="none"/>
          <w:right w:color="d9d9e3" w:space="0" w:sz="0" w:val="none"/>
          <w:between w:color="d9d9e3" w:space="0" w:sz="0" w:val="none"/>
        </w:pBdr>
        <w:spacing w:before="0" w:lineRule="auto"/>
        <w:ind w:left="720" w:right="0" w:hanging="360"/>
        <w:rPr>
          <w:rFonts w:ascii="Nunito" w:cs="Nunito" w:eastAsia="Nunito" w:hAnsi="Nunito"/>
          <w:color w:val="000000"/>
          <w:u w:val="none"/>
        </w:rPr>
      </w:pPr>
      <w:r w:rsidDel="00000000" w:rsidR="00000000" w:rsidRPr="00000000">
        <w:rPr>
          <w:rFonts w:ascii="Nunito" w:cs="Nunito" w:eastAsia="Nunito" w:hAnsi="Nunito"/>
          <w:color w:val="000000"/>
          <w:rtl w:val="0"/>
        </w:rPr>
        <w:t xml:space="preserve">Health Server Tech Spec - </w:t>
      </w:r>
      <w:hyperlink r:id="rId16">
        <w:r w:rsidDel="00000000" w:rsidR="00000000" w:rsidRPr="00000000">
          <w:rPr>
            <w:rFonts w:ascii="Nunito" w:cs="Nunito" w:eastAsia="Nunito" w:hAnsi="Nunito"/>
            <w:color w:val="0000ee"/>
            <w:u w:val="single"/>
            <w:rtl w:val="0"/>
          </w:rPr>
          <w:t xml:space="preserve">Catalyst Health Server</w:t>
        </w:r>
      </w:hyperlink>
      <w:r w:rsidDel="00000000" w:rsidR="00000000" w:rsidRPr="00000000">
        <w:rPr>
          <w:rtl w:val="0"/>
        </w:rPr>
      </w:r>
    </w:p>
    <w:p w:rsidR="00000000" w:rsidDel="00000000" w:rsidP="00000000" w:rsidRDefault="00000000" w:rsidRPr="00000000" w14:paraId="0000009D">
      <w:pPr>
        <w:numPr>
          <w:ilvl w:val="0"/>
          <w:numId w:val="12"/>
        </w:numPr>
        <w:spacing w:after="0" w:afterAutospacing="0" w:before="0" w:lineRule="auto"/>
        <w:ind w:left="720" w:hanging="360"/>
        <w:rPr>
          <w:u w:val="none"/>
        </w:rPr>
      </w:pPr>
      <w:hyperlink r:id="rId17">
        <w:r w:rsidDel="00000000" w:rsidR="00000000" w:rsidRPr="00000000">
          <w:rPr>
            <w:color w:val="000000"/>
            <w:u w:val="single"/>
            <w:rtl w:val="0"/>
          </w:rPr>
          <w:t xml:space="preserve">https://alpha.razorpay.com/events/how-to-create-a-new-microservice-using-go-foundation</w:t>
        </w:r>
      </w:hyperlink>
      <w:r w:rsidDel="00000000" w:rsidR="00000000" w:rsidRPr="00000000">
        <w:rPr>
          <w:rtl w:val="0"/>
        </w:rPr>
      </w:r>
    </w:p>
    <w:p w:rsidR="00000000" w:rsidDel="00000000" w:rsidP="00000000" w:rsidRDefault="00000000" w:rsidRPr="00000000" w14:paraId="0000009E">
      <w:pPr>
        <w:numPr>
          <w:ilvl w:val="0"/>
          <w:numId w:val="12"/>
        </w:numPr>
        <w:spacing w:after="580" w:before="0" w:lineRule="auto"/>
        <w:ind w:left="720" w:hanging="360"/>
        <w:rPr>
          <w:u w:val="none"/>
        </w:rPr>
      </w:pPr>
      <w:hyperlink r:id="rId18">
        <w:r w:rsidDel="00000000" w:rsidR="00000000" w:rsidRPr="00000000">
          <w:rPr>
            <w:color w:val="000000"/>
            <w:u w:val="single"/>
            <w:rtl w:val="0"/>
          </w:rPr>
          <w:t xml:space="preserve">https://www.youtube.com/playlist?list=PLy_6D98if3UJd5hxWNfAqKMr15HZqFnqf</w:t>
        </w:r>
      </w:hyperlink>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vin Lobo" w:id="0" w:date="2023-09-19T07:44:15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data will be stored in the datastore ?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Will there be any PII data being stored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Also if there is anything sensitive being stored what encryption schemes will be used?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look at the below two standards: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 Classification std: https://docs.google.com/document/d/15RVB16QGpU6bho_KLLmbMLz7GygrTG8fXqq68lxdauI/edit#heading=h.gjdgxs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Cryptography Std: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https://docs.google.com/document/d/1oyb6MsKuxVUDfda1-FccGXQD-ZhZ6X3aMOn9tBoD-Yw/edit#heading=h.csvv46b81i0h</w:t>
      </w:r>
    </w:p>
  </w:comment>
  <w:comment w:author="Shashank B" w:id="1" w:date="2023-09-20T08:53:42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@kumar.mehul@razorpay.com @yogesh.gophane@razorpay.com could you add the relevant information?</w:t>
      </w:r>
    </w:p>
  </w:comment>
  <w:comment w:author="Mehul Kumar" w:id="2" w:date="2023-09-20T09:40:21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@jovin.lobo@razorpay.com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 would mostly have data like payment/order ids for recon purposes. I have added an example from one of our merchants.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No, we would not store PII data.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We are not storing any sensitive data. Most of the keys/secrets are used from credstash.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future, we are looking to encrypt payloads with AES-GCM/CBC algorithms for some of our merchants.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ulish">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jc w:val="right"/>
      <w:rPr/>
    </w:pPr>
    <w:r w:rsidDel="00000000" w:rsidR="00000000" w:rsidRPr="00000000">
      <w:rPr>
        <w:rtl w:val="0"/>
      </w:rPr>
    </w:r>
  </w:p>
  <w:p w:rsidR="00000000" w:rsidDel="00000000" w:rsidP="00000000" w:rsidRDefault="00000000" w:rsidRPr="00000000" w14:paraId="000000A0">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jc w:val="right"/>
      <w:rPr>
        <w:rFonts w:ascii="Nunito" w:cs="Nunito" w:eastAsia="Nunito" w:hAnsi="Nunito"/>
      </w:rPr>
    </w:pPr>
    <w:r w:rsidDel="00000000" w:rsidR="00000000" w:rsidRPr="00000000">
      <w:rPr>
        <w:rFonts w:ascii="Nunito" w:cs="Nunito" w:eastAsia="Nunito" w:hAnsi="Nunito"/>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ind w:left="0" w:firstLine="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pPr>
    <w:r w:rsidDel="00000000" w:rsidR="00000000" w:rsidRPr="00000000">
      <w:rPr/>
      <w:drawing>
        <wp:anchor allowOverlap="1" behindDoc="0" distB="0" distT="0" distL="0" distR="0" hidden="0" layoutInCell="1" locked="0" relativeHeight="0" simplePos="0">
          <wp:simplePos x="0" y="0"/>
          <wp:positionH relativeFrom="page">
            <wp:posOffset>-9524</wp:posOffset>
          </wp:positionH>
          <wp:positionV relativeFrom="page">
            <wp:posOffset>0</wp:posOffset>
          </wp:positionV>
          <wp:extent cx="7791450" cy="1309688"/>
          <wp:effectExtent b="0" l="0" r="0" t="0"/>
          <wp:wrapTopAndBottom distB="0" dist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91450" cy="13096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u w:val="none"/>
      </w:rPr>
    </w:lvl>
    <w:lvl w:ilvl="1">
      <w:start w:val="1"/>
      <w:numFmt w:val="bullet"/>
      <w:lvlText w:val="○"/>
      <w:lvlJc w:val="left"/>
      <w:pPr>
        <w:ind w:left="270" w:hanging="270"/>
      </w:pPr>
      <w:rPr>
        <w:u w:val="none"/>
      </w:rPr>
    </w:lvl>
    <w:lvl w:ilvl="2">
      <w:start w:val="1"/>
      <w:numFmt w:val="lowerRoman"/>
      <w:lvlText w:val="%3."/>
      <w:lvlJc w:val="left"/>
      <w:pPr>
        <w:ind w:left="10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434343"/>
        <w:sz w:val="22"/>
        <w:szCs w:val="22"/>
        <w:lang w:val="en"/>
      </w:rPr>
    </w:rPrDefault>
    <w:pPrDefault>
      <w:pPr>
        <w:pBdr>
          <w:top w:color="d9d9e3" w:space="0" w:sz="0" w:val="none"/>
          <w:left w:color="d9d9e3" w:space="0" w:sz="0" w:val="none"/>
          <w:bottom w:color="d9d9e3" w:space="0" w:sz="0" w:val="none"/>
          <w:right w:color="d9d9e3" w:space="0" w:sz="0" w:val="none"/>
          <w:between w:color="d9d9e3" w:space="0" w:sz="0" w:val="none"/>
        </w:pBdr>
        <w:ind w:left="-27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580" w:before="580" w:lineRule="auto"/>
      <w:ind w:left="0" w:firstLine="0"/>
    </w:pPr>
    <w:rPr>
      <w:b w:val="1"/>
      <w:color w:val="000000"/>
    </w:rPr>
  </w:style>
  <w:style w:type="paragraph" w:styleId="Heading3">
    <w:name w:val="heading 3"/>
    <w:basedOn w:val="Normal"/>
    <w:next w:val="Normal"/>
    <w:pPr>
      <w:keepNext w:val="1"/>
      <w:keepLines w:val="1"/>
      <w:ind w:left="0" w:firstLine="0"/>
    </w:pPr>
    <w:rPr>
      <w:b w:val="1"/>
      <w:color w:val="00000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pp.diagrams.net/?page-id=f106602c-feb2-e66a-4537-3a34d633f6aa&amp;scale=auto#G1fx1RF93qA9wLiDQRWVZS46hLAsfbQYiX" TargetMode="External"/><Relationship Id="rId22" Type="http://schemas.openxmlformats.org/officeDocument/2006/relationships/footer" Target="footer2.xml"/><Relationship Id="rId10" Type="http://schemas.openxmlformats.org/officeDocument/2006/relationships/hyperlink" Target="https://docs.google.com/document/d/1zEg0YojKmBT-fJFl2L8Pej8RW8LF6D9b/edit#bookmark=id.gjdgxs" TargetMode="External"/><Relationship Id="rId21" Type="http://schemas.openxmlformats.org/officeDocument/2006/relationships/footer" Target="footer1.xml"/><Relationship Id="rId13" Type="http://schemas.openxmlformats.org/officeDocument/2006/relationships/hyperlink" Target="https://drive.google.com/file/d/1fx1RF93qA9wLiDQRWVZS46hLAsfbQYiX/view?usp=drive_link"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zatAobmjPixr1izMoK-CANtDufZgWSBcnFVagPGoB18/edit" TargetMode="External"/><Relationship Id="rId15" Type="http://schemas.openxmlformats.org/officeDocument/2006/relationships/hyperlink" Target="https://grafana.np.razorpay.in/d/73NnFyzSk/catalyst?orgId=1" TargetMode="External"/><Relationship Id="rId14" Type="http://schemas.openxmlformats.org/officeDocument/2006/relationships/hyperlink" Target="https://wiki.rzp.io/DevOps/Application-Dockerizing-Checklist" TargetMode="External"/><Relationship Id="rId17" Type="http://schemas.openxmlformats.org/officeDocument/2006/relationships/hyperlink" Target="https://alpha.razorpay.com/events/how-to-create-a-new-microservice-using-go-foundation" TargetMode="External"/><Relationship Id="rId16" Type="http://schemas.openxmlformats.org/officeDocument/2006/relationships/hyperlink" Target="https://docs.google.com/document/d/1_2Oa0JjpX4N4drTr8KBoTCgbelepjofwT9sYjXXd5VM/edit" TargetMode="External"/><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https://www.youtube.com/playlist?list=PLy_6D98if3UJd5hxWNfAqKMr15HZqFnqf" TargetMode="External"/><Relationship Id="rId7" Type="http://schemas.openxmlformats.org/officeDocument/2006/relationships/image" Target="media/image1.png"/><Relationship Id="rId8" Type="http://schemas.openxmlformats.org/officeDocument/2006/relationships/hyperlink" Target="https://docs.google.com/document/d/1GyluKSIhQgkg-xAsxOChoX5TExV2Wnls/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unito-italic.ttf"/><Relationship Id="rId10" Type="http://schemas.openxmlformats.org/officeDocument/2006/relationships/font" Target="fonts/Nunito-bold.ttf"/><Relationship Id="rId12" Type="http://schemas.openxmlformats.org/officeDocument/2006/relationships/font" Target="fonts/Nunito-boldItalic.ttf"/><Relationship Id="rId9" Type="http://schemas.openxmlformats.org/officeDocument/2006/relationships/font" Target="fonts/Nunito-regular.ttf"/><Relationship Id="rId5" Type="http://schemas.openxmlformats.org/officeDocument/2006/relationships/font" Target="fonts/Mulish-regular.ttf"/><Relationship Id="rId6" Type="http://schemas.openxmlformats.org/officeDocument/2006/relationships/font" Target="fonts/Mulish-bold.ttf"/><Relationship Id="rId7" Type="http://schemas.openxmlformats.org/officeDocument/2006/relationships/font" Target="fonts/Mulish-italic.ttf"/><Relationship Id="rId8" Type="http://schemas.openxmlformats.org/officeDocument/2006/relationships/font" Target="fonts/Mulish-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