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File Renaming &amp; Postman Collection Generation – Project Overview</w:t>
      </w:r>
    </w:p>
    <w:p/>
    <w:p>
      <w:pPr>
        <w:jc w:val="center"/>
      </w:pPr>
      <w:r>
        <w:rPr>
          <w:i/>
        </w:rPr>
        <w:t>Functionality and Features – Management Summary</w:t>
      </w:r>
    </w:p>
    <w:p/>
    <w:p>
      <w:pPr>
        <w:pStyle w:val="Heading1"/>
      </w:pPr>
      <w:r>
        <w:t>1. Executive Summary</w:t>
      </w:r>
    </w:p>
    <w:p>
      <w:r>
        <w:t>This project automates the renaming of test-case JSON files and the generation of Postman collections for API testing. It supports multiple model types (WGS_CSBD, WGS_NYK, GBDF MCR, GBDF GRS) and is used to standardize naming conventions, apply header/footer transformations, and produce ready-to-use Postman collections for regression and smoke testing.</w:t>
      </w:r>
    </w:p>
    <w:p>
      <w:pPr>
        <w:pStyle w:val="Heading2"/>
      </w:pPr>
      <w:r>
        <w:t>1.1 Purpose</w:t>
      </w:r>
    </w:p>
    <w:p>
      <w:r>
        <w:t>The tool reduces manual effort in test data preparation, ensures consistent naming across environments, and accelerates API test execution by providing structured Postman collections. It is designed for use by QA and development teams working with healthcare/claims editing test scenarios.</w:t>
      </w:r>
    </w:p>
    <w:p/>
    <w:p>
      <w:pPr>
        <w:pStyle w:val="Heading1"/>
      </w:pPr>
      <w:r>
        <w:t>2. Core Functionality</w:t>
      </w:r>
    </w:p>
    <w:p>
      <w:r>
        <w:t>The system performs four main functions, executed via a single command-line interface.</w:t>
      </w:r>
    </w:p>
    <w:p>
      <w:pPr>
        <w:pStyle w:val="Heading2"/>
      </w:pPr>
      <w:r>
        <w:t>2.1 File Renaming</w:t>
      </w:r>
    </w:p>
    <w:p>
      <w:r>
        <w:t>JSON test-case files are renamed from legacy naming conventions to a standardized format. Suffix mapping (e.g., sur → dis) is applied, and model-specific rules are used for WGS_CSBD, WGS_NYK, and GBDF (MCR/GRS) types. Header and footer structures are updated where required (e.g., WGS_CSBD KEY_CHK_DCN_NBR generation); GBDF models receive CLCL_ID generation as needed.</w:t>
      </w:r>
    </w:p>
    <w:p>
      <w:pPr>
        <w:pStyle w:val="Heading2"/>
      </w:pPr>
      <w:r>
        <w:t>2.2 Postman Collection Generation</w:t>
      </w:r>
    </w:p>
    <w:p>
      <w:r>
        <w:t>After renaming, the tool generates Postman collections for API testing. Collections are organized by model and test type (e.g., regression, smoke) and use consistent naming. Generation can be toggled per collection type via environment variables (e.g., ENABLE_POSTMAN_WGS_CSBD, ENABLE_POSTMAN_WGS_KERNAL).</w:t>
      </w:r>
    </w:p>
    <w:p>
      <w:pPr>
        <w:pStyle w:val="Heading2"/>
      </w:pPr>
      <w:r>
        <w:t>2.3 RefDB Value Replacement</w:t>
      </w:r>
    </w:p>
    <w:p>
      <w:r>
        <w:t>For refdb-specific models (e.g., CSBDTS 46/47/59/75, NYKTS 123/149, and GBDF MCR/GRS when --refdb is used), the tool replaces placeholder values in JSON files with values from refdb_values.json. Replaced fields include HCID, PAT_BRTH_DT, PAT_FRST_NME, PAT_LAST_NM, PROV_TAX_ID (WGS), MCTN_ID (GBDF), BILLG_NPI, and NAT_EA2_RNDR_NPI. This supports environment-specific test data without manual editing.</w:t>
      </w:r>
    </w:p>
    <w:p>
      <w:pPr>
        <w:pStyle w:val="Heading2"/>
      </w:pPr>
      <w:r>
        <w:t>2.4 Excel Reporting</w:t>
      </w:r>
    </w:p>
    <w:p>
      <w:r>
        <w:t>Timing and processing metrics are captured and written to Excel reports. Reports include per-model and batch timing, file counts, and status. Report generation can be enabled or disabled via ENABLE_REPORT_GENERATION in the .env file. Output is saved under the reports directory with timestamps.</w:t>
      </w:r>
    </w:p>
    <w:p/>
    <w:p>
      <w:pPr>
        <w:pStyle w:val="Heading1"/>
      </w:pPr>
      <w:r>
        <w:t>3. Key Features</w:t>
      </w:r>
    </w:p>
    <w:p>
      <w:pPr>
        <w:pStyle w:val="ListBullet"/>
      </w:pPr>
      <w:r>
        <w:t>Model types and capabilities:</w:t>
      </w:r>
    </w:p>
    <w:p>
      <w:pPr>
        <w:pStyle w:val="ListBullet"/>
      </w:pPr>
      <w:r>
        <w:t>WGS_CSBD: CSBDTS models (e.g., TS01–TS20, TS46–TS56) with --wgs_csbd and --CSBDTSXX.</w:t>
      </w:r>
    </w:p>
    <w:p>
      <w:pPr>
        <w:pStyle w:val="ListBullet"/>
      </w:pPr>
      <w:r>
        <w:t>WGS_NYK: NYKTS models (e.g., TS122–TS132) with --wgs_nyk and --NYKTSXX.</w:t>
      </w:r>
    </w:p>
    <w:p>
      <w:pPr>
        <w:pStyle w:val="ListBullet"/>
      </w:pPr>
      <w:r>
        <w:t>GBDF MCR / GBDF GRS: GBDTS models with --gbdf_mcr or --gbdf_grs and --GBDTSXX.</w:t>
      </w:r>
    </w:p>
    <w:p>
      <w:pPr>
        <w:pStyle w:val="ListBullet"/>
      </w:pPr>
      <w:r>
        <w:t>Batch processing: --all processes all discovered models for the selected type.</w:t>
      </w:r>
    </w:p>
    <w:p>
      <w:pPr>
        <w:pStyle w:val="ListBullet"/>
      </w:pPr>
      <w:r>
        <w:t>Listing: --list shows available models without processing.</w:t>
      </w:r>
    </w:p>
    <w:p>
      <w:pPr>
        <w:pStyle w:val="ListBullet"/>
      </w:pPr>
      <w:r>
        <w:t>Configuration: .env controls report generation, Postman per collection type, and refdb enable/disable per model. refdb_values.json holds replacement values per model.</w:t>
      </w:r>
    </w:p>
    <w:p>
      <w:pPr>
        <w:pStyle w:val="ListBullet"/>
      </w:pPr>
      <w:r>
        <w:t>Dynamic discovery: Source folders and model parameters are discovered from directory structure and naming patterns, reducing manual configuration for new models.</w:t>
      </w:r>
    </w:p>
    <w:p/>
    <w:p>
      <w:pPr>
        <w:pStyle w:val="Heading1"/>
      </w:pPr>
      <w:r>
        <w:t>4. Benefits and Use Cases</w:t>
      </w:r>
    </w:p>
    <w:p>
      <w:r>
        <w:t>Benefits: Reduced manual renaming and copy-paste errors; consistent test data and naming across teams; faster API test setup via generated Postman collections; configurable refdb replacement for environment-specific data; and traceability through Excel timing reports.</w:t>
      </w:r>
    </w:p>
    <w:p>
      <w:r>
        <w:t>Use cases: Preparing regression and smoke payloads for a specific TS model; batch processing all WGS_CSBD or WGS_NYK models; generating Postman collections for a release; and refreshing refdb values for refdb-enabled models before test runs.</w:t>
      </w:r>
    </w:p>
    <w:p/>
    <w:p>
      <w:pPr>
        <w:pStyle w:val="Heading1"/>
      </w:pPr>
      <w:r>
        <w:t>5. Technical Summary</w:t>
      </w:r>
    </w:p>
    <w:p>
      <w:r>
        <w:t>Entry point: main_processor.py with flags --wgs_csbd, --wgs_nyk, --gbdf_mcr, --gbdf_grs and model arguments (--CSBDTSXX, --NYKTSXX, --GBDTSXX). Optional: --refdb, --no-report, --list, --all, and custom --edit-id, --code, --source-dir, --dest-dir, --collection-name.</w:t>
      </w:r>
    </w:p>
    <w:p>
      <w:r>
        <w:t>Key modules: rename_files.py (renaming and suffix/header logic), postman_generator.py (Postman collection creation), refdb_change.py (refdb value replacement), report_generate.py (Excel reports), dynamic_models.py (model discovery). Outputs: renaming_jsons/, postman_collections/, and reports/ (when reporting is enabled).</w:t>
      </w:r>
    </w:p>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