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E8B8B"/>
          <w:sz w:val="56"/>
        </w:rPr>
        <w:t>WEBSITE QUALITY REVIEW</w:t>
      </w:r>
    </w:p>
    <w:p>
      <w:pPr>
        <w:jc w:val="center"/>
      </w:pPr>
      <w:r>
        <w:rPr>
          <w:rFonts w:ascii="Calibri" w:hAnsi="Calibri"/>
          <w:color w:val="64748B"/>
          <w:sz w:val="28"/>
        </w:rPr>
        <w:t>thinkartha.com — Detailed Findings &amp; Recommendations</w:t>
      </w:r>
    </w:p>
    <w:p/>
    <w:p>
      <w:pPr>
        <w:jc w:val="center"/>
      </w:pPr>
      <w:r>
        <w:rPr>
          <w:rFonts w:ascii="Calibri" w:hAnsi="Calibri"/>
          <w:color w:val="64748B"/>
          <w:sz w:val="20"/>
        </w:rPr>
        <w:t xml:space="preserve">Prepared for: </w:t>
      </w:r>
      <w:r>
        <w:rPr>
          <w:rFonts w:ascii="Calibri" w:hAnsi="Calibri"/>
          <w:b/>
          <w:color w:val="1A1A2E"/>
          <w:sz w:val="20"/>
        </w:rPr>
        <w:t>Artha Solutions Website Development Team</w:t>
      </w:r>
      <w:r>
        <w:rPr>
          <w:rFonts w:ascii="Calibri" w:hAnsi="Calibri"/>
          <w:color w:val="64748B"/>
          <w:sz w:val="20"/>
        </w:rPr>
        <w:br/>
        <w:t xml:space="preserve">Prepared by: </w:t>
      </w:r>
      <w:r>
        <w:rPr>
          <w:rFonts w:ascii="Calibri" w:hAnsi="Calibri"/>
          <w:b/>
          <w:color w:val="1A1A2E"/>
          <w:sz w:val="20"/>
        </w:rPr>
        <w:t>Vishnu Sai Rachakatla</w:t>
      </w:r>
      <w:r>
        <w:rPr>
          <w:rFonts w:ascii="Calibri" w:hAnsi="Calibri"/>
          <w:color w:val="64748B"/>
          <w:sz w:val="20"/>
        </w:rPr>
        <w:br/>
        <w:t xml:space="preserve">Date: </w:t>
      </w:r>
      <w:r>
        <w:rPr>
          <w:rFonts w:ascii="Calibri" w:hAnsi="Calibri"/>
          <w:b/>
          <w:color w:val="1A1A2E"/>
          <w:sz w:val="20"/>
        </w:rPr>
        <w:t>March 3, 2026</w:t>
      </w:r>
      <w:r>
        <w:rPr>
          <w:rFonts w:ascii="Calibri" w:hAnsi="Calibri"/>
          <w:color w:val="64748B"/>
          <w:sz w:val="20"/>
        </w:rPr>
        <w:br/>
        <w:t xml:space="preserve">Classification: </w:t>
      </w:r>
      <w:r>
        <w:rPr>
          <w:rFonts w:ascii="Calibri" w:hAnsi="Calibri"/>
          <w:b/>
          <w:color w:val="1A1A2E"/>
          <w:sz w:val="20"/>
        </w:rPr>
        <w:t>Internal — Confidential</w:t>
      </w:r>
    </w:p>
    <w:p>
      <w:r>
        <w:br w:type="page"/>
      </w:r>
    </w:p>
    <w:p>
      <w:pPr>
        <w:pStyle w:val="Heading1"/>
      </w:pPr>
      <w:r>
        <w:t>1. Introduction</w:t>
      </w:r>
    </w:p>
    <w:p>
      <w:r>
        <w:t>Dear Team,</w:t>
      </w:r>
    </w:p>
    <w:p>
      <w:r>
        <w:t>Thank you for your continued efforts in maintaining and improving the Artha Solutions website (thinkartha.com). We truly appreciate the work that has gone into building and managing the site to represent our brand and services.</w:t>
      </w:r>
    </w:p>
    <w:p>
      <w:r>
        <w:t>As part of our ongoing commitment to delivering the best possible digital experience for our clients and prospects, we conducted a comprehensive quality review of the current website. This document consolidates findings from two sources:</w:t>
      </w:r>
    </w:p>
    <w:p>
      <w:pPr>
        <w:pStyle w:val="ListBullet"/>
      </w:pPr>
      <w:r>
        <w:rPr>
          <w:rFonts w:ascii="Calibri" w:hAnsi="Calibri"/>
          <w:sz w:val="20"/>
        </w:rPr>
        <w:t>A prior internal review that identified several issues, many of which have already been addressed — thank you for those fixes.</w:t>
      </w:r>
    </w:p>
    <w:p>
      <w:pPr>
        <w:pStyle w:val="ListBullet"/>
      </w:pPr>
      <w:r>
        <w:rPr>
          <w:rFonts w:ascii="Calibri" w:hAnsi="Calibri"/>
          <w:sz w:val="20"/>
        </w:rPr>
        <w:t>A new deep-dive audit examining every major page for content accuracy, visual consistency, mobile responsiveness, performance, and search engine optimization.</w:t>
      </w:r>
    </w:p>
    <w:p>
      <w:r>
        <w:t>The purpose of this document is to provide a clear, organized reference for the development team so that remaining items can be prioritized and addressed efficiently. Every finding is presented with a description, the affected page(s), suggested resolution, and a priority level.</w:t>
      </w:r>
    </w:p>
    <w:p>
      <w:r>
        <w:t>We are confident that resolving these items will further elevate the professionalism and effectiveness of thinkartha.com. Please do not hesitate to reach out if any item requires additional context or clarification.</w:t>
      </w:r>
    </w:p>
    <w:p>
      <w:pPr>
        <w:pStyle w:val="Heading1"/>
      </w:pPr>
      <w:r>
        <w:t>2. Status of Previously Reported Issues</w:t>
      </w:r>
    </w:p>
    <w:p>
      <w:r>
        <w:t>The following table summarizes bugs that were identified in our earlier review. We are pleased to note that the majority of these have been resolved. Items still outstanding or needing implementation are highlighted for continued attention.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54"/>
            <w:shd w:fill="134A4A"/>
          </w:tcPr>
          <w:p>
            <w:pPr>
              <w:jc w:val="center"/>
            </w:pPr>
            <w:r>
              <w:rPr>
                <w:b/>
                <w:color w:val="FFFFFF"/>
                <w:sz w:val="18"/>
              </w:rPr>
            </w:r>
            <w:r>
              <w:rPr>
                <w:rFonts w:ascii="Calibri" w:hAnsi="Calibri"/>
                <w:b/>
                <w:color w:val="FFFFFF"/>
                <w:sz w:val="18"/>
              </w:rPr>
              <w:t>#</w:t>
            </w:r>
          </w:p>
        </w:tc>
        <w:tc>
          <w:tcPr>
            <w:tcW w:type="dxa" w:w="4252"/>
            <w:shd w:fill="134A4A"/>
          </w:tcPr>
          <w:p>
            <w:pPr>
              <w:jc w:val="center"/>
            </w:pPr>
            <w:r>
              <w:rPr>
                <w:b/>
                <w:color w:val="FFFFFF"/>
                <w:sz w:val="18"/>
              </w:rPr>
            </w:r>
            <w:r>
              <w:rPr>
                <w:rFonts w:ascii="Calibri" w:hAnsi="Calibri"/>
                <w:b/>
                <w:color w:val="FFFFFF"/>
                <w:sz w:val="18"/>
              </w:rPr>
              <w:t>Issue Description</w:t>
            </w:r>
          </w:p>
        </w:tc>
        <w:tc>
          <w:tcPr>
            <w:tcW w:type="dxa" w:w="1417"/>
            <w:shd w:fill="134A4A"/>
          </w:tcPr>
          <w:p>
            <w:pPr>
              <w:jc w:val="center"/>
            </w:pPr>
            <w:r>
              <w:rPr>
                <w:b/>
                <w:color w:val="FFFFFF"/>
                <w:sz w:val="18"/>
              </w:rPr>
            </w:r>
            <w:r>
              <w:rPr>
                <w:rFonts w:ascii="Calibri" w:hAnsi="Calibri"/>
                <w:b/>
                <w:color w:val="FFFFFF"/>
                <w:sz w:val="18"/>
              </w:rPr>
              <w:t>Current Status</w:t>
            </w:r>
          </w:p>
        </w:tc>
        <w:tc>
          <w:tcPr>
            <w:tcW w:type="dxa" w:w="3118"/>
            <w:shd w:fill="134A4A"/>
          </w:tcPr>
          <w:p>
            <w:pPr>
              <w:jc w:val="center"/>
            </w:pPr>
            <w:r>
              <w:rPr>
                <w:b/>
                <w:color w:val="FFFFFF"/>
                <w:sz w:val="18"/>
              </w:rPr>
            </w:r>
            <w:r>
              <w:rPr>
                <w:rFonts w:ascii="Calibri" w:hAnsi="Calibri"/>
                <w:b/>
                <w:color w:val="FFFFFF"/>
                <w:sz w:val="18"/>
              </w:rPr>
              <w:t>Suggested Action</w:t>
            </w:r>
          </w:p>
        </w:tc>
        <w:tc>
          <w:tcPr>
            <w:tcW w:type="dxa" w:w="454"/>
            <w:shd w:fill="134A4A"/>
          </w:tcPr>
          <w:p>
            <w:pPr>
              <w:jc w:val="center"/>
            </w:pPr>
            <w:r>
              <w:rPr>
                <w:b/>
                <w:color w:val="FFFFFF"/>
                <w:sz w:val="18"/>
              </w:rPr>
            </w:r>
            <w:r>
              <w:rPr>
                <w:rFonts w:ascii="Calibri" w:hAnsi="Calibri"/>
                <w:b/>
                <w:color w:val="FFFFFF"/>
                <w:sz w:val="18"/>
              </w:rPr>
            </w:r>
          </w:p>
        </w:tc>
      </w:tr>
      <w:tr>
        <w:tc>
          <w:tcPr>
            <w:tcW w:type="dxa" w:w="454"/>
          </w:tcPr>
          <w:p>
            <w:pPr>
              <w:jc w:val="center"/>
            </w:pPr>
            <w:r/>
            <w:r>
              <w:rPr>
                <w:rFonts w:ascii="Calibri" w:hAnsi="Calibri"/>
                <w:b w:val="0"/>
                <w:color w:val="1A1A2E"/>
                <w:sz w:val="16"/>
              </w:rPr>
              <w:t>1</w:t>
            </w:r>
          </w:p>
        </w:tc>
        <w:tc>
          <w:tcPr>
            <w:tcW w:type="dxa" w:w="4252"/>
          </w:tcPr>
          <w:p>
            <w:pPr>
              <w:jc w:val="left"/>
            </w:pPr>
            <w:r/>
            <w:r>
              <w:rPr>
                <w:rFonts w:ascii="Calibri" w:hAnsi="Calibri"/>
                <w:b w:val="0"/>
                <w:color w:val="1A1A2E"/>
                <w:sz w:val="18"/>
              </w:rPr>
              <w:t>No call functionality for Indonesia region</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2</w:t>
            </w:r>
          </w:p>
        </w:tc>
        <w:tc>
          <w:tcPr>
            <w:tcW w:type="dxa" w:w="4252"/>
          </w:tcPr>
          <w:p>
            <w:pPr>
              <w:jc w:val="left"/>
            </w:pPr>
            <w:r/>
            <w:r>
              <w:rPr>
                <w:rFonts w:ascii="Calibri" w:hAnsi="Calibri"/>
                <w:b w:val="0"/>
                <w:color w:val="1A1A2E"/>
                <w:sz w:val="18"/>
              </w:rPr>
              <w:t>Website phone layout is non-responsive</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3</w:t>
            </w:r>
          </w:p>
        </w:tc>
        <w:tc>
          <w:tcPr>
            <w:tcW w:type="dxa" w:w="4252"/>
          </w:tcPr>
          <w:p>
            <w:pPr>
              <w:jc w:val="left"/>
            </w:pPr>
            <w:r/>
            <w:r>
              <w:rPr>
                <w:rFonts w:ascii="Calibri" w:hAnsi="Calibri"/>
                <w:b w:val="0"/>
                <w:color w:val="1A1A2E"/>
                <w:sz w:val="18"/>
              </w:rPr>
              <w:t>CAPTCHA required for form filling, not for website — please remove</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4</w:t>
            </w:r>
          </w:p>
        </w:tc>
        <w:tc>
          <w:tcPr>
            <w:tcW w:type="dxa" w:w="4252"/>
          </w:tcPr>
          <w:p>
            <w:pPr>
              <w:jc w:val="left"/>
            </w:pPr>
            <w:r/>
            <w:r>
              <w:rPr>
                <w:rFonts w:ascii="Calibri" w:hAnsi="Calibri"/>
                <w:b w:val="0"/>
                <w:color w:val="1A1A2E"/>
                <w:sz w:val="18"/>
              </w:rPr>
              <w:t>Instagram symbol is not present</w:t>
            </w:r>
          </w:p>
        </w:tc>
        <w:tc>
          <w:tcPr>
            <w:tcW w:type="dxa" w:w="1417"/>
          </w:tcPr>
          <w:p>
            <w:pPr>
              <w:jc w:val="center"/>
            </w:pPr>
            <w:r/>
            <w:r>
              <w:rPr>
                <w:rFonts w:ascii="Calibri" w:hAnsi="Calibri"/>
                <w:b w:val="0"/>
                <w:color w:val="1A1A2E"/>
                <w:sz w:val="18"/>
              </w:rPr>
              <w:t>N/A</w:t>
            </w:r>
          </w:p>
        </w:tc>
        <w:tc>
          <w:tcPr>
            <w:tcW w:type="dxa" w:w="3118"/>
          </w:tcPr>
          <w:p>
            <w:pPr>
              <w:jc w:val="left"/>
            </w:pPr>
            <w:r/>
            <w:r>
              <w:rPr>
                <w:rFonts w:ascii="Calibri" w:hAnsi="Calibri"/>
                <w:b w:val="0"/>
                <w:color w:val="1A1A2E"/>
                <w:sz w:val="18"/>
              </w:rPr>
              <w:t>Verify if Instagram presence is active</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5</w:t>
            </w:r>
          </w:p>
        </w:tc>
        <w:tc>
          <w:tcPr>
            <w:tcW w:type="dxa" w:w="4252"/>
          </w:tcPr>
          <w:p>
            <w:pPr>
              <w:jc w:val="left"/>
            </w:pPr>
            <w:r/>
            <w:r>
              <w:rPr>
                <w:rFonts w:ascii="Calibri" w:hAnsi="Calibri"/>
                <w:b w:val="0"/>
                <w:color w:val="1A1A2E"/>
                <w:sz w:val="18"/>
              </w:rPr>
              <w:t>In phone layout, text and symbols are misaligned</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6</w:t>
            </w:r>
          </w:p>
        </w:tc>
        <w:tc>
          <w:tcPr>
            <w:tcW w:type="dxa" w:w="4252"/>
          </w:tcPr>
          <w:p>
            <w:pPr>
              <w:jc w:val="left"/>
            </w:pPr>
            <w:r/>
            <w:r>
              <w:rPr>
                <w:rFonts w:ascii="Calibri" w:hAnsi="Calibri"/>
                <w:b w:val="0"/>
                <w:color w:val="1A1A2E"/>
                <w:sz w:val="18"/>
              </w:rPr>
              <w:t>In events section, year is missing</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7</w:t>
            </w:r>
          </w:p>
        </w:tc>
        <w:tc>
          <w:tcPr>
            <w:tcW w:type="dxa" w:w="4252"/>
          </w:tcPr>
          <w:p>
            <w:pPr>
              <w:jc w:val="left"/>
            </w:pPr>
            <w:r/>
            <w:r>
              <w:rPr>
                <w:rFonts w:ascii="Calibri" w:hAnsi="Calibri"/>
                <w:b w:val="0"/>
                <w:color w:val="1A1A2E"/>
                <w:sz w:val="18"/>
              </w:rPr>
              <w:t>In the blogs section, navigation arrows are out of border</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8</w:t>
            </w:r>
          </w:p>
        </w:tc>
        <w:tc>
          <w:tcPr>
            <w:tcW w:type="dxa" w:w="4252"/>
          </w:tcPr>
          <w:p>
            <w:pPr>
              <w:jc w:val="left"/>
            </w:pPr>
            <w:r/>
            <w:r>
              <w:rPr>
                <w:rFonts w:ascii="Calibri" w:hAnsi="Calibri"/>
                <w:b w:val="0"/>
                <w:color w:val="1A1A2E"/>
                <w:sz w:val="18"/>
              </w:rPr>
              <w:t>Industries dropdown menu has gaps &amp; description is not aligned</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9</w:t>
            </w:r>
          </w:p>
        </w:tc>
        <w:tc>
          <w:tcPr>
            <w:tcW w:type="dxa" w:w="4252"/>
          </w:tcPr>
          <w:p>
            <w:pPr>
              <w:jc w:val="left"/>
            </w:pPr>
            <w:r/>
            <w:r>
              <w:rPr>
                <w:rFonts w:ascii="Calibri" w:hAnsi="Calibri"/>
                <w:b w:val="0"/>
                <w:color w:val="1A1A2E"/>
                <w:sz w:val="18"/>
              </w:rPr>
              <w:t>Resources section read-time visible for only one topic; missing on others</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10</w:t>
            </w:r>
          </w:p>
        </w:tc>
        <w:tc>
          <w:tcPr>
            <w:tcW w:type="dxa" w:w="4252"/>
          </w:tcPr>
          <w:p>
            <w:pPr>
              <w:jc w:val="left"/>
            </w:pPr>
            <w:r/>
            <w:r>
              <w:rPr>
                <w:rFonts w:ascii="Calibri" w:hAnsi="Calibri"/>
                <w:b w:val="0"/>
                <w:color w:val="1A1A2E"/>
                <w:sz w:val="18"/>
              </w:rPr>
              <w:t>Awards &amp; Recognition: heading issue on 'Talend Data Masters Award' tile</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11</w:t>
            </w:r>
          </w:p>
        </w:tc>
        <w:tc>
          <w:tcPr>
            <w:tcW w:type="dxa" w:w="4252"/>
          </w:tcPr>
          <w:p>
            <w:pPr>
              <w:jc w:val="left"/>
            </w:pPr>
            <w:r/>
            <w:r>
              <w:rPr>
                <w:rFonts w:ascii="Calibri" w:hAnsi="Calibri"/>
                <w:b w:val="0"/>
                <w:color w:val="1A1A2E"/>
                <w:sz w:val="18"/>
              </w:rPr>
              <w:t>Partners logo carousel should have smooth flow &amp; pause on hover</w:t>
            </w:r>
          </w:p>
        </w:tc>
        <w:tc>
          <w:tcPr>
            <w:tcW w:type="dxa" w:w="1417"/>
            <w:shd w:fill="D1E7DD"/>
          </w:tcPr>
          <w:p>
            <w:pPr>
              <w:jc w:val="center"/>
            </w:pPr>
            <w:r/>
            <w:r>
              <w:rPr>
                <w:rFonts w:ascii="Calibri" w:hAnsi="Calibri"/>
                <w:b w:val="0"/>
                <w:color w:val="1A1A2E"/>
                <w:sz w:val="18"/>
              </w:rPr>
              <w:t>Fixed</w:t>
            </w:r>
          </w:p>
        </w:tc>
        <w:tc>
          <w:tcPr>
            <w:tcW w:type="dxa" w:w="3118"/>
          </w:tcPr>
          <w:p>
            <w:pPr>
              <w:jc w:val="left"/>
            </w:pPr>
            <w:r/>
            <w:r>
              <w:rPr>
                <w:rFonts w:ascii="Calibri" w:hAnsi="Calibri"/>
                <w:b w:val="0"/>
                <w:color w:val="1A1A2E"/>
                <w:sz w:val="18"/>
              </w:rPr>
              <w:t>—</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12</w:t>
            </w:r>
          </w:p>
        </w:tc>
        <w:tc>
          <w:tcPr>
            <w:tcW w:type="dxa" w:w="4252"/>
          </w:tcPr>
          <w:p>
            <w:pPr>
              <w:jc w:val="left"/>
            </w:pPr>
            <w:r/>
            <w:r>
              <w:rPr>
                <w:rFonts w:ascii="Calibri" w:hAnsi="Calibri"/>
                <w:b w:val="0"/>
                <w:color w:val="1A1A2E"/>
                <w:sz w:val="18"/>
              </w:rPr>
              <w:t>Outdated events that have passed should be removed or display a message</w:t>
            </w:r>
          </w:p>
        </w:tc>
        <w:tc>
          <w:tcPr>
            <w:tcW w:type="dxa" w:w="1417"/>
            <w:shd w:fill="F8D7DA"/>
          </w:tcPr>
          <w:p>
            <w:pPr>
              <w:jc w:val="center"/>
            </w:pPr>
            <w:r/>
            <w:r>
              <w:rPr>
                <w:rFonts w:ascii="Calibri" w:hAnsi="Calibri"/>
                <w:b w:val="0"/>
                <w:color w:val="1A1A2E"/>
                <w:sz w:val="18"/>
              </w:rPr>
              <w:t>Not Fixed</w:t>
            </w:r>
          </w:p>
        </w:tc>
        <w:tc>
          <w:tcPr>
            <w:tcW w:type="dxa" w:w="3118"/>
          </w:tcPr>
          <w:p>
            <w:pPr>
              <w:jc w:val="left"/>
            </w:pPr>
            <w:r/>
            <w:r>
              <w:rPr>
                <w:rFonts w:ascii="Calibri" w:hAnsi="Calibri"/>
                <w:b w:val="0"/>
                <w:color w:val="1A1A2E"/>
                <w:sz w:val="18"/>
              </w:rPr>
              <w:t>Display 'Stay tuned for upcoming events' or archive past events</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13</w:t>
            </w:r>
          </w:p>
        </w:tc>
        <w:tc>
          <w:tcPr>
            <w:tcW w:type="dxa" w:w="4252"/>
          </w:tcPr>
          <w:p>
            <w:pPr>
              <w:jc w:val="left"/>
            </w:pPr>
            <w:r/>
            <w:r>
              <w:rPr>
                <w:rFonts w:ascii="Calibri" w:hAnsi="Calibri"/>
                <w:b w:val="0"/>
                <w:color w:val="1A1A2E"/>
                <w:sz w:val="18"/>
              </w:rPr>
              <w:t>Search functionality does not lead to appropriate content; needs auto-suggestions</w:t>
            </w:r>
          </w:p>
        </w:tc>
        <w:tc>
          <w:tcPr>
            <w:tcW w:type="dxa" w:w="1417"/>
            <w:shd w:fill="F8D7DA"/>
          </w:tcPr>
          <w:p>
            <w:pPr>
              <w:jc w:val="center"/>
            </w:pPr>
            <w:r/>
            <w:r>
              <w:rPr>
                <w:rFonts w:ascii="Calibri" w:hAnsi="Calibri"/>
                <w:b w:val="0"/>
                <w:color w:val="1A1A2E"/>
                <w:sz w:val="18"/>
              </w:rPr>
              <w:t>Not Fixed</w:t>
            </w:r>
          </w:p>
        </w:tc>
        <w:tc>
          <w:tcPr>
            <w:tcW w:type="dxa" w:w="3118"/>
          </w:tcPr>
          <w:p>
            <w:pPr>
              <w:jc w:val="left"/>
            </w:pPr>
            <w:r/>
            <w:r>
              <w:rPr>
                <w:rFonts w:ascii="Calibri" w:hAnsi="Calibri"/>
                <w:b w:val="0"/>
                <w:color w:val="1A1A2E"/>
                <w:sz w:val="18"/>
              </w:rPr>
              <w:t>Implement search indexing with auto-complete suggestions</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14</w:t>
            </w:r>
          </w:p>
        </w:tc>
        <w:tc>
          <w:tcPr>
            <w:tcW w:type="dxa" w:w="4252"/>
          </w:tcPr>
          <w:p>
            <w:pPr>
              <w:jc w:val="left"/>
            </w:pPr>
            <w:r/>
            <w:r>
              <w:rPr>
                <w:rFonts w:ascii="Calibri" w:hAnsi="Calibri"/>
                <w:b w:val="0"/>
                <w:color w:val="1A1A2E"/>
                <w:sz w:val="18"/>
              </w:rPr>
              <w:t>Blog posts are missing on some pages</w:t>
            </w:r>
          </w:p>
        </w:tc>
        <w:tc>
          <w:tcPr>
            <w:tcW w:type="dxa" w:w="1417"/>
            <w:shd w:fill="FFF3CD"/>
          </w:tcPr>
          <w:p>
            <w:pPr>
              <w:jc w:val="center"/>
            </w:pPr>
            <w:r/>
            <w:r>
              <w:rPr>
                <w:rFonts w:ascii="Calibri" w:hAnsi="Calibri"/>
                <w:b w:val="0"/>
                <w:color w:val="1A1A2E"/>
                <w:sz w:val="18"/>
              </w:rPr>
              <w:t>Needs Implementation</w:t>
            </w:r>
          </w:p>
        </w:tc>
        <w:tc>
          <w:tcPr>
            <w:tcW w:type="dxa" w:w="3118"/>
          </w:tcPr>
          <w:p>
            <w:pPr>
              <w:jc w:val="left"/>
            </w:pPr>
            <w:r/>
            <w:r>
              <w:rPr>
                <w:rFonts w:ascii="Calibri" w:hAnsi="Calibri"/>
                <w:b w:val="0"/>
                <w:color w:val="1A1A2E"/>
                <w:sz w:val="18"/>
              </w:rPr>
              <w:t>Ensure consistent blog feeds across all relevant pages</w:t>
            </w:r>
          </w:p>
        </w:tc>
        <w:tc>
          <w:tcPr>
            <w:tcW w:type="dxa" w:w="454"/>
          </w:tcPr>
          <w:p>
            <w:pPr>
              <w:jc w:val="center"/>
            </w:pPr>
            <w:r/>
            <w:r>
              <w:rPr>
                <w:rFonts w:ascii="Calibri" w:hAnsi="Calibri"/>
                <w:b w:val="0"/>
                <w:color w:val="1A1A2E"/>
                <w:sz w:val="18"/>
              </w:rPr>
              <w:t>🟡</w:t>
            </w:r>
          </w:p>
        </w:tc>
      </w:tr>
      <w:tr>
        <w:tc>
          <w:tcPr>
            <w:tcW w:type="dxa" w:w="454"/>
          </w:tcPr>
          <w:p>
            <w:pPr>
              <w:jc w:val="center"/>
            </w:pPr>
            <w:r/>
            <w:r>
              <w:rPr>
                <w:rFonts w:ascii="Calibri" w:hAnsi="Calibri"/>
                <w:b w:val="0"/>
                <w:color w:val="1A1A2E"/>
                <w:sz w:val="16"/>
              </w:rPr>
              <w:t>15</w:t>
            </w:r>
          </w:p>
        </w:tc>
        <w:tc>
          <w:tcPr>
            <w:tcW w:type="dxa" w:w="4252"/>
          </w:tcPr>
          <w:p>
            <w:pPr>
              <w:jc w:val="left"/>
            </w:pPr>
            <w:r/>
            <w:r>
              <w:rPr>
                <w:rFonts w:ascii="Calibri" w:hAnsi="Calibri"/>
                <w:b w:val="0"/>
                <w:color w:val="1A1A2E"/>
                <w:sz w:val="18"/>
              </w:rPr>
              <w:t>Images are missing on Contact Us page</w:t>
            </w:r>
          </w:p>
        </w:tc>
        <w:tc>
          <w:tcPr>
            <w:tcW w:type="dxa" w:w="1417"/>
            <w:shd w:fill="FFF3CD"/>
          </w:tcPr>
          <w:p>
            <w:pPr>
              <w:jc w:val="center"/>
            </w:pPr>
            <w:r/>
            <w:r>
              <w:rPr>
                <w:rFonts w:ascii="Calibri" w:hAnsi="Calibri"/>
                <w:b w:val="0"/>
                <w:color w:val="1A1A2E"/>
                <w:sz w:val="18"/>
              </w:rPr>
              <w:t>Needs Implementation</w:t>
            </w:r>
          </w:p>
        </w:tc>
        <w:tc>
          <w:tcPr>
            <w:tcW w:type="dxa" w:w="3118"/>
          </w:tcPr>
          <w:p>
            <w:pPr>
              <w:jc w:val="left"/>
            </w:pPr>
            <w:r/>
            <w:r>
              <w:rPr>
                <w:rFonts w:ascii="Calibri" w:hAnsi="Calibri"/>
                <w:b w:val="0"/>
                <w:color w:val="1A1A2E"/>
                <w:sz w:val="18"/>
              </w:rPr>
              <w:t>Add office images or map embeds to Contact page</w:t>
            </w:r>
          </w:p>
        </w:tc>
        <w:tc>
          <w:tcPr>
            <w:tcW w:type="dxa" w:w="454"/>
          </w:tcPr>
          <w:p>
            <w:pPr>
              <w:jc w:val="center"/>
            </w:pPr>
            <w:r/>
            <w:r>
              <w:rPr>
                <w:rFonts w:ascii="Calibri" w:hAnsi="Calibri"/>
                <w:b w:val="0"/>
                <w:color w:val="1A1A2E"/>
                <w:sz w:val="18"/>
              </w:rPr>
              <w:t>🟡</w:t>
            </w:r>
          </w:p>
        </w:tc>
      </w:tr>
    </w:tbl>
    <w:p/>
    <w:p>
      <w:pPr>
        <w:pStyle w:val="Heading1"/>
      </w:pPr>
      <w:r>
        <w:t>3. Previously Suggested Improvements</w:t>
      </w:r>
    </w:p>
    <w:p>
      <w:r>
        <w:t>In addition to the bugs above, several improvement suggestions were made during the earlier review. Below is the current status of those suggestions.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54"/>
            <w:shd w:fill="134A4A"/>
          </w:tcPr>
          <w:p>
            <w:pPr>
              <w:jc w:val="center"/>
            </w:pPr>
            <w:r>
              <w:rPr>
                <w:b/>
                <w:color w:val="FFFFFF"/>
                <w:sz w:val="18"/>
              </w:rPr>
            </w:r>
            <w:r>
              <w:rPr>
                <w:rFonts w:ascii="Calibri" w:hAnsi="Calibri"/>
                <w:b/>
                <w:color w:val="FFFFFF"/>
                <w:sz w:val="18"/>
              </w:rPr>
              <w:t>#</w:t>
            </w:r>
          </w:p>
        </w:tc>
        <w:tc>
          <w:tcPr>
            <w:tcW w:type="dxa" w:w="3402"/>
            <w:shd w:fill="134A4A"/>
          </w:tcPr>
          <w:p>
            <w:pPr>
              <w:jc w:val="center"/>
            </w:pPr>
            <w:r>
              <w:rPr>
                <w:b/>
                <w:color w:val="FFFFFF"/>
                <w:sz w:val="18"/>
              </w:rPr>
            </w:r>
            <w:r>
              <w:rPr>
                <w:rFonts w:ascii="Calibri" w:hAnsi="Calibri"/>
                <w:b/>
                <w:color w:val="FFFFFF"/>
                <w:sz w:val="18"/>
              </w:rPr>
              <w:t>Suggestion</w:t>
            </w:r>
          </w:p>
        </w:tc>
        <w:tc>
          <w:tcPr>
            <w:tcW w:type="dxa" w:w="1417"/>
            <w:shd w:fill="134A4A"/>
          </w:tcPr>
          <w:p>
            <w:pPr>
              <w:jc w:val="center"/>
            </w:pPr>
            <w:r>
              <w:rPr>
                <w:b/>
                <w:color w:val="FFFFFF"/>
                <w:sz w:val="18"/>
              </w:rPr>
            </w:r>
            <w:r>
              <w:rPr>
                <w:rFonts w:ascii="Calibri" w:hAnsi="Calibri"/>
                <w:b/>
                <w:color w:val="FFFFFF"/>
                <w:sz w:val="18"/>
              </w:rPr>
              <w:t>Response</w:t>
            </w:r>
          </w:p>
        </w:tc>
        <w:tc>
          <w:tcPr>
            <w:tcW w:type="dxa" w:w="3969"/>
            <w:shd w:fill="134A4A"/>
          </w:tcPr>
          <w:p>
            <w:pPr>
              <w:jc w:val="center"/>
            </w:pPr>
            <w:r>
              <w:rPr>
                <w:b/>
                <w:color w:val="FFFFFF"/>
                <w:sz w:val="18"/>
              </w:rPr>
            </w:r>
            <w:r>
              <w:rPr>
                <w:rFonts w:ascii="Calibri" w:hAnsi="Calibri"/>
                <w:b/>
                <w:color w:val="FFFFFF"/>
                <w:sz w:val="18"/>
              </w:rPr>
              <w:t>Recommended Action</w:t>
            </w:r>
          </w:p>
        </w:tc>
      </w:tr>
      <w:tr>
        <w:tc>
          <w:tcPr>
            <w:tcW w:type="dxa" w:w="454"/>
          </w:tcPr>
          <w:p>
            <w:pPr>
              <w:jc w:val="center"/>
            </w:pPr>
            <w:r/>
            <w:r>
              <w:rPr>
                <w:rFonts w:ascii="Calibri" w:hAnsi="Calibri"/>
                <w:b w:val="0"/>
                <w:color w:val="1A1A2E"/>
                <w:sz w:val="16"/>
              </w:rPr>
              <w:t>1</w:t>
            </w:r>
          </w:p>
        </w:tc>
        <w:tc>
          <w:tcPr>
            <w:tcW w:type="dxa" w:w="3402"/>
          </w:tcPr>
          <w:p>
            <w:pPr>
              <w:jc w:val="left"/>
            </w:pPr>
            <w:r/>
            <w:r>
              <w:rPr>
                <w:rFonts w:ascii="Calibri" w:hAnsi="Calibri"/>
                <w:b w:val="0"/>
                <w:color w:val="1A1A2E"/>
                <w:sz w:val="18"/>
              </w:rPr>
              <w:t>Adding a chatbot to the UI for more interactive engagement</w:t>
            </w:r>
          </w:p>
        </w:tc>
        <w:tc>
          <w:tcPr>
            <w:tcW w:type="dxa" w:w="1417"/>
            <w:shd w:fill="D1E7DD"/>
          </w:tcPr>
          <w:p>
            <w:pPr>
              <w:jc w:val="center"/>
            </w:pPr>
            <w:r/>
            <w:r>
              <w:rPr>
                <w:rFonts w:ascii="Calibri" w:hAnsi="Calibri"/>
                <w:b w:val="0"/>
                <w:color w:val="1A1A2E"/>
                <w:sz w:val="18"/>
              </w:rPr>
              <w:t>Accepted</w:t>
            </w:r>
          </w:p>
        </w:tc>
        <w:tc>
          <w:tcPr>
            <w:tcW w:type="dxa" w:w="3969"/>
          </w:tcPr>
          <w:p>
            <w:pPr>
              <w:jc w:val="left"/>
            </w:pPr>
            <w:r/>
            <w:r>
              <w:rPr>
                <w:rFonts w:ascii="Calibri" w:hAnsi="Calibri"/>
                <w:b w:val="0"/>
                <w:color w:val="1A1A2E"/>
                <w:sz w:val="18"/>
              </w:rPr>
              <w:t>Consider lightweight chatbot integration (e.g., Drift, Tidio, or custom widget)</w:t>
            </w:r>
          </w:p>
        </w:tc>
      </w:tr>
      <w:tr>
        <w:tc>
          <w:tcPr>
            <w:tcW w:type="dxa" w:w="454"/>
          </w:tcPr>
          <w:p>
            <w:pPr>
              <w:jc w:val="center"/>
            </w:pPr>
            <w:r/>
            <w:r>
              <w:rPr>
                <w:rFonts w:ascii="Calibri" w:hAnsi="Calibri"/>
                <w:b w:val="0"/>
                <w:color w:val="1A1A2E"/>
                <w:sz w:val="16"/>
              </w:rPr>
              <w:t>2</w:t>
            </w:r>
          </w:p>
        </w:tc>
        <w:tc>
          <w:tcPr>
            <w:tcW w:type="dxa" w:w="3402"/>
          </w:tcPr>
          <w:p>
            <w:pPr>
              <w:jc w:val="left"/>
            </w:pPr>
            <w:r/>
            <w:r>
              <w:rPr>
                <w:rFonts w:ascii="Calibri" w:hAnsi="Calibri"/>
                <w:b w:val="0"/>
                <w:color w:val="1A1A2E"/>
                <w:sz w:val="18"/>
              </w:rPr>
              <w:t>Remove 2-line descriptions in Artha Advantage dropdown menu</w:t>
            </w:r>
          </w:p>
        </w:tc>
        <w:tc>
          <w:tcPr>
            <w:tcW w:type="dxa" w:w="1417"/>
            <w:shd w:fill="E2E3E5"/>
          </w:tcPr>
          <w:p>
            <w:pPr>
              <w:jc w:val="center"/>
            </w:pPr>
            <w:r/>
            <w:r>
              <w:rPr>
                <w:rFonts w:ascii="Calibri" w:hAnsi="Calibri"/>
                <w:b w:val="0"/>
                <w:color w:val="1A1A2E"/>
                <w:sz w:val="18"/>
              </w:rPr>
              <w:t>Not Accepted</w:t>
            </w:r>
          </w:p>
        </w:tc>
        <w:tc>
          <w:tcPr>
            <w:tcW w:type="dxa" w:w="3969"/>
          </w:tcPr>
          <w:p>
            <w:pPr>
              <w:jc w:val="left"/>
            </w:pPr>
            <w:r/>
            <w:r>
              <w:rPr>
                <w:rFonts w:ascii="Calibri" w:hAnsi="Calibri"/>
                <w:b w:val="0"/>
                <w:color w:val="1A1A2E"/>
                <w:sz w:val="18"/>
              </w:rPr>
              <w:t>No action required — decision to retain current format</w:t>
            </w:r>
          </w:p>
        </w:tc>
      </w:tr>
      <w:tr>
        <w:tc>
          <w:tcPr>
            <w:tcW w:type="dxa" w:w="454"/>
          </w:tcPr>
          <w:p>
            <w:pPr>
              <w:jc w:val="center"/>
            </w:pPr>
            <w:r/>
            <w:r>
              <w:rPr>
                <w:rFonts w:ascii="Calibri" w:hAnsi="Calibri"/>
                <w:b w:val="0"/>
                <w:color w:val="1A1A2E"/>
                <w:sz w:val="16"/>
              </w:rPr>
              <w:t>3</w:t>
            </w:r>
          </w:p>
        </w:tc>
        <w:tc>
          <w:tcPr>
            <w:tcW w:type="dxa" w:w="3402"/>
          </w:tcPr>
          <w:p>
            <w:pPr>
              <w:jc w:val="left"/>
            </w:pPr>
            <w:r/>
            <w:r>
              <w:rPr>
                <w:rFonts w:ascii="Calibri" w:hAnsi="Calibri"/>
                <w:b w:val="0"/>
                <w:color w:val="1A1A2E"/>
                <w:sz w:val="18"/>
              </w:rPr>
              <w:t>Success stories should be in a separate page/section, not in Resources</w:t>
            </w:r>
          </w:p>
        </w:tc>
        <w:tc>
          <w:tcPr>
            <w:tcW w:type="dxa" w:w="1417"/>
            <w:shd w:fill="FFF3CD"/>
          </w:tcPr>
          <w:p>
            <w:pPr>
              <w:jc w:val="center"/>
            </w:pPr>
            <w:r/>
            <w:r>
              <w:rPr>
                <w:rFonts w:ascii="Calibri" w:hAnsi="Calibri"/>
                <w:b w:val="0"/>
                <w:color w:val="1A1A2E"/>
                <w:sz w:val="18"/>
              </w:rPr>
              <w:t>Under Review</w:t>
            </w:r>
          </w:p>
        </w:tc>
        <w:tc>
          <w:tcPr>
            <w:tcW w:type="dxa" w:w="3969"/>
          </w:tcPr>
          <w:p>
            <w:pPr>
              <w:jc w:val="left"/>
            </w:pPr>
            <w:r/>
            <w:r>
              <w:rPr>
                <w:rFonts w:ascii="Calibri" w:hAnsi="Calibri"/>
                <w:b w:val="0"/>
                <w:color w:val="1A1A2E"/>
                <w:sz w:val="18"/>
              </w:rPr>
              <w:t>Consider creating a dedicated 'Case Studies' page for better content organization</w:t>
            </w:r>
          </w:p>
        </w:tc>
      </w:tr>
      <w:tr>
        <w:tc>
          <w:tcPr>
            <w:tcW w:type="dxa" w:w="454"/>
          </w:tcPr>
          <w:p>
            <w:pPr>
              <w:jc w:val="center"/>
            </w:pPr>
            <w:r/>
            <w:r>
              <w:rPr>
                <w:rFonts w:ascii="Calibri" w:hAnsi="Calibri"/>
                <w:b w:val="0"/>
                <w:color w:val="1A1A2E"/>
                <w:sz w:val="16"/>
              </w:rPr>
              <w:t>4</w:t>
            </w:r>
          </w:p>
        </w:tc>
        <w:tc>
          <w:tcPr>
            <w:tcW w:type="dxa" w:w="3402"/>
          </w:tcPr>
          <w:p>
            <w:pPr>
              <w:jc w:val="left"/>
            </w:pPr>
            <w:r/>
            <w:r>
              <w:rPr>
                <w:rFonts w:ascii="Calibri" w:hAnsi="Calibri"/>
                <w:b w:val="0"/>
                <w:color w:val="1A1A2E"/>
                <w:sz w:val="18"/>
              </w:rPr>
              <w:t>Spelling corrections across the site</w:t>
            </w:r>
          </w:p>
        </w:tc>
        <w:tc>
          <w:tcPr>
            <w:tcW w:type="dxa" w:w="1417"/>
            <w:shd w:fill="D1E7DD"/>
          </w:tcPr>
          <w:p>
            <w:pPr>
              <w:jc w:val="center"/>
            </w:pPr>
            <w:r/>
            <w:r>
              <w:rPr>
                <w:rFonts w:ascii="Calibri" w:hAnsi="Calibri"/>
                <w:b w:val="0"/>
                <w:color w:val="1A1A2E"/>
                <w:sz w:val="18"/>
              </w:rPr>
              <w:t>Accepted</w:t>
            </w:r>
          </w:p>
        </w:tc>
        <w:tc>
          <w:tcPr>
            <w:tcW w:type="dxa" w:w="3969"/>
          </w:tcPr>
          <w:p>
            <w:pPr>
              <w:jc w:val="left"/>
            </w:pPr>
            <w:r/>
            <w:r>
              <w:rPr>
                <w:rFonts w:ascii="Calibri" w:hAnsi="Calibri"/>
                <w:b w:val="0"/>
                <w:color w:val="1A1A2E"/>
                <w:sz w:val="18"/>
              </w:rPr>
              <w:t>Several spelling issues remain (see Section 4 for details)</w:t>
            </w:r>
          </w:p>
        </w:tc>
      </w:tr>
      <w:tr>
        <w:tc>
          <w:tcPr>
            <w:tcW w:type="dxa" w:w="454"/>
          </w:tcPr>
          <w:p>
            <w:pPr>
              <w:jc w:val="center"/>
            </w:pPr>
            <w:r/>
            <w:r>
              <w:rPr>
                <w:rFonts w:ascii="Calibri" w:hAnsi="Calibri"/>
                <w:b w:val="0"/>
                <w:color w:val="1A1A2E"/>
                <w:sz w:val="16"/>
              </w:rPr>
              <w:t>5</w:t>
            </w:r>
          </w:p>
        </w:tc>
        <w:tc>
          <w:tcPr>
            <w:tcW w:type="dxa" w:w="3402"/>
          </w:tcPr>
          <w:p>
            <w:pPr>
              <w:jc w:val="left"/>
            </w:pPr>
            <w:r/>
            <w:r>
              <w:rPr>
                <w:rFonts w:ascii="Calibri" w:hAnsi="Calibri"/>
                <w:b w:val="0"/>
                <w:color w:val="1A1A2E"/>
                <w:sz w:val="18"/>
              </w:rPr>
              <w:t>B'etl is repeated in Artha Advantage section — one should be removed</w:t>
            </w:r>
          </w:p>
        </w:tc>
        <w:tc>
          <w:tcPr>
            <w:tcW w:type="dxa" w:w="1417"/>
            <w:shd w:fill="D1E7DD"/>
          </w:tcPr>
          <w:p>
            <w:pPr>
              <w:jc w:val="center"/>
            </w:pPr>
            <w:r/>
            <w:r>
              <w:rPr>
                <w:rFonts w:ascii="Calibri" w:hAnsi="Calibri"/>
                <w:b w:val="0"/>
                <w:color w:val="1A1A2E"/>
                <w:sz w:val="18"/>
              </w:rPr>
              <w:t>Accepted</w:t>
            </w:r>
          </w:p>
        </w:tc>
        <w:tc>
          <w:tcPr>
            <w:tcW w:type="dxa" w:w="3969"/>
          </w:tcPr>
          <w:p>
            <w:pPr>
              <w:jc w:val="left"/>
            </w:pPr>
            <w:r/>
            <w:r>
              <w:rPr>
                <w:rFonts w:ascii="Calibri" w:hAnsi="Calibri"/>
                <w:b w:val="0"/>
                <w:color w:val="1A1A2E"/>
                <w:sz w:val="18"/>
              </w:rPr>
              <w:t>Please verify this has been fully resolved</w:t>
            </w:r>
          </w:p>
        </w:tc>
      </w:tr>
      <w:tr>
        <w:tc>
          <w:tcPr>
            <w:tcW w:type="dxa" w:w="454"/>
          </w:tcPr>
          <w:p>
            <w:pPr>
              <w:jc w:val="center"/>
            </w:pPr>
            <w:r/>
            <w:r>
              <w:rPr>
                <w:rFonts w:ascii="Calibri" w:hAnsi="Calibri"/>
                <w:b w:val="0"/>
                <w:color w:val="1A1A2E"/>
                <w:sz w:val="16"/>
              </w:rPr>
              <w:t>6</w:t>
            </w:r>
          </w:p>
        </w:tc>
        <w:tc>
          <w:tcPr>
            <w:tcW w:type="dxa" w:w="3402"/>
          </w:tcPr>
          <w:p>
            <w:pPr>
              <w:jc w:val="left"/>
            </w:pPr>
            <w:r/>
            <w:r>
              <w:rPr>
                <w:rFonts w:ascii="Calibri" w:hAnsi="Calibri"/>
                <w:b w:val="0"/>
                <w:color w:val="1A1A2E"/>
                <w:sz w:val="18"/>
              </w:rPr>
              <w:t>In events, datetime commands should be used instead of headers (H6 tags)</w:t>
            </w:r>
          </w:p>
        </w:tc>
        <w:tc>
          <w:tcPr>
            <w:tcW w:type="dxa" w:w="1417"/>
            <w:shd w:fill="D1E7DD"/>
          </w:tcPr>
          <w:p>
            <w:pPr>
              <w:jc w:val="center"/>
            </w:pPr>
            <w:r/>
            <w:r>
              <w:rPr>
                <w:rFonts w:ascii="Calibri" w:hAnsi="Calibri"/>
                <w:b w:val="0"/>
                <w:color w:val="1A1A2E"/>
                <w:sz w:val="18"/>
              </w:rPr>
              <w:t>Accepted</w:t>
            </w:r>
          </w:p>
        </w:tc>
        <w:tc>
          <w:tcPr>
            <w:tcW w:type="dxa" w:w="3969"/>
          </w:tcPr>
          <w:p>
            <w:pPr>
              <w:jc w:val="left"/>
            </w:pPr>
            <w:r/>
            <w:r>
              <w:rPr>
                <w:rFonts w:ascii="Calibri" w:hAnsi="Calibri"/>
                <w:b w:val="0"/>
                <w:color w:val="1A1A2E"/>
                <w:sz w:val="18"/>
              </w:rPr>
              <w:t>Use semantic &lt;time&gt; elements instead of heading tags for event dates</w:t>
            </w:r>
          </w:p>
        </w:tc>
      </w:tr>
    </w:tbl>
    <w:p/>
    <w:p>
      <w:r>
        <w:br w:type="page"/>
      </w:r>
    </w:p>
    <w:p>
      <w:pPr>
        <w:pStyle w:val="Heading1"/>
      </w:pPr>
      <w:r>
        <w:t>4. New Findings — Content &amp; Text Quality</w:t>
      </w:r>
    </w:p>
    <w:p>
      <w:r>
        <w:t>During our latest review, we identified several content-quality issues across the website. These are organized below by type for clarity.</w:t>
      </w:r>
    </w:p>
    <w:p>
      <w:pPr>
        <w:pStyle w:val="Heading2"/>
      </w:pPr>
      <w:r>
        <w:t>4.1 Duplicate / Repeating Text</w:t>
      </w:r>
    </w:p>
    <w:p>
      <w:r>
        <w:t>We noticed that certain text blocks appear multiple times on the same page. This may be caused by duplicated Elementor widget rows. Resolving these will improve the reading experience and page length.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0"/>
            <w:shd w:fill="134A4A"/>
          </w:tcPr>
          <w:p>
            <w:pPr>
              <w:jc w:val="center"/>
            </w:pPr>
            <w:r>
              <w:rPr>
                <w:b/>
                <w:color w:val="FFFFFF"/>
                <w:sz w:val="18"/>
              </w:rPr>
            </w:r>
            <w:r>
              <w:rPr>
                <w:rFonts w:ascii="Calibri" w:hAnsi="Calibri"/>
                <w:b/>
                <w:color w:val="FFFFFF"/>
                <w:sz w:val="18"/>
              </w:rPr>
              <w:t>#</w:t>
            </w:r>
          </w:p>
        </w:tc>
        <w:tc>
          <w:tcPr>
            <w:tcW w:type="dxa" w:w="3685"/>
            <w:shd w:fill="134A4A"/>
          </w:tcPr>
          <w:p>
            <w:pPr>
              <w:jc w:val="center"/>
            </w:pPr>
            <w:r>
              <w:rPr>
                <w:b/>
                <w:color w:val="FFFFFF"/>
                <w:sz w:val="18"/>
              </w:rPr>
            </w:r>
            <w:r>
              <w:rPr>
                <w:rFonts w:ascii="Calibri" w:hAnsi="Calibri"/>
                <w:b/>
                <w:color w:val="FFFFFF"/>
                <w:sz w:val="18"/>
              </w:rPr>
              <w:t>Location &amp; Description</w:t>
            </w:r>
          </w:p>
        </w:tc>
        <w:tc>
          <w:tcPr>
            <w:tcW w:type="dxa" w:w="850"/>
            <w:shd w:fill="134A4A"/>
          </w:tcPr>
          <w:p>
            <w:pPr>
              <w:jc w:val="center"/>
            </w:pPr>
            <w:r>
              <w:rPr>
                <w:b/>
                <w:color w:val="FFFFFF"/>
                <w:sz w:val="18"/>
              </w:rPr>
            </w:r>
            <w:r>
              <w:rPr>
                <w:rFonts w:ascii="Calibri" w:hAnsi="Calibri"/>
                <w:b/>
                <w:color w:val="FFFFFF"/>
                <w:sz w:val="18"/>
              </w:rPr>
              <w:t>Priority</w:t>
            </w:r>
          </w:p>
        </w:tc>
        <w:tc>
          <w:tcPr>
            <w:tcW w:type="dxa" w:w="3685"/>
            <w:shd w:fill="134A4A"/>
          </w:tcPr>
          <w:p>
            <w:pPr>
              <w:jc w:val="center"/>
            </w:pPr>
            <w:r>
              <w:rPr>
                <w:b/>
                <w:color w:val="FFFFFF"/>
                <w:sz w:val="18"/>
              </w:rPr>
            </w:r>
            <w:r>
              <w:rPr>
                <w:rFonts w:ascii="Calibri" w:hAnsi="Calibri"/>
                <w:b/>
                <w:color w:val="FFFFFF"/>
                <w:sz w:val="18"/>
              </w:rPr>
              <w:t>Recommended Fix</w:t>
            </w:r>
          </w:p>
        </w:tc>
        <w:tc>
          <w:tcPr>
            <w:tcW w:type="dxa" w:w="850"/>
            <w:shd w:fill="134A4A"/>
          </w:tcPr>
          <w:p>
            <w:pPr>
              <w:jc w:val="center"/>
            </w:pPr>
            <w:r>
              <w:rPr>
                <w:b/>
                <w:color w:val="FFFFFF"/>
                <w:sz w:val="18"/>
              </w:rPr>
            </w:r>
            <w:r>
              <w:rPr>
                <w:rFonts w:ascii="Calibri" w:hAnsi="Calibri"/>
                <w:b/>
                <w:color w:val="FFFFFF"/>
                <w:sz w:val="18"/>
              </w:rPr>
              <w:t>Status</w:t>
            </w:r>
          </w:p>
        </w:tc>
      </w:tr>
      <w:tr>
        <w:tc>
          <w:tcPr>
            <w:tcW w:type="dxa" w:w="340"/>
          </w:tcPr>
          <w:p>
            <w:pPr>
              <w:jc w:val="center"/>
            </w:pPr>
            <w:r/>
            <w:r>
              <w:rPr>
                <w:rFonts w:ascii="Calibri" w:hAnsi="Calibri"/>
                <w:b w:val="0"/>
                <w:color w:val="1A1A2E"/>
                <w:sz w:val="16"/>
              </w:rPr>
              <w:t>1</w:t>
            </w:r>
          </w:p>
        </w:tc>
        <w:tc>
          <w:tcPr>
            <w:tcW w:type="dxa" w:w="3685"/>
          </w:tcPr>
          <w:p>
            <w:r/>
            <w:r>
              <w:rPr>
                <w:rFonts w:ascii="Calibri" w:hAnsi="Calibri"/>
                <w:b/>
                <w:color w:val="0A5E5E"/>
                <w:sz w:val="18"/>
              </w:rPr>
              <w:t>Homepage — 'Our Services &amp; Solutions' Tabs</w:t>
              <w:br/>
            </w:r>
            <w:r>
              <w:rPr>
                <w:rFonts w:ascii="Calibri" w:hAnsi="Calibri"/>
                <w:color w:val="1A1A2E"/>
                <w:sz w:val="16"/>
              </w:rPr>
              <w:t>All five tabs (Quality, Integrity &amp; Trust / Analyze, Automate &amp; Accelerate / Artha Advantage for SAP / One Platform / Redefining Data Governance) contain bullet lists that are repeated twice — the same list appears back-to-back within each tab.</w:t>
            </w:r>
          </w:p>
        </w:tc>
        <w:tc>
          <w:tcPr>
            <w:tcW w:type="dxa" w:w="850"/>
            <w:shd w:fill="F8D7DA"/>
          </w:tcPr>
          <w:p>
            <w:pPr>
              <w:jc w:val="center"/>
            </w:pPr>
            <w:r/>
            <w:r>
              <w:rPr>
                <w:rFonts w:ascii="Calibri" w:hAnsi="Calibri"/>
                <w:b/>
                <w:color w:val="1A1A2E"/>
                <w:sz w:val="16"/>
              </w:rPr>
              <w:t>Critical</w:t>
            </w:r>
          </w:p>
        </w:tc>
        <w:tc>
          <w:tcPr>
            <w:tcW w:type="dxa" w:w="3685"/>
          </w:tcPr>
          <w:p>
            <w:pPr>
              <w:jc w:val="left"/>
            </w:pPr>
            <w:r/>
            <w:r>
              <w:rPr>
                <w:rFonts w:ascii="Calibri" w:hAnsi="Calibri"/>
                <w:b w:val="0"/>
                <w:color w:val="1A1A2E"/>
                <w:sz w:val="16"/>
              </w:rPr>
              <w:t>Remove the duplicate Elementor widget (or duplicate inner section) in each tab. Each tab should show its bullet list only once.</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2</w:t>
            </w:r>
          </w:p>
        </w:tc>
        <w:tc>
          <w:tcPr>
            <w:tcW w:type="dxa" w:w="3685"/>
          </w:tcPr>
          <w:p>
            <w:r/>
            <w:r>
              <w:rPr>
                <w:rFonts w:ascii="Calibri" w:hAnsi="Calibri"/>
                <w:b/>
                <w:color w:val="0A5E5E"/>
                <w:sz w:val="18"/>
              </w:rPr>
              <w:t>Homepage — Resources Section</w:t>
              <w:br/>
            </w:r>
            <w:r>
              <w:rPr>
                <w:rFonts w:ascii="Calibri" w:hAnsi="Calibri"/>
                <w:color w:val="1A1A2E"/>
                <w:sz w:val="16"/>
              </w:rPr>
              <w:t>The white paper cards ('AI and Data Modernization' and 'Future-Ready Data Foundation') each appear twice with identical text, images, and download links.</w:t>
            </w:r>
          </w:p>
        </w:tc>
        <w:tc>
          <w:tcPr>
            <w:tcW w:type="dxa" w:w="850"/>
            <w:shd w:fill="F8D7DA"/>
          </w:tcPr>
          <w:p>
            <w:pPr>
              <w:jc w:val="center"/>
            </w:pPr>
            <w:r/>
            <w:r>
              <w:rPr>
                <w:rFonts w:ascii="Calibri" w:hAnsi="Calibri"/>
                <w:b/>
                <w:color w:val="1A1A2E"/>
                <w:sz w:val="16"/>
              </w:rPr>
              <w:t>Critical</w:t>
            </w:r>
          </w:p>
        </w:tc>
        <w:tc>
          <w:tcPr>
            <w:tcW w:type="dxa" w:w="3685"/>
          </w:tcPr>
          <w:p>
            <w:pPr>
              <w:jc w:val="left"/>
            </w:pPr>
            <w:r/>
            <w:r>
              <w:rPr>
                <w:rFonts w:ascii="Calibri" w:hAnsi="Calibri"/>
                <w:b w:val="0"/>
                <w:color w:val="1A1A2E"/>
                <w:sz w:val="16"/>
              </w:rPr>
              <w:t>Remove the duplicate resource card widgets so each card appears only once.</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3</w:t>
            </w:r>
          </w:p>
        </w:tc>
        <w:tc>
          <w:tcPr>
            <w:tcW w:type="dxa" w:w="3685"/>
          </w:tcPr>
          <w:p>
            <w:r/>
            <w:r>
              <w:rPr>
                <w:rFonts w:ascii="Calibri" w:hAnsi="Calibri"/>
                <w:b/>
                <w:color w:val="0A5E5E"/>
                <w:sz w:val="18"/>
              </w:rPr>
              <w:t>Homepage — Case Study Link Mismatch</w:t>
              <w:br/>
            </w:r>
            <w:r>
              <w:rPr>
                <w:rFonts w:ascii="Calibri" w:hAnsi="Calibri"/>
                <w:color w:val="1A1A2E"/>
                <w:sz w:val="16"/>
              </w:rPr>
              <w:t>The 'Accelerating Digital Transformation for Seamless Partner and Customer Operations' card has a 'Download Now!' link that points to a completely different case study (healthcare risk adjustment).</w:t>
            </w:r>
          </w:p>
        </w:tc>
        <w:tc>
          <w:tcPr>
            <w:tcW w:type="dxa" w:w="850"/>
            <w:shd w:fill="F8D7DA"/>
          </w:tcPr>
          <w:p>
            <w:pPr>
              <w:jc w:val="center"/>
            </w:pPr>
            <w:r/>
            <w:r>
              <w:rPr>
                <w:rFonts w:ascii="Calibri" w:hAnsi="Calibri"/>
                <w:b/>
                <w:color w:val="1A1A2E"/>
                <w:sz w:val="16"/>
              </w:rPr>
              <w:t>Critical</w:t>
            </w:r>
          </w:p>
        </w:tc>
        <w:tc>
          <w:tcPr>
            <w:tcW w:type="dxa" w:w="3685"/>
          </w:tcPr>
          <w:p>
            <w:pPr>
              <w:jc w:val="left"/>
            </w:pPr>
            <w:r/>
            <w:r>
              <w:rPr>
                <w:rFonts w:ascii="Calibri" w:hAnsi="Calibri"/>
                <w:b w:val="0"/>
                <w:color w:val="1A1A2E"/>
                <w:sz w:val="16"/>
              </w:rPr>
              <w:t>Update the link URL to point to the correct case study, or replace the card with the intended content.</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4</w:t>
            </w:r>
          </w:p>
        </w:tc>
        <w:tc>
          <w:tcPr>
            <w:tcW w:type="dxa" w:w="3685"/>
          </w:tcPr>
          <w:p>
            <w:r/>
            <w:r>
              <w:rPr>
                <w:rFonts w:ascii="Calibri" w:hAnsi="Calibri"/>
                <w:b/>
                <w:color w:val="0A5E5E"/>
                <w:sz w:val="18"/>
              </w:rPr>
              <w:t>SAP Page — Identical Heading × 4</w:t>
              <w:br/>
            </w:r>
            <w:r>
              <w:rPr>
                <w:rFonts w:ascii="Calibri" w:hAnsi="Calibri"/>
                <w:color w:val="1A1A2E"/>
                <w:sz w:val="16"/>
              </w:rPr>
              <w:t>The heading 'SAP Data Servcies powered by Artha Advantage' appears four times at the top of the page. Each section describes a different phase (before, during, testing, after migration) but uses the same heading.</w:t>
            </w:r>
          </w:p>
        </w:tc>
        <w:tc>
          <w:tcPr>
            <w:tcW w:type="dxa" w:w="850"/>
            <w:shd w:fill="FFF3CD"/>
          </w:tcPr>
          <w:p>
            <w:pPr>
              <w:jc w:val="center"/>
            </w:pPr>
            <w:r/>
            <w:r>
              <w:rPr>
                <w:rFonts w:ascii="Calibri" w:hAnsi="Calibri"/>
                <w:b/>
                <w:color w:val="1A1A2E"/>
                <w:sz w:val="16"/>
              </w:rPr>
              <w:t>High</w:t>
            </w:r>
          </w:p>
        </w:tc>
        <w:tc>
          <w:tcPr>
            <w:tcW w:type="dxa" w:w="3685"/>
          </w:tcPr>
          <w:p>
            <w:pPr>
              <w:jc w:val="left"/>
            </w:pPr>
            <w:r/>
            <w:r>
              <w:rPr>
                <w:rFonts w:ascii="Calibri" w:hAnsi="Calibri"/>
                <w:b w:val="0"/>
                <w:color w:val="1A1A2E"/>
                <w:sz w:val="16"/>
              </w:rPr>
              <w:t>Give each section a unique, descriptive heading (e.g., 'Pre-Migration Data Cleansing', 'Migration Integration', 'Test Data Management', 'Post-Migration Replication').</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5</w:t>
            </w:r>
          </w:p>
        </w:tc>
        <w:tc>
          <w:tcPr>
            <w:tcW w:type="dxa" w:w="3685"/>
          </w:tcPr>
          <w:p>
            <w:r/>
            <w:r>
              <w:rPr>
                <w:rFonts w:ascii="Calibri" w:hAnsi="Calibri"/>
                <w:b/>
                <w:color w:val="0A5E5E"/>
                <w:sz w:val="18"/>
              </w:rPr>
              <w:t>Multiple Pages — Same Testimonial</w:t>
              <w:br/>
            </w:r>
            <w:r>
              <w:rPr>
                <w:rFonts w:ascii="Calibri" w:hAnsi="Calibri"/>
                <w:color w:val="1A1A2E"/>
                <w:sz w:val="16"/>
              </w:rPr>
              <w:t>The Steve Brennan testimonial ('Cleansing and consolidating consumer data…') appears identically on the Homepage, Artha Advantage, Data Governance, Manufacturing, Cloud, Managed Services, and other pages.</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Rotate testimonials per page — assign the most relevant client quote to each service/industry page for a more authentic feel.</w:t>
            </w:r>
          </w:p>
        </w:tc>
        <w:tc>
          <w:tcPr>
            <w:tcW w:type="dxa" w:w="850"/>
          </w:tcPr>
          <w:p>
            <w:pPr>
              <w:jc w:val="center"/>
            </w:pPr>
            <w:r/>
            <w:r>
              <w:rPr>
                <w:rFonts w:ascii="Calibri" w:hAnsi="Calibri"/>
                <w:b w:val="0"/>
                <w:color w:val="1A1A2E"/>
                <w:sz w:val="16"/>
              </w:rPr>
              <w:t>Open</w:t>
            </w:r>
          </w:p>
        </w:tc>
      </w:tr>
    </w:tbl>
    <w:p/>
    <w:p>
      <w:pPr>
        <w:pStyle w:val="Heading2"/>
      </w:pPr>
      <w:r>
        <w:t>4.2 Spelling &amp; Grammar Errors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0"/>
            <w:shd w:fill="134A4A"/>
          </w:tcPr>
          <w:p>
            <w:pPr>
              <w:jc w:val="center"/>
            </w:pPr>
            <w:r>
              <w:rPr>
                <w:b/>
                <w:color w:val="FFFFFF"/>
                <w:sz w:val="18"/>
              </w:rPr>
            </w:r>
            <w:r>
              <w:rPr>
                <w:rFonts w:ascii="Calibri" w:hAnsi="Calibri"/>
                <w:b/>
                <w:color w:val="FFFFFF"/>
                <w:sz w:val="18"/>
              </w:rPr>
              <w:t>#</w:t>
            </w:r>
          </w:p>
        </w:tc>
        <w:tc>
          <w:tcPr>
            <w:tcW w:type="dxa" w:w="3685"/>
            <w:shd w:fill="134A4A"/>
          </w:tcPr>
          <w:p>
            <w:pPr>
              <w:jc w:val="center"/>
            </w:pPr>
            <w:r>
              <w:rPr>
                <w:b/>
                <w:color w:val="FFFFFF"/>
                <w:sz w:val="18"/>
              </w:rPr>
            </w:r>
            <w:r>
              <w:rPr>
                <w:rFonts w:ascii="Calibri" w:hAnsi="Calibri"/>
                <w:b/>
                <w:color w:val="FFFFFF"/>
                <w:sz w:val="18"/>
              </w:rPr>
              <w:t>Location &amp; Description</w:t>
            </w:r>
          </w:p>
        </w:tc>
        <w:tc>
          <w:tcPr>
            <w:tcW w:type="dxa" w:w="850"/>
            <w:shd w:fill="134A4A"/>
          </w:tcPr>
          <w:p>
            <w:pPr>
              <w:jc w:val="center"/>
            </w:pPr>
            <w:r>
              <w:rPr>
                <w:b/>
                <w:color w:val="FFFFFF"/>
                <w:sz w:val="18"/>
              </w:rPr>
            </w:r>
            <w:r>
              <w:rPr>
                <w:rFonts w:ascii="Calibri" w:hAnsi="Calibri"/>
                <w:b/>
                <w:color w:val="FFFFFF"/>
                <w:sz w:val="18"/>
              </w:rPr>
              <w:t>Priority</w:t>
            </w:r>
          </w:p>
        </w:tc>
        <w:tc>
          <w:tcPr>
            <w:tcW w:type="dxa" w:w="3685"/>
            <w:shd w:fill="134A4A"/>
          </w:tcPr>
          <w:p>
            <w:pPr>
              <w:jc w:val="center"/>
            </w:pPr>
            <w:r>
              <w:rPr>
                <w:b/>
                <w:color w:val="FFFFFF"/>
                <w:sz w:val="18"/>
              </w:rPr>
            </w:r>
            <w:r>
              <w:rPr>
                <w:rFonts w:ascii="Calibri" w:hAnsi="Calibri"/>
                <w:b/>
                <w:color w:val="FFFFFF"/>
                <w:sz w:val="18"/>
              </w:rPr>
              <w:t>Recommended Fix</w:t>
            </w:r>
          </w:p>
        </w:tc>
        <w:tc>
          <w:tcPr>
            <w:tcW w:type="dxa" w:w="850"/>
            <w:shd w:fill="134A4A"/>
          </w:tcPr>
          <w:p>
            <w:pPr>
              <w:jc w:val="center"/>
            </w:pPr>
            <w:r>
              <w:rPr>
                <w:b/>
                <w:color w:val="FFFFFF"/>
                <w:sz w:val="18"/>
              </w:rPr>
            </w:r>
            <w:r>
              <w:rPr>
                <w:rFonts w:ascii="Calibri" w:hAnsi="Calibri"/>
                <w:b/>
                <w:color w:val="FFFFFF"/>
                <w:sz w:val="18"/>
              </w:rPr>
              <w:t>Status</w:t>
            </w:r>
          </w:p>
        </w:tc>
      </w:tr>
      <w:tr>
        <w:tc>
          <w:tcPr>
            <w:tcW w:type="dxa" w:w="340"/>
          </w:tcPr>
          <w:p>
            <w:pPr>
              <w:jc w:val="center"/>
            </w:pPr>
            <w:r/>
            <w:r>
              <w:rPr>
                <w:rFonts w:ascii="Calibri" w:hAnsi="Calibri"/>
                <w:b w:val="0"/>
                <w:color w:val="1A1A2E"/>
                <w:sz w:val="16"/>
              </w:rPr>
              <w:t>1</w:t>
            </w:r>
          </w:p>
        </w:tc>
        <w:tc>
          <w:tcPr>
            <w:tcW w:type="dxa" w:w="3685"/>
          </w:tcPr>
          <w:p>
            <w:r/>
            <w:r>
              <w:rPr>
                <w:rFonts w:ascii="Calibri" w:hAnsi="Calibri"/>
                <w:b/>
                <w:color w:val="0A5E5E"/>
                <w:sz w:val="18"/>
              </w:rPr>
              <w:t>SAP Page — Hero Section</w:t>
              <w:br/>
            </w:r>
            <w:r>
              <w:rPr>
                <w:rFonts w:ascii="Calibri" w:hAnsi="Calibri"/>
                <w:color w:val="1A1A2E"/>
                <w:sz w:val="16"/>
              </w:rPr>
              <w:t>"SAP Data Servcies powered by Artha Advantage" — "Servcies" should be "Services".</w:t>
              <w:br/>
              <w:t>This typo appears four times due to the repeated heading.</w:t>
            </w:r>
          </w:p>
        </w:tc>
        <w:tc>
          <w:tcPr>
            <w:tcW w:type="dxa" w:w="850"/>
            <w:shd w:fill="F8D7DA"/>
          </w:tcPr>
          <w:p>
            <w:pPr>
              <w:jc w:val="center"/>
            </w:pPr>
            <w:r/>
            <w:r>
              <w:rPr>
                <w:rFonts w:ascii="Calibri" w:hAnsi="Calibri"/>
                <w:b/>
                <w:color w:val="1A1A2E"/>
                <w:sz w:val="16"/>
              </w:rPr>
              <w:t>Critical</w:t>
            </w:r>
          </w:p>
        </w:tc>
        <w:tc>
          <w:tcPr>
            <w:tcW w:type="dxa" w:w="3685"/>
          </w:tcPr>
          <w:p>
            <w:pPr>
              <w:jc w:val="left"/>
            </w:pPr>
            <w:r/>
            <w:r>
              <w:rPr>
                <w:rFonts w:ascii="Calibri" w:hAnsi="Calibri"/>
                <w:b w:val="0"/>
                <w:color w:val="1A1A2E"/>
                <w:sz w:val="16"/>
              </w:rPr>
              <w:t>Correct spelling to 'Services' in all four instances.</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2</w:t>
            </w:r>
          </w:p>
        </w:tc>
        <w:tc>
          <w:tcPr>
            <w:tcW w:type="dxa" w:w="3685"/>
          </w:tcPr>
          <w:p>
            <w:r/>
            <w:r>
              <w:rPr>
                <w:rFonts w:ascii="Calibri" w:hAnsi="Calibri"/>
                <w:b/>
                <w:color w:val="0A5E5E"/>
                <w:sz w:val="18"/>
              </w:rPr>
              <w:t>Accelerators Page — Data Insights Platform</w:t>
              <w:br/>
            </w:r>
            <w:r>
              <w:rPr>
                <w:rFonts w:ascii="Calibri" w:hAnsi="Calibri"/>
                <w:color w:val="1A1A2E"/>
                <w:sz w:val="16"/>
              </w:rPr>
              <w:t>"Al driven &amp; robust comprehensive platform" — "Al" (capital A, lowercase l) should be "AI" (capital A, capital I).</w:t>
            </w:r>
          </w:p>
        </w:tc>
        <w:tc>
          <w:tcPr>
            <w:tcW w:type="dxa" w:w="850"/>
            <w:shd w:fill="FFF3CD"/>
          </w:tcPr>
          <w:p>
            <w:pPr>
              <w:jc w:val="center"/>
            </w:pPr>
            <w:r/>
            <w:r>
              <w:rPr>
                <w:rFonts w:ascii="Calibri" w:hAnsi="Calibri"/>
                <w:b/>
                <w:color w:val="1A1A2E"/>
                <w:sz w:val="16"/>
              </w:rPr>
              <w:t>High</w:t>
            </w:r>
          </w:p>
        </w:tc>
        <w:tc>
          <w:tcPr>
            <w:tcW w:type="dxa" w:w="3685"/>
          </w:tcPr>
          <w:p>
            <w:pPr>
              <w:jc w:val="left"/>
            </w:pPr>
            <w:r/>
            <w:r>
              <w:rPr>
                <w:rFonts w:ascii="Calibri" w:hAnsi="Calibri"/>
                <w:b w:val="0"/>
                <w:color w:val="1A1A2E"/>
                <w:sz w:val="16"/>
              </w:rPr>
              <w:t>Replace 'Al' with 'AI'.</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3</w:t>
            </w:r>
          </w:p>
        </w:tc>
        <w:tc>
          <w:tcPr>
            <w:tcW w:type="dxa" w:w="3685"/>
          </w:tcPr>
          <w:p>
            <w:r/>
            <w:r>
              <w:rPr>
                <w:rFonts w:ascii="Calibri" w:hAnsi="Calibri"/>
                <w:b/>
                <w:color w:val="0A5E5E"/>
                <w:sz w:val="18"/>
              </w:rPr>
              <w:t>Homepage — Services Tab</w:t>
              <w:br/>
            </w:r>
            <w:r>
              <w:rPr>
                <w:rFonts w:ascii="Calibri" w:hAnsi="Calibri"/>
                <w:color w:val="1A1A2E"/>
                <w:sz w:val="16"/>
              </w:rPr>
              <w:t>"Trusted data for AI , and accurate 360° insights." — Extra space before the comma.</w:t>
            </w:r>
          </w:p>
        </w:tc>
        <w:tc>
          <w:tcPr>
            <w:tcW w:type="dxa" w:w="850"/>
            <w:shd w:fill="E2E3E5"/>
          </w:tcPr>
          <w:p>
            <w:pPr>
              <w:jc w:val="center"/>
            </w:pPr>
            <w:r/>
            <w:r>
              <w:rPr>
                <w:rFonts w:ascii="Calibri" w:hAnsi="Calibri"/>
                <w:b/>
                <w:color w:val="1A1A2E"/>
                <w:sz w:val="16"/>
              </w:rPr>
              <w:t>Low</w:t>
            </w:r>
          </w:p>
        </w:tc>
        <w:tc>
          <w:tcPr>
            <w:tcW w:type="dxa" w:w="3685"/>
          </w:tcPr>
          <w:p>
            <w:pPr>
              <w:jc w:val="left"/>
            </w:pPr>
            <w:r/>
            <w:r>
              <w:rPr>
                <w:rFonts w:ascii="Calibri" w:hAnsi="Calibri"/>
                <w:b w:val="0"/>
                <w:color w:val="1A1A2E"/>
                <w:sz w:val="16"/>
              </w:rPr>
              <w:t>Remove the extra space before the comma.</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4</w:t>
            </w:r>
          </w:p>
        </w:tc>
        <w:tc>
          <w:tcPr>
            <w:tcW w:type="dxa" w:w="3685"/>
          </w:tcPr>
          <w:p>
            <w:r/>
            <w:r>
              <w:rPr>
                <w:rFonts w:ascii="Calibri" w:hAnsi="Calibri"/>
                <w:b/>
                <w:color w:val="0A5E5E"/>
                <w:sz w:val="18"/>
              </w:rPr>
              <w:t>Homepage — Events URLs</w:t>
              <w:br/>
            </w:r>
            <w:r>
              <w:rPr>
                <w:rFonts w:ascii="Calibri" w:hAnsi="Calibri"/>
                <w:color w:val="1A1A2E"/>
                <w:sz w:val="16"/>
              </w:rPr>
              <w:t>Multiple event and white-paper links end with '%20' (a URL-encoded trailing space), e.g. /events/artha-solutions-to-host-qlik-ai-reality-tour-2025-bengaluru/%20</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Remove trailing spaces from all internal link URLs to avoid potential 404s or canonical issues.</w:t>
            </w:r>
          </w:p>
        </w:tc>
        <w:tc>
          <w:tcPr>
            <w:tcW w:type="dxa" w:w="850"/>
          </w:tcPr>
          <w:p>
            <w:pPr>
              <w:jc w:val="center"/>
            </w:pPr>
            <w:r/>
            <w:r>
              <w:rPr>
                <w:rFonts w:ascii="Calibri" w:hAnsi="Calibri"/>
                <w:b w:val="0"/>
                <w:color w:val="1A1A2E"/>
                <w:sz w:val="16"/>
              </w:rPr>
              <w:t>Open</w:t>
            </w:r>
          </w:p>
        </w:tc>
      </w:tr>
    </w:tbl>
    <w:p/>
    <w:p>
      <w:r>
        <w:br w:type="page"/>
      </w:r>
    </w:p>
    <w:p>
      <w:pPr>
        <w:pStyle w:val="Heading1"/>
      </w:pPr>
      <w:r>
        <w:t>5. New Findings — Visual &amp; Cosmetic Issues</w:t>
      </w:r>
    </w:p>
    <w:p>
      <w:r>
        <w:t>The following visual and design-related observations were made during the audit. Addressing these will help create a more polished and consistent user experience.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0"/>
            <w:shd w:fill="134A4A"/>
          </w:tcPr>
          <w:p>
            <w:pPr>
              <w:jc w:val="center"/>
            </w:pPr>
            <w:r>
              <w:rPr>
                <w:b/>
                <w:color w:val="FFFFFF"/>
                <w:sz w:val="18"/>
              </w:rPr>
            </w:r>
            <w:r>
              <w:rPr>
                <w:rFonts w:ascii="Calibri" w:hAnsi="Calibri"/>
                <w:b/>
                <w:color w:val="FFFFFF"/>
                <w:sz w:val="18"/>
              </w:rPr>
              <w:t>#</w:t>
            </w:r>
          </w:p>
        </w:tc>
        <w:tc>
          <w:tcPr>
            <w:tcW w:type="dxa" w:w="3685"/>
            <w:shd w:fill="134A4A"/>
          </w:tcPr>
          <w:p>
            <w:pPr>
              <w:jc w:val="center"/>
            </w:pPr>
            <w:r>
              <w:rPr>
                <w:b/>
                <w:color w:val="FFFFFF"/>
                <w:sz w:val="18"/>
              </w:rPr>
            </w:r>
            <w:r>
              <w:rPr>
                <w:rFonts w:ascii="Calibri" w:hAnsi="Calibri"/>
                <w:b/>
                <w:color w:val="FFFFFF"/>
                <w:sz w:val="18"/>
              </w:rPr>
              <w:t>Issue &amp; Location</w:t>
            </w:r>
          </w:p>
        </w:tc>
        <w:tc>
          <w:tcPr>
            <w:tcW w:type="dxa" w:w="850"/>
            <w:shd w:fill="134A4A"/>
          </w:tcPr>
          <w:p>
            <w:pPr>
              <w:jc w:val="center"/>
            </w:pPr>
            <w:r>
              <w:rPr>
                <w:b/>
                <w:color w:val="FFFFFF"/>
                <w:sz w:val="18"/>
              </w:rPr>
            </w:r>
            <w:r>
              <w:rPr>
                <w:rFonts w:ascii="Calibri" w:hAnsi="Calibri"/>
                <w:b/>
                <w:color w:val="FFFFFF"/>
                <w:sz w:val="18"/>
              </w:rPr>
              <w:t>Priority</w:t>
            </w:r>
          </w:p>
        </w:tc>
        <w:tc>
          <w:tcPr>
            <w:tcW w:type="dxa" w:w="3685"/>
            <w:shd w:fill="134A4A"/>
          </w:tcPr>
          <w:p>
            <w:pPr>
              <w:jc w:val="center"/>
            </w:pPr>
            <w:r>
              <w:rPr>
                <w:b/>
                <w:color w:val="FFFFFF"/>
                <w:sz w:val="18"/>
              </w:rPr>
            </w:r>
            <w:r>
              <w:rPr>
                <w:rFonts w:ascii="Calibri" w:hAnsi="Calibri"/>
                <w:b/>
                <w:color w:val="FFFFFF"/>
                <w:sz w:val="18"/>
              </w:rPr>
              <w:t>Suggested Resolution</w:t>
            </w:r>
          </w:p>
        </w:tc>
        <w:tc>
          <w:tcPr>
            <w:tcW w:type="dxa" w:w="850"/>
            <w:shd w:fill="134A4A"/>
          </w:tcPr>
          <w:p>
            <w:pPr>
              <w:jc w:val="center"/>
            </w:pPr>
            <w:r>
              <w:rPr>
                <w:b/>
                <w:color w:val="FFFFFF"/>
                <w:sz w:val="18"/>
              </w:rPr>
            </w:r>
            <w:r>
              <w:rPr>
                <w:rFonts w:ascii="Calibri" w:hAnsi="Calibri"/>
                <w:b/>
                <w:color w:val="FFFFFF"/>
                <w:sz w:val="18"/>
              </w:rPr>
              <w:t>Status</w:t>
            </w:r>
          </w:p>
        </w:tc>
      </w:tr>
      <w:tr>
        <w:tc>
          <w:tcPr>
            <w:tcW w:type="dxa" w:w="340"/>
          </w:tcPr>
          <w:p>
            <w:pPr>
              <w:jc w:val="center"/>
            </w:pPr>
            <w:r/>
            <w:r>
              <w:rPr>
                <w:rFonts w:ascii="Calibri" w:hAnsi="Calibri"/>
                <w:b w:val="0"/>
                <w:color w:val="1A1A2E"/>
                <w:sz w:val="16"/>
              </w:rPr>
              <w:t>1</w:t>
            </w:r>
          </w:p>
        </w:tc>
        <w:tc>
          <w:tcPr>
            <w:tcW w:type="dxa" w:w="3685"/>
          </w:tcPr>
          <w:p>
            <w:r/>
            <w:r>
              <w:rPr>
                <w:rFonts w:ascii="Calibri" w:hAnsi="Calibri"/>
                <w:b/>
                <w:color w:val="0A5E5E"/>
                <w:sz w:val="18"/>
              </w:rPr>
              <w:t>Low-Resolution Client Logos</w:t>
              <w:br/>
            </w:r>
            <w:r>
              <w:rPr>
                <w:rFonts w:ascii="Calibri" w:hAnsi="Calibri"/>
                <w:color w:val="64748B"/>
                <w:sz w:val="16"/>
              </w:rPr>
              <w:t>Page: Homepage → 'Our Clients' Carousel</w:t>
              <w:br/>
            </w:r>
            <w:r>
              <w:rPr>
                <w:rFonts w:ascii="Calibri" w:hAnsi="Calibri"/>
                <w:color w:val="1A1A2E"/>
                <w:sz w:val="16"/>
              </w:rPr>
              <w:t>Several client logos (M&amp;T Bank, Maxis, DBS, Security Bank, match.com) appear blurry or pixelated, likely from small raster images being upscaled by CSS.</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Replace with high-resolution PNG or SVG versions of each logo.</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2</w:t>
            </w:r>
          </w:p>
        </w:tc>
        <w:tc>
          <w:tcPr>
            <w:tcW w:type="dxa" w:w="3685"/>
          </w:tcPr>
          <w:p>
            <w:r/>
            <w:r>
              <w:rPr>
                <w:rFonts w:ascii="Calibri" w:hAnsi="Calibri"/>
                <w:b/>
                <w:color w:val="0A5E5E"/>
                <w:sz w:val="18"/>
              </w:rPr>
              <w:t>Low-Resolution Partner Badges</w:t>
              <w:br/>
            </w:r>
            <w:r>
              <w:rPr>
                <w:rFonts w:ascii="Calibri" w:hAnsi="Calibri"/>
                <w:color w:val="64748B"/>
                <w:sz w:val="16"/>
              </w:rPr>
              <w:t>Page: Homepage → Certifications Section</w:t>
              <w:br/>
            </w:r>
            <w:r>
              <w:rPr>
                <w:rFonts w:ascii="Calibri" w:hAnsi="Calibri"/>
                <w:color w:val="1A1A2E"/>
                <w:sz w:val="16"/>
              </w:rPr>
              <w:t>Some partner badges (Qlik, AWS, Microsoft) have inconsistent resolution — some are sharp while others are blurry.</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Source uniform, high-resolution badge assets from partner portals.</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3</w:t>
            </w:r>
          </w:p>
        </w:tc>
        <w:tc>
          <w:tcPr>
            <w:tcW w:type="dxa" w:w="3685"/>
          </w:tcPr>
          <w:p>
            <w:r/>
            <w:r>
              <w:rPr>
                <w:rFonts w:ascii="Calibri" w:hAnsi="Calibri"/>
                <w:b/>
                <w:color w:val="0A5E5E"/>
                <w:sz w:val="18"/>
              </w:rPr>
              <w:t>Heavy Dark Overlays on Hero Images</w:t>
              <w:br/>
            </w:r>
            <w:r>
              <w:rPr>
                <w:rFonts w:ascii="Calibri" w:hAnsi="Calibri"/>
                <w:color w:val="64748B"/>
                <w:sz w:val="16"/>
              </w:rPr>
              <w:t>Page: All major pages (Homepage, SAP, Cloud, etc.)</w:t>
              <w:br/>
            </w:r>
            <w:r>
              <w:rPr>
                <w:rFonts w:ascii="Calibri" w:hAnsi="Calibri"/>
                <w:color w:val="1A1A2E"/>
                <w:sz w:val="16"/>
              </w:rPr>
              <w:t>Nearly every page uses a very dark semi-transparent overlay on the hero background, giving the site a heavy, monotonous feel across pages.</w:t>
            </w:r>
          </w:p>
        </w:tc>
        <w:tc>
          <w:tcPr>
            <w:tcW w:type="dxa" w:w="850"/>
            <w:shd w:fill="E2E3E5"/>
          </w:tcPr>
          <w:p>
            <w:pPr>
              <w:jc w:val="center"/>
            </w:pPr>
            <w:r/>
            <w:r>
              <w:rPr>
                <w:rFonts w:ascii="Calibri" w:hAnsi="Calibri"/>
                <w:b/>
                <w:color w:val="1A1A2E"/>
                <w:sz w:val="16"/>
              </w:rPr>
              <w:t>Low</w:t>
            </w:r>
          </w:p>
        </w:tc>
        <w:tc>
          <w:tcPr>
            <w:tcW w:type="dxa" w:w="3685"/>
          </w:tcPr>
          <w:p>
            <w:pPr>
              <w:jc w:val="left"/>
            </w:pPr>
            <w:r/>
            <w:r>
              <w:rPr>
                <w:rFonts w:ascii="Calibri" w:hAnsi="Calibri"/>
                <w:b w:val="0"/>
                <w:color w:val="1A1A2E"/>
                <w:sz w:val="16"/>
              </w:rPr>
              <w:t>Consider lighter overlays, gradient overlays, or varied hero treatments per section.</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4</w:t>
            </w:r>
          </w:p>
        </w:tc>
        <w:tc>
          <w:tcPr>
            <w:tcW w:type="dxa" w:w="3685"/>
          </w:tcPr>
          <w:p>
            <w:r/>
            <w:r>
              <w:rPr>
                <w:rFonts w:ascii="Calibri" w:hAnsi="Calibri"/>
                <w:b/>
                <w:color w:val="0A5E5E"/>
                <w:sz w:val="18"/>
              </w:rPr>
              <w:t>Inconsistent Event Card Imagery</w:t>
              <w:br/>
            </w:r>
            <w:r>
              <w:rPr>
                <w:rFonts w:ascii="Calibri" w:hAnsi="Calibri"/>
                <w:color w:val="64748B"/>
                <w:sz w:val="16"/>
              </w:rPr>
              <w:t>Page: Homepage → 'Let's Meet' Section</w:t>
              <w:br/>
            </w:r>
            <w:r>
              <w:rPr>
                <w:rFonts w:ascii="Calibri" w:hAnsi="Calibri"/>
                <w:color w:val="1A1A2E"/>
                <w:sz w:val="16"/>
              </w:rPr>
              <w:t>Event cards use different image styles (tall posters, headshots, narrow banners), creating an uneven visual grid.</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Standardize event card image dimensions and aspect ratios.</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5</w:t>
            </w:r>
          </w:p>
        </w:tc>
        <w:tc>
          <w:tcPr>
            <w:tcW w:type="dxa" w:w="3685"/>
          </w:tcPr>
          <w:p>
            <w:r/>
            <w:r>
              <w:rPr>
                <w:rFonts w:ascii="Calibri" w:hAnsi="Calibri"/>
                <w:b/>
                <w:color w:val="0A5E5E"/>
                <w:sz w:val="18"/>
              </w:rPr>
              <w:t>Cookie Consent Banner</w:t>
              <w:br/>
            </w:r>
            <w:r>
              <w:rPr>
                <w:rFonts w:ascii="Calibri" w:hAnsi="Calibri"/>
                <w:color w:val="64748B"/>
                <w:sz w:val="16"/>
              </w:rPr>
              <w:t>Page: All Pages</w:t>
              <w:br/>
            </w:r>
            <w:r>
              <w:rPr>
                <w:rFonts w:ascii="Calibri" w:hAnsi="Calibri"/>
                <w:color w:val="1A1A2E"/>
                <w:sz w:val="16"/>
              </w:rPr>
              <w:t>The cookie consent banner is large and covers a significant portion of the viewport, feeling intrusive until dismissed.</w:t>
            </w:r>
          </w:p>
        </w:tc>
        <w:tc>
          <w:tcPr>
            <w:tcW w:type="dxa" w:w="850"/>
            <w:shd w:fill="E2E3E5"/>
          </w:tcPr>
          <w:p>
            <w:pPr>
              <w:jc w:val="center"/>
            </w:pPr>
            <w:r/>
            <w:r>
              <w:rPr>
                <w:rFonts w:ascii="Calibri" w:hAnsi="Calibri"/>
                <w:b/>
                <w:color w:val="1A1A2E"/>
                <w:sz w:val="16"/>
              </w:rPr>
              <w:t>Low</w:t>
            </w:r>
          </w:p>
        </w:tc>
        <w:tc>
          <w:tcPr>
            <w:tcW w:type="dxa" w:w="3685"/>
          </w:tcPr>
          <w:p>
            <w:pPr>
              <w:jc w:val="left"/>
            </w:pPr>
            <w:r/>
            <w:r>
              <w:rPr>
                <w:rFonts w:ascii="Calibri" w:hAnsi="Calibri"/>
                <w:b w:val="0"/>
                <w:color w:val="1A1A2E"/>
                <w:sz w:val="16"/>
              </w:rPr>
              <w:t>Consider a slimmer, less obtrusive bar design.</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6</w:t>
            </w:r>
          </w:p>
        </w:tc>
        <w:tc>
          <w:tcPr>
            <w:tcW w:type="dxa" w:w="3685"/>
          </w:tcPr>
          <w:p>
            <w:r/>
            <w:r>
              <w:rPr>
                <w:rFonts w:ascii="Calibri" w:hAnsi="Calibri"/>
                <w:b/>
                <w:color w:val="0A5E5E"/>
                <w:sz w:val="18"/>
              </w:rPr>
              <w:t>Inconsistent CTA Button Styles</w:t>
              <w:br/>
            </w:r>
            <w:r>
              <w:rPr>
                <w:rFonts w:ascii="Calibri" w:hAnsi="Calibri"/>
                <w:color w:val="64748B"/>
                <w:sz w:val="16"/>
              </w:rPr>
              <w:t>Page: Multiple Pages</w:t>
              <w:br/>
            </w:r>
            <w:r>
              <w:rPr>
                <w:rFonts w:ascii="Calibri" w:hAnsi="Calibri"/>
                <w:color w:val="1A1A2E"/>
                <w:sz w:val="16"/>
              </w:rPr>
              <w:t>CTA buttons vary between filled teal, outline teal, and plain text links. Hover effects also differ between sections.</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Establish a consistent button design system: primary (filled), secondary (outline), and tertiary (text link).</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7</w:t>
            </w:r>
          </w:p>
        </w:tc>
        <w:tc>
          <w:tcPr>
            <w:tcW w:type="dxa" w:w="3685"/>
          </w:tcPr>
          <w:p>
            <w:r/>
            <w:r>
              <w:rPr>
                <w:rFonts w:ascii="Calibri" w:hAnsi="Calibri"/>
                <w:b/>
                <w:color w:val="0A5E5E"/>
                <w:sz w:val="18"/>
              </w:rPr>
              <w:t>Contact Form — Generic Styling</w:t>
              <w:br/>
            </w:r>
            <w:r>
              <w:rPr>
                <w:rFonts w:ascii="Calibri" w:hAnsi="Calibri"/>
                <w:color w:val="64748B"/>
                <w:sz w:val="16"/>
              </w:rPr>
              <w:t>Page: Contact Page</w:t>
              <w:br/>
            </w:r>
            <w:r>
              <w:rPr>
                <w:rFonts w:ascii="Calibri" w:hAnsi="Calibri"/>
                <w:color w:val="1A1A2E"/>
                <w:sz w:val="16"/>
              </w:rPr>
              <w:t>The contact form uses default Elementor styling, looking generic compared to the rest of the site.</w:t>
            </w:r>
          </w:p>
        </w:tc>
        <w:tc>
          <w:tcPr>
            <w:tcW w:type="dxa" w:w="850"/>
            <w:shd w:fill="E2E3E5"/>
          </w:tcPr>
          <w:p>
            <w:pPr>
              <w:jc w:val="center"/>
            </w:pPr>
            <w:r/>
            <w:r>
              <w:rPr>
                <w:rFonts w:ascii="Calibri" w:hAnsi="Calibri"/>
                <w:b/>
                <w:color w:val="1A1A2E"/>
                <w:sz w:val="16"/>
              </w:rPr>
              <w:t>Low</w:t>
            </w:r>
          </w:p>
        </w:tc>
        <w:tc>
          <w:tcPr>
            <w:tcW w:type="dxa" w:w="3685"/>
          </w:tcPr>
          <w:p>
            <w:pPr>
              <w:jc w:val="left"/>
            </w:pPr>
            <w:r/>
            <w:r>
              <w:rPr>
                <w:rFonts w:ascii="Calibri" w:hAnsi="Calibri"/>
                <w:b w:val="0"/>
                <w:color w:val="1A1A2E"/>
                <w:sz w:val="16"/>
              </w:rPr>
              <w:t>Apply custom CSS to match the brand design (rounded inputs, teal accent focus state, subtle shadows).</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8</w:t>
            </w:r>
          </w:p>
        </w:tc>
        <w:tc>
          <w:tcPr>
            <w:tcW w:type="dxa" w:w="3685"/>
          </w:tcPr>
          <w:p>
            <w:r/>
            <w:r>
              <w:rPr>
                <w:rFonts w:ascii="Calibri" w:hAnsi="Calibri"/>
                <w:b/>
                <w:color w:val="0A5E5E"/>
                <w:sz w:val="18"/>
              </w:rPr>
              <w:t>Tab Navigation Arrows — Hard to Spot</w:t>
              <w:br/>
            </w:r>
            <w:r>
              <w:rPr>
                <w:rFonts w:ascii="Calibri" w:hAnsi="Calibri"/>
                <w:color w:val="64748B"/>
                <w:sz w:val="16"/>
              </w:rPr>
              <w:t>Page: Homepage → 'Our Services &amp; Solutions'</w:t>
              <w:br/>
            </w:r>
            <w:r>
              <w:rPr>
                <w:rFonts w:ascii="Calibri" w:hAnsi="Calibri"/>
                <w:color w:val="1A1A2E"/>
                <w:sz w:val="16"/>
              </w:rPr>
              <w:t>The small left/right navigation arrows for scrolling between service tabs are easy to miss, especially on smaller screens.</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Use larger, more visible arrow icons or add subtle animation to indicate scrollability.</w:t>
            </w:r>
          </w:p>
        </w:tc>
        <w:tc>
          <w:tcPr>
            <w:tcW w:type="dxa" w:w="850"/>
          </w:tcPr>
          <w:p>
            <w:pPr>
              <w:jc w:val="center"/>
            </w:pPr>
            <w:r/>
            <w:r>
              <w:rPr>
                <w:rFonts w:ascii="Calibri" w:hAnsi="Calibri"/>
                <w:b w:val="0"/>
                <w:color w:val="1A1A2E"/>
                <w:sz w:val="16"/>
              </w:rPr>
              <w:t>Open</w:t>
            </w:r>
          </w:p>
        </w:tc>
      </w:tr>
    </w:tbl>
    <w:p/>
    <w:p>
      <w:pPr>
        <w:pStyle w:val="Heading1"/>
      </w:pPr>
      <w:r>
        <w:t>6. New Findings — Mobile Responsiveness</w:t>
      </w:r>
    </w:p>
    <w:p>
      <w:r>
        <w:t>The website was tested at 375px viewport width (iPhone equivalent). The following issues were observed on mobile devices.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0"/>
            <w:shd w:fill="134A4A"/>
          </w:tcPr>
          <w:p>
            <w:pPr>
              <w:jc w:val="center"/>
            </w:pPr>
            <w:r>
              <w:rPr>
                <w:b/>
                <w:color w:val="FFFFFF"/>
                <w:sz w:val="18"/>
              </w:rPr>
            </w:r>
            <w:r>
              <w:rPr>
                <w:rFonts w:ascii="Calibri" w:hAnsi="Calibri"/>
                <w:b/>
                <w:color w:val="FFFFFF"/>
                <w:sz w:val="18"/>
              </w:rPr>
              <w:t>#</w:t>
            </w:r>
          </w:p>
        </w:tc>
        <w:tc>
          <w:tcPr>
            <w:tcW w:type="dxa" w:w="3685"/>
            <w:shd w:fill="134A4A"/>
          </w:tcPr>
          <w:p>
            <w:pPr>
              <w:jc w:val="center"/>
            </w:pPr>
            <w:r>
              <w:rPr>
                <w:b/>
                <w:color w:val="FFFFFF"/>
                <w:sz w:val="18"/>
              </w:rPr>
            </w:r>
            <w:r>
              <w:rPr>
                <w:rFonts w:ascii="Calibri" w:hAnsi="Calibri"/>
                <w:b/>
                <w:color w:val="FFFFFF"/>
                <w:sz w:val="18"/>
              </w:rPr>
              <w:t>Issue &amp; Location</w:t>
            </w:r>
          </w:p>
        </w:tc>
        <w:tc>
          <w:tcPr>
            <w:tcW w:type="dxa" w:w="850"/>
            <w:shd w:fill="134A4A"/>
          </w:tcPr>
          <w:p>
            <w:pPr>
              <w:jc w:val="center"/>
            </w:pPr>
            <w:r>
              <w:rPr>
                <w:b/>
                <w:color w:val="FFFFFF"/>
                <w:sz w:val="18"/>
              </w:rPr>
            </w:r>
            <w:r>
              <w:rPr>
                <w:rFonts w:ascii="Calibri" w:hAnsi="Calibri"/>
                <w:b/>
                <w:color w:val="FFFFFF"/>
                <w:sz w:val="18"/>
              </w:rPr>
              <w:t>Priority</w:t>
            </w:r>
          </w:p>
        </w:tc>
        <w:tc>
          <w:tcPr>
            <w:tcW w:type="dxa" w:w="3685"/>
            <w:shd w:fill="134A4A"/>
          </w:tcPr>
          <w:p>
            <w:pPr>
              <w:jc w:val="center"/>
            </w:pPr>
            <w:r>
              <w:rPr>
                <w:b/>
                <w:color w:val="FFFFFF"/>
                <w:sz w:val="18"/>
              </w:rPr>
            </w:r>
            <w:r>
              <w:rPr>
                <w:rFonts w:ascii="Calibri" w:hAnsi="Calibri"/>
                <w:b/>
                <w:color w:val="FFFFFF"/>
                <w:sz w:val="18"/>
              </w:rPr>
              <w:t>Suggested Resolution</w:t>
            </w:r>
          </w:p>
        </w:tc>
        <w:tc>
          <w:tcPr>
            <w:tcW w:type="dxa" w:w="850"/>
            <w:shd w:fill="134A4A"/>
          </w:tcPr>
          <w:p>
            <w:pPr>
              <w:jc w:val="center"/>
            </w:pPr>
            <w:r>
              <w:rPr>
                <w:b/>
                <w:color w:val="FFFFFF"/>
                <w:sz w:val="18"/>
              </w:rPr>
            </w:r>
            <w:r>
              <w:rPr>
                <w:rFonts w:ascii="Calibri" w:hAnsi="Calibri"/>
                <w:b/>
                <w:color w:val="FFFFFF"/>
                <w:sz w:val="18"/>
              </w:rPr>
              <w:t>Status</w:t>
            </w:r>
          </w:p>
        </w:tc>
      </w:tr>
      <w:tr>
        <w:tc>
          <w:tcPr>
            <w:tcW w:type="dxa" w:w="340"/>
          </w:tcPr>
          <w:p>
            <w:pPr>
              <w:jc w:val="center"/>
            </w:pPr>
            <w:r/>
            <w:r>
              <w:rPr>
                <w:rFonts w:ascii="Calibri" w:hAnsi="Calibri"/>
                <w:b w:val="0"/>
                <w:color w:val="1A1A2E"/>
                <w:sz w:val="16"/>
              </w:rPr>
              <w:t>1</w:t>
            </w:r>
          </w:p>
        </w:tc>
        <w:tc>
          <w:tcPr>
            <w:tcW w:type="dxa" w:w="3685"/>
          </w:tcPr>
          <w:p>
            <w:r/>
            <w:r>
              <w:rPr>
                <w:rFonts w:ascii="Calibri" w:hAnsi="Calibri"/>
                <w:b/>
                <w:color w:val="0A5E5E"/>
                <w:sz w:val="18"/>
              </w:rPr>
              <w:t>Overlapping Elements on Mobile Homepage</w:t>
              <w:br/>
            </w:r>
            <w:r>
              <w:rPr>
                <w:rFonts w:ascii="Calibri" w:hAnsi="Calibri"/>
                <w:color w:val="64748B"/>
                <w:sz w:val="16"/>
              </w:rPr>
              <w:t>Page: Homepage (375px)</w:t>
              <w:br/>
            </w:r>
            <w:r>
              <w:rPr>
                <w:rFonts w:ascii="Calibri" w:hAnsi="Calibri"/>
                <w:color w:val="1A1A2E"/>
                <w:sz w:val="16"/>
              </w:rPr>
              <w:t>In the 'Let's Meet' section, the scroll/mouse icon overlaps the heading text. Other elements also bleed into adjacent sections due to insufficient mobile padding.</w:t>
            </w:r>
          </w:p>
        </w:tc>
        <w:tc>
          <w:tcPr>
            <w:tcW w:type="dxa" w:w="850"/>
            <w:shd w:fill="FFF3CD"/>
          </w:tcPr>
          <w:p>
            <w:pPr>
              <w:jc w:val="center"/>
            </w:pPr>
            <w:r/>
            <w:r>
              <w:rPr>
                <w:rFonts w:ascii="Calibri" w:hAnsi="Calibri"/>
                <w:b/>
                <w:color w:val="1A1A2E"/>
                <w:sz w:val="16"/>
              </w:rPr>
              <w:t>High</w:t>
            </w:r>
          </w:p>
        </w:tc>
        <w:tc>
          <w:tcPr>
            <w:tcW w:type="dxa" w:w="3685"/>
          </w:tcPr>
          <w:p>
            <w:pPr>
              <w:jc w:val="left"/>
            </w:pPr>
            <w:r/>
            <w:r>
              <w:rPr>
                <w:rFonts w:ascii="Calibri" w:hAnsi="Calibri"/>
                <w:b w:val="0"/>
                <w:color w:val="1A1A2E"/>
                <w:sz w:val="16"/>
              </w:rPr>
              <w:t>Add responsive padding/margin rules and test on actual mobile devices.</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2</w:t>
            </w:r>
          </w:p>
        </w:tc>
        <w:tc>
          <w:tcPr>
            <w:tcW w:type="dxa" w:w="3685"/>
          </w:tcPr>
          <w:p>
            <w:r/>
            <w:r>
              <w:rPr>
                <w:rFonts w:ascii="Calibri" w:hAnsi="Calibri"/>
                <w:b/>
                <w:color w:val="0A5E5E"/>
                <w:sz w:val="18"/>
              </w:rPr>
              <w:t>Oversized Client Logos on Mobile</w:t>
              <w:br/>
            </w:r>
            <w:r>
              <w:rPr>
                <w:rFonts w:ascii="Calibri" w:hAnsi="Calibri"/>
                <w:color w:val="64748B"/>
                <w:sz w:val="16"/>
              </w:rPr>
              <w:t>Page: Homepage (375px)</w:t>
              <w:br/>
            </w:r>
            <w:r>
              <w:rPr>
                <w:rFonts w:ascii="Calibri" w:hAnsi="Calibri"/>
                <w:color w:val="1A1A2E"/>
                <w:sz w:val="16"/>
              </w:rPr>
              <w:t>Client logos in the carousel appear disproportionately large on mobile, taking up excessive screen real estate.</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Reduce logo size and spacing for viewports under 768px.</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3</w:t>
            </w:r>
          </w:p>
        </w:tc>
        <w:tc>
          <w:tcPr>
            <w:tcW w:type="dxa" w:w="3685"/>
          </w:tcPr>
          <w:p>
            <w:r/>
            <w:r>
              <w:rPr>
                <w:rFonts w:ascii="Calibri" w:hAnsi="Calibri"/>
                <w:b/>
                <w:color w:val="0A5E5E"/>
                <w:sz w:val="18"/>
              </w:rPr>
              <w:t>Mega-Menu on Mobile</w:t>
              <w:br/>
            </w:r>
            <w:r>
              <w:rPr>
                <w:rFonts w:ascii="Calibri" w:hAnsi="Calibri"/>
                <w:color w:val="64748B"/>
                <w:sz w:val="16"/>
              </w:rPr>
              <w:t>Page: All Pages</w:t>
              <w:br/>
            </w:r>
            <w:r>
              <w:rPr>
                <w:rFonts w:ascii="Calibri" w:hAnsi="Calibri"/>
                <w:color w:val="1A1A2E"/>
                <w:sz w:val="16"/>
              </w:rPr>
              <w:t>The multi-column mega-menu designed for desktop becomes an extremely long scrolling list on mobile, requiring excessive scrolling.</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Implement a collapsible accordion-style menu for mobile navigation.</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4</w:t>
            </w:r>
          </w:p>
        </w:tc>
        <w:tc>
          <w:tcPr>
            <w:tcW w:type="dxa" w:w="3685"/>
          </w:tcPr>
          <w:p>
            <w:r/>
            <w:r>
              <w:rPr>
                <w:rFonts w:ascii="Calibri" w:hAnsi="Calibri"/>
                <w:b/>
                <w:color w:val="0A5E5E"/>
                <w:sz w:val="18"/>
              </w:rPr>
              <w:t>Service Tab Arrows Difficult to Tap</w:t>
              <w:br/>
            </w:r>
            <w:r>
              <w:rPr>
                <w:rFonts w:ascii="Calibri" w:hAnsi="Calibri"/>
                <w:color w:val="64748B"/>
                <w:sz w:val="16"/>
              </w:rPr>
              <w:t>Page: Homepage (375px)</w:t>
              <w:br/>
            </w:r>
            <w:r>
              <w:rPr>
                <w:rFonts w:ascii="Calibri" w:hAnsi="Calibri"/>
                <w:color w:val="1A1A2E"/>
                <w:sz w:val="16"/>
              </w:rPr>
              <w:t>The small tab navigation arrows in 'Our Services &amp; Solutions' are too small for comfortable touch interaction.</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Increase tap target size to at least 44×44px per mobile accessibility guidelines.</w:t>
            </w:r>
          </w:p>
        </w:tc>
        <w:tc>
          <w:tcPr>
            <w:tcW w:type="dxa" w:w="850"/>
          </w:tcPr>
          <w:p>
            <w:pPr>
              <w:jc w:val="center"/>
            </w:pPr>
            <w:r/>
            <w:r>
              <w:rPr>
                <w:rFonts w:ascii="Calibri" w:hAnsi="Calibri"/>
                <w:b w:val="0"/>
                <w:color w:val="1A1A2E"/>
                <w:sz w:val="16"/>
              </w:rPr>
              <w:t>Open</w:t>
            </w:r>
          </w:p>
        </w:tc>
      </w:tr>
    </w:tbl>
    <w:p/>
    <w:p>
      <w:r>
        <w:br w:type="page"/>
      </w:r>
    </w:p>
    <w:p>
      <w:pPr>
        <w:pStyle w:val="Heading1"/>
      </w:pPr>
      <w:r>
        <w:t>7. New Findings — Content Structure, SEO &amp; Performance</w:t>
      </w:r>
    </w:p>
    <w:p>
      <w:r>
        <w:t>The following issues relate to the technical structure of the website's content, search engine optimization, and page load performance.</w:t>
      </w:r>
    </w:p>
    <w:p>
      <w:pPr>
        <w:pStyle w:val="Heading2"/>
      </w:pPr>
      <w:r>
        <w:t>7.1 Content Structure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40"/>
            <w:shd w:fill="134A4A"/>
          </w:tcPr>
          <w:p>
            <w:pPr>
              <w:jc w:val="center"/>
            </w:pPr>
            <w:r>
              <w:rPr>
                <w:b/>
                <w:color w:val="FFFFFF"/>
                <w:sz w:val="18"/>
              </w:rPr>
            </w:r>
            <w:r>
              <w:rPr>
                <w:rFonts w:ascii="Calibri" w:hAnsi="Calibri"/>
                <w:b/>
                <w:color w:val="FFFFFF"/>
                <w:sz w:val="18"/>
              </w:rPr>
              <w:t>#</w:t>
            </w:r>
          </w:p>
        </w:tc>
        <w:tc>
          <w:tcPr>
            <w:tcW w:type="dxa" w:w="3685"/>
            <w:shd w:fill="134A4A"/>
          </w:tcPr>
          <w:p>
            <w:pPr>
              <w:jc w:val="center"/>
            </w:pPr>
            <w:r>
              <w:rPr>
                <w:b/>
                <w:color w:val="FFFFFF"/>
                <w:sz w:val="18"/>
              </w:rPr>
            </w:r>
            <w:r>
              <w:rPr>
                <w:rFonts w:ascii="Calibri" w:hAnsi="Calibri"/>
                <w:b/>
                <w:color w:val="FFFFFF"/>
                <w:sz w:val="18"/>
              </w:rPr>
              <w:t>Issue &amp; Location</w:t>
            </w:r>
          </w:p>
        </w:tc>
        <w:tc>
          <w:tcPr>
            <w:tcW w:type="dxa" w:w="850"/>
            <w:shd w:fill="134A4A"/>
          </w:tcPr>
          <w:p>
            <w:pPr>
              <w:jc w:val="center"/>
            </w:pPr>
            <w:r>
              <w:rPr>
                <w:b/>
                <w:color w:val="FFFFFF"/>
                <w:sz w:val="18"/>
              </w:rPr>
            </w:r>
            <w:r>
              <w:rPr>
                <w:rFonts w:ascii="Calibri" w:hAnsi="Calibri"/>
                <w:b/>
                <w:color w:val="FFFFFF"/>
                <w:sz w:val="18"/>
              </w:rPr>
              <w:t>Priority</w:t>
            </w:r>
          </w:p>
        </w:tc>
        <w:tc>
          <w:tcPr>
            <w:tcW w:type="dxa" w:w="3685"/>
            <w:shd w:fill="134A4A"/>
          </w:tcPr>
          <w:p>
            <w:pPr>
              <w:jc w:val="center"/>
            </w:pPr>
            <w:r>
              <w:rPr>
                <w:b/>
                <w:color w:val="FFFFFF"/>
                <w:sz w:val="18"/>
              </w:rPr>
            </w:r>
            <w:r>
              <w:rPr>
                <w:rFonts w:ascii="Calibri" w:hAnsi="Calibri"/>
                <w:b/>
                <w:color w:val="FFFFFF"/>
                <w:sz w:val="18"/>
              </w:rPr>
              <w:t>Suggested Resolution</w:t>
            </w:r>
          </w:p>
        </w:tc>
        <w:tc>
          <w:tcPr>
            <w:tcW w:type="dxa" w:w="850"/>
            <w:shd w:fill="134A4A"/>
          </w:tcPr>
          <w:p>
            <w:pPr>
              <w:jc w:val="center"/>
            </w:pPr>
            <w:r>
              <w:rPr>
                <w:b/>
                <w:color w:val="FFFFFF"/>
                <w:sz w:val="18"/>
              </w:rPr>
            </w:r>
            <w:r>
              <w:rPr>
                <w:rFonts w:ascii="Calibri" w:hAnsi="Calibri"/>
                <w:b/>
                <w:color w:val="FFFFFF"/>
                <w:sz w:val="18"/>
              </w:rPr>
              <w:t>Status</w:t>
            </w:r>
          </w:p>
        </w:tc>
      </w:tr>
      <w:tr>
        <w:tc>
          <w:tcPr>
            <w:tcW w:type="dxa" w:w="340"/>
          </w:tcPr>
          <w:p>
            <w:pPr>
              <w:jc w:val="center"/>
            </w:pPr>
            <w:r/>
            <w:r>
              <w:rPr>
                <w:rFonts w:ascii="Calibri" w:hAnsi="Calibri"/>
                <w:b w:val="0"/>
                <w:color w:val="1A1A2E"/>
                <w:sz w:val="16"/>
              </w:rPr>
              <w:t>1</w:t>
            </w:r>
          </w:p>
        </w:tc>
        <w:tc>
          <w:tcPr>
            <w:tcW w:type="dxa" w:w="3685"/>
          </w:tcPr>
          <w:p>
            <w:r/>
            <w:r>
              <w:rPr>
                <w:rFonts w:ascii="Calibri" w:hAnsi="Calibri"/>
                <w:b/>
                <w:color w:val="0A5E5E"/>
                <w:sz w:val="18"/>
              </w:rPr>
              <w:t>Heading Hierarchy Issues</w:t>
              <w:br/>
            </w:r>
            <w:r>
              <w:rPr>
                <w:rFonts w:ascii="Calibri" w:hAnsi="Calibri"/>
                <w:color w:val="64748B"/>
                <w:sz w:val="16"/>
              </w:rPr>
              <w:t>Page: Multiple Pages</w:t>
              <w:br/>
            </w:r>
            <w:r>
              <w:rPr>
                <w:rFonts w:ascii="Calibri" w:hAnsi="Calibri"/>
                <w:color w:val="1A1A2E"/>
                <w:sz w:val="16"/>
              </w:rPr>
              <w:t>Several pages skip heading levels (H2 → H6), use H6 for event dates instead of semantic &lt;time&gt; elements, or cram entire paragraphs into H1 tags (e.g., the Accelerators page H1 is a full paragraph).</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Maintain proper H1 → H2 → H3 hierarchy. Use &lt;time&gt; for dates.</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2</w:t>
            </w:r>
          </w:p>
        </w:tc>
        <w:tc>
          <w:tcPr>
            <w:tcW w:type="dxa" w:w="3685"/>
          </w:tcPr>
          <w:p>
            <w:r/>
            <w:r>
              <w:rPr>
                <w:rFonts w:ascii="Calibri" w:hAnsi="Calibri"/>
                <w:b/>
                <w:color w:val="0A5E5E"/>
                <w:sz w:val="18"/>
              </w:rPr>
              <w:t>Tabbed Content Invisible to Search Engines</w:t>
              <w:br/>
            </w:r>
            <w:r>
              <w:rPr>
                <w:rFonts w:ascii="Calibri" w:hAnsi="Calibri"/>
                <w:color w:val="64748B"/>
                <w:sz w:val="16"/>
              </w:rPr>
              <w:t>Page: Homepage</w:t>
              <w:br/>
            </w:r>
            <w:r>
              <w:rPr>
                <w:rFonts w:ascii="Calibri" w:hAnsi="Calibri"/>
                <w:color w:val="1A1A2E"/>
                <w:sz w:val="16"/>
              </w:rPr>
              <w:t>The 'Our Services &amp; Solutions' tabs use JavaScript to toggle content visibility. Search engine crawlers may not index content in inactive tabs.</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Ensure all tab content is present in the DOM and accessible to crawlers, even if visually hidden.</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3</w:t>
            </w:r>
          </w:p>
        </w:tc>
        <w:tc>
          <w:tcPr>
            <w:tcW w:type="dxa" w:w="3685"/>
          </w:tcPr>
          <w:p>
            <w:r/>
            <w:r>
              <w:rPr>
                <w:rFonts w:ascii="Calibri" w:hAnsi="Calibri"/>
                <w:b/>
                <w:color w:val="0A5E5E"/>
                <w:sz w:val="18"/>
              </w:rPr>
              <w:t>No Breadcrumb Navigation</w:t>
              <w:br/>
            </w:r>
            <w:r>
              <w:rPr>
                <w:rFonts w:ascii="Calibri" w:hAnsi="Calibri"/>
                <w:color w:val="64748B"/>
                <w:sz w:val="16"/>
              </w:rPr>
              <w:t>Page: Solution &amp; Industry Sub-Pages</w:t>
              <w:br/>
            </w:r>
            <w:r>
              <w:rPr>
                <w:rFonts w:ascii="Calibri" w:hAnsi="Calibri"/>
                <w:color w:val="1A1A2E"/>
                <w:sz w:val="16"/>
              </w:rPr>
              <w:t>Deep pages like /sap/clean-data-for-sap/ have no breadcrumbs, making it hard for users to understand their location in the site hierarchy.</w:t>
            </w:r>
          </w:p>
        </w:tc>
        <w:tc>
          <w:tcPr>
            <w:tcW w:type="dxa" w:w="850"/>
            <w:shd w:fill="CFE2FF"/>
          </w:tcPr>
          <w:p>
            <w:pPr>
              <w:jc w:val="center"/>
            </w:pPr>
            <w:r/>
            <w:r>
              <w:rPr>
                <w:rFonts w:ascii="Calibri" w:hAnsi="Calibri"/>
                <w:b/>
                <w:color w:val="1A1A2E"/>
                <w:sz w:val="16"/>
              </w:rPr>
              <w:t>Medium</w:t>
            </w:r>
          </w:p>
        </w:tc>
        <w:tc>
          <w:tcPr>
            <w:tcW w:type="dxa" w:w="3685"/>
          </w:tcPr>
          <w:p>
            <w:pPr>
              <w:jc w:val="left"/>
            </w:pPr>
            <w:r/>
            <w:r>
              <w:rPr>
                <w:rFonts w:ascii="Calibri" w:hAnsi="Calibri"/>
                <w:b w:val="0"/>
                <w:color w:val="1A1A2E"/>
                <w:sz w:val="16"/>
              </w:rPr>
              <w:t>Add breadcrumb navigation to all sub-pages.</w:t>
            </w:r>
          </w:p>
        </w:tc>
        <w:tc>
          <w:tcPr>
            <w:tcW w:type="dxa" w:w="850"/>
          </w:tcPr>
          <w:p>
            <w:pPr>
              <w:jc w:val="center"/>
            </w:pPr>
            <w:r/>
            <w:r>
              <w:rPr>
                <w:rFonts w:ascii="Calibri" w:hAnsi="Calibri"/>
                <w:b w:val="0"/>
                <w:color w:val="1A1A2E"/>
                <w:sz w:val="16"/>
              </w:rPr>
              <w:t>Open</w:t>
            </w:r>
          </w:p>
        </w:tc>
      </w:tr>
      <w:tr>
        <w:tc>
          <w:tcPr>
            <w:tcW w:type="dxa" w:w="340"/>
          </w:tcPr>
          <w:p>
            <w:pPr>
              <w:jc w:val="center"/>
            </w:pPr>
            <w:r/>
            <w:r>
              <w:rPr>
                <w:rFonts w:ascii="Calibri" w:hAnsi="Calibri"/>
                <w:b w:val="0"/>
                <w:color w:val="1A1A2E"/>
                <w:sz w:val="16"/>
              </w:rPr>
              <w:t>4</w:t>
            </w:r>
          </w:p>
        </w:tc>
        <w:tc>
          <w:tcPr>
            <w:tcW w:type="dxa" w:w="3685"/>
          </w:tcPr>
          <w:p>
            <w:r/>
            <w:r>
              <w:rPr>
                <w:rFonts w:ascii="Calibri" w:hAnsi="Calibri"/>
                <w:b/>
                <w:color w:val="0A5E5E"/>
                <w:sz w:val="18"/>
              </w:rPr>
              <w:t>Data Governance Title Tag</w:t>
              <w:br/>
            </w:r>
            <w:r>
              <w:rPr>
                <w:rFonts w:ascii="Calibri" w:hAnsi="Calibri"/>
                <w:color w:val="64748B"/>
                <w:sz w:val="16"/>
              </w:rPr>
              <w:t>Page: Data Governance Page</w:t>
              <w:br/>
            </w:r>
            <w:r>
              <w:rPr>
                <w:rFonts w:ascii="Calibri" w:hAnsi="Calibri"/>
                <w:color w:val="1A1A2E"/>
                <w:sz w:val="16"/>
              </w:rPr>
              <w:t>The page title reads: 'Data Governance &amp; Consulting Services | Artha Solutions | Artha Solutions' — the brand name is duplicated.</w:t>
            </w:r>
          </w:p>
        </w:tc>
        <w:tc>
          <w:tcPr>
            <w:tcW w:type="dxa" w:w="850"/>
            <w:shd w:fill="FFF3CD"/>
          </w:tcPr>
          <w:p>
            <w:pPr>
              <w:jc w:val="center"/>
            </w:pPr>
            <w:r/>
            <w:r>
              <w:rPr>
                <w:rFonts w:ascii="Calibri" w:hAnsi="Calibri"/>
                <w:b/>
                <w:color w:val="1A1A2E"/>
                <w:sz w:val="16"/>
              </w:rPr>
              <w:t>High</w:t>
            </w:r>
          </w:p>
        </w:tc>
        <w:tc>
          <w:tcPr>
            <w:tcW w:type="dxa" w:w="3685"/>
          </w:tcPr>
          <w:p>
            <w:pPr>
              <w:jc w:val="left"/>
            </w:pPr>
            <w:r/>
            <w:r>
              <w:rPr>
                <w:rFonts w:ascii="Calibri" w:hAnsi="Calibri"/>
                <w:b w:val="0"/>
                <w:color w:val="1A1A2E"/>
                <w:sz w:val="16"/>
              </w:rPr>
              <w:t>Remove the duplicate 'Artha Solutions' from the title tag.</w:t>
            </w:r>
          </w:p>
        </w:tc>
        <w:tc>
          <w:tcPr>
            <w:tcW w:type="dxa" w:w="850"/>
          </w:tcPr>
          <w:p>
            <w:pPr>
              <w:jc w:val="center"/>
            </w:pPr>
            <w:r/>
            <w:r>
              <w:rPr>
                <w:rFonts w:ascii="Calibri" w:hAnsi="Calibri"/>
                <w:b w:val="0"/>
                <w:color w:val="1A1A2E"/>
                <w:sz w:val="16"/>
              </w:rPr>
              <w:t>Open</w:t>
            </w:r>
          </w:p>
        </w:tc>
      </w:tr>
    </w:tbl>
    <w:p/>
    <w:p>
      <w:pPr>
        <w:pStyle w:val="Heading2"/>
      </w:pPr>
      <w:r>
        <w:t>7.2 Performance Observations</w:t>
      </w:r>
    </w:p>
    <w:p>
      <w:pPr>
        <w:pStyle w:val="ListBullet"/>
      </w:pPr>
      <w:r>
        <w:rPr>
          <w:rFonts w:ascii="Calibri" w:hAnsi="Calibri"/>
          <w:sz w:val="18"/>
        </w:rPr>
        <w:t>Heavy JavaScript bundle: WordPress core, jQuery, Elementor JS, and multiple plugin scripts contribute to a significant JavaScript payload (estimated 400KB+), which impacts initial load time.</w:t>
      </w:r>
    </w:p>
    <w:p>
      <w:pPr>
        <w:pStyle w:val="ListBullet"/>
      </w:pPr>
      <w:r>
        <w:rPr>
          <w:rFonts w:ascii="Calibri" w:hAnsi="Calibri"/>
          <w:sz w:val="18"/>
        </w:rPr>
        <w:t>No visible CDN: Assets appear to be served directly from the origin server. Implementing a CDN (e.g., Cloudflare) would significantly improve global load times.</w:t>
      </w:r>
    </w:p>
    <w:p>
      <w:pPr>
        <w:pStyle w:val="ListBullet"/>
      </w:pPr>
      <w:r>
        <w:rPr>
          <w:rFonts w:ascii="Calibri" w:hAnsi="Calibri"/>
          <w:sz w:val="18"/>
        </w:rPr>
        <w:t>Image optimization: Client logos, event images, and partner badges could benefit from WebP format conversion and proper lazy loading.</w:t>
      </w:r>
    </w:p>
    <w:p>
      <w:pPr>
        <w:pStyle w:val="ListBullet"/>
      </w:pPr>
      <w:r>
        <w:rPr>
          <w:rFonts w:ascii="Calibri" w:hAnsi="Calibri"/>
          <w:sz w:val="18"/>
        </w:rPr>
        <w:t>Large DOM tree: The mega-menu, footer link blocks, and repeated content sections create a very large DOM (estimated 3,000+ nodes on the homepage), increasing memory usage and slowing CSS rendering.</w:t>
      </w:r>
    </w:p>
    <w:p>
      <w:pPr>
        <w:pStyle w:val="ListBullet"/>
      </w:pPr>
      <w:r>
        <w:rPr>
          <w:rFonts w:ascii="Calibri" w:hAnsi="Calibri"/>
          <w:sz w:val="18"/>
        </w:rPr>
        <w:t>Server-side rendering overhead: Each page request involves PHP execution and MySQL database queries, adding 200–800ms to the time-to-first-byte (TTFB). Page-level caching or a static caching plugin (e.g., WP Super Cache) would help.</w:t>
      </w:r>
    </w:p>
    <w:p>
      <w:pPr>
        <w:pStyle w:val="ListBullet"/>
      </w:pPr>
      <w:r>
        <w:rPr>
          <w:rFonts w:ascii="Calibri" w:hAnsi="Calibri"/>
          <w:sz w:val="18"/>
        </w:rPr>
        <w:t>Render-blocking resources: Multiple CSS and JS files in the &lt;head&gt; block rendering. Consider deferring non-critical scripts and inlining critical CSS.</w:t>
      </w:r>
    </w:p>
    <w:p/>
    <w:p>
      <w:pPr>
        <w:pStyle w:val="Heading2"/>
      </w:pPr>
      <w:r>
        <w:t>7.3 SEO Observations</w:t>
      </w:r>
    </w:p>
    <w:p>
      <w:pPr>
        <w:pStyle w:val="ListBullet"/>
      </w:pPr>
      <w:r>
        <w:rPr>
          <w:rFonts w:ascii="Calibri" w:hAnsi="Calibri"/>
          <w:sz w:val="18"/>
        </w:rPr>
        <w:t>Missing structured data (JSON-LD): No Organization, BreadcrumbList, FAQ, Event, or Article schema detected. Adding structured data improves search result appearance with rich snippets.</w:t>
      </w:r>
    </w:p>
    <w:p>
      <w:pPr>
        <w:pStyle w:val="ListBullet"/>
      </w:pPr>
      <w:r>
        <w:rPr>
          <w:rFonts w:ascii="Calibri" w:hAnsi="Calibri"/>
          <w:sz w:val="18"/>
        </w:rPr>
        <w:t>Internal links with trailing whitespace (%20): Several event and white-paper links have a trailing space encoded as '%20', which could cause 404 errors or canonicalization issues.</w:t>
      </w:r>
    </w:p>
    <w:p>
      <w:pPr>
        <w:pStyle w:val="ListBullet"/>
      </w:pPr>
      <w:r>
        <w:rPr>
          <w:rFonts w:ascii="Calibri" w:hAnsi="Calibri"/>
          <w:sz w:val="18"/>
        </w:rPr>
        <w:t>Missing alt attributes: Many images (client logos, event images) lack descriptive alt text, impacting accessibility and image search performance.</w:t>
      </w:r>
    </w:p>
    <w:p>
      <w:pPr>
        <w:pStyle w:val="ListBullet"/>
      </w:pPr>
      <w:r>
        <w:rPr>
          <w:rFonts w:ascii="Calibri" w:hAnsi="Calibri"/>
          <w:sz w:val="18"/>
        </w:rPr>
        <w:t>No visible XML sitemap link: Consider adding a link to the sitemap in the footer or robots.txt for easier search engine crawling.</w:t>
      </w:r>
    </w:p>
    <w:p>
      <w:pPr>
        <w:pStyle w:val="ListBullet"/>
      </w:pPr>
      <w:r>
        <w:rPr>
          <w:rFonts w:ascii="Calibri" w:hAnsi="Calibri"/>
          <w:sz w:val="18"/>
        </w:rPr>
        <w:t>Footer link density: The footer contains 50+ links across 4 categories, which may dilute link equity. Consider prioritizing key links.</w:t>
      </w:r>
    </w:p>
    <w:p>
      <w:r>
        <w:br w:type="page"/>
      </w:r>
    </w:p>
    <w:p>
      <w:pPr>
        <w:pStyle w:val="Heading1"/>
      </w:pPr>
      <w:r>
        <w:t>8. Summary &amp; Priority Matrix</w:t>
      </w:r>
    </w:p>
    <w:p>
      <w:r>
        <w:t>Below is a consolidated priority matrix of all new findings to help plan the resolution effort.</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fill="134A4A"/>
          </w:tcPr>
          <w:p>
            <w:pPr>
              <w:jc w:val="center"/>
            </w:pPr>
            <w:r>
              <w:rPr>
                <w:b/>
                <w:color w:val="FFFFFF"/>
                <w:sz w:val="18"/>
              </w:rPr>
            </w:r>
            <w:r>
              <w:rPr>
                <w:rFonts w:ascii="Calibri" w:hAnsi="Calibri"/>
                <w:b/>
                <w:color w:val="FFFFFF"/>
                <w:sz w:val="18"/>
              </w:rPr>
              <w:t>Priority</w:t>
            </w:r>
          </w:p>
        </w:tc>
        <w:tc>
          <w:tcPr>
            <w:tcW w:type="dxa" w:w="850"/>
            <w:shd w:fill="134A4A"/>
          </w:tcPr>
          <w:p>
            <w:pPr>
              <w:jc w:val="center"/>
            </w:pPr>
            <w:r>
              <w:rPr>
                <w:b/>
                <w:color w:val="FFFFFF"/>
                <w:sz w:val="18"/>
              </w:rPr>
            </w:r>
            <w:r>
              <w:rPr>
                <w:rFonts w:ascii="Calibri" w:hAnsi="Calibri"/>
                <w:b/>
                <w:color w:val="FFFFFF"/>
                <w:sz w:val="18"/>
              </w:rPr>
              <w:t>Count</w:t>
            </w:r>
          </w:p>
        </w:tc>
        <w:tc>
          <w:tcPr>
            <w:tcW w:type="dxa" w:w="7087"/>
            <w:shd w:fill="134A4A"/>
          </w:tcPr>
          <w:p>
            <w:pPr>
              <w:jc w:val="center"/>
            </w:pPr>
            <w:r>
              <w:rPr>
                <w:b/>
                <w:color w:val="FFFFFF"/>
                <w:sz w:val="18"/>
              </w:rPr>
            </w:r>
            <w:r>
              <w:rPr>
                <w:rFonts w:ascii="Calibri" w:hAnsi="Calibri"/>
                <w:b/>
                <w:color w:val="FFFFFF"/>
                <w:sz w:val="18"/>
              </w:rPr>
              <w:t>Key Items</w:t>
            </w:r>
          </w:p>
        </w:tc>
      </w:tr>
      <w:tr>
        <w:tc>
          <w:tcPr>
            <w:tcW w:type="dxa" w:w="1417"/>
            <w:shd w:fill="F8D7DA"/>
          </w:tcPr>
          <w:p>
            <w:pPr>
              <w:jc w:val="center"/>
            </w:pPr>
            <w:r/>
            <w:r>
              <w:rPr>
                <w:rFonts w:ascii="Calibri" w:hAnsi="Calibri"/>
                <w:b/>
                <w:color w:val="1A1A2E"/>
                <w:sz w:val="18"/>
              </w:rPr>
              <w:t>Critical</w:t>
            </w:r>
          </w:p>
        </w:tc>
        <w:tc>
          <w:tcPr>
            <w:tcW w:type="dxa" w:w="850"/>
          </w:tcPr>
          <w:p>
            <w:pPr>
              <w:jc w:val="center"/>
            </w:pPr>
            <w:r/>
            <w:r>
              <w:rPr>
                <w:rFonts w:ascii="Calibri" w:hAnsi="Calibri"/>
                <w:b w:val="0"/>
                <w:color w:val="1A1A2E"/>
                <w:sz w:val="18"/>
              </w:rPr>
              <w:t>7</w:t>
            </w:r>
          </w:p>
        </w:tc>
        <w:tc>
          <w:tcPr>
            <w:tcW w:type="dxa" w:w="7087"/>
          </w:tcPr>
          <w:p>
            <w:pPr>
              <w:jc w:val="left"/>
            </w:pPr>
            <w:r/>
            <w:r>
              <w:rPr>
                <w:rFonts w:ascii="Calibri" w:hAnsi="Calibri"/>
                <w:b w:val="0"/>
                <w:color w:val="1A1A2E"/>
                <w:sz w:val="16"/>
              </w:rPr>
              <w:t>Duplicate text blocks, spelling typo on SAP page, mismatched case study link, trailing URL spaces, title tag duplication</w:t>
            </w:r>
          </w:p>
        </w:tc>
      </w:tr>
      <w:tr>
        <w:tc>
          <w:tcPr>
            <w:tcW w:type="dxa" w:w="1417"/>
            <w:shd w:fill="FFF3CD"/>
          </w:tcPr>
          <w:p>
            <w:pPr>
              <w:jc w:val="center"/>
            </w:pPr>
            <w:r/>
            <w:r>
              <w:rPr>
                <w:rFonts w:ascii="Calibri" w:hAnsi="Calibri"/>
                <w:b/>
                <w:color w:val="1A1A2E"/>
                <w:sz w:val="18"/>
              </w:rPr>
              <w:t>High</w:t>
            </w:r>
          </w:p>
        </w:tc>
        <w:tc>
          <w:tcPr>
            <w:tcW w:type="dxa" w:w="850"/>
          </w:tcPr>
          <w:p>
            <w:pPr>
              <w:jc w:val="center"/>
            </w:pPr>
            <w:r/>
            <w:r>
              <w:rPr>
                <w:rFonts w:ascii="Calibri" w:hAnsi="Calibri"/>
                <w:b w:val="0"/>
                <w:color w:val="1A1A2E"/>
                <w:sz w:val="18"/>
              </w:rPr>
              <w:t>5</w:t>
            </w:r>
          </w:p>
        </w:tc>
        <w:tc>
          <w:tcPr>
            <w:tcW w:type="dxa" w:w="7087"/>
          </w:tcPr>
          <w:p>
            <w:pPr>
              <w:jc w:val="left"/>
            </w:pPr>
            <w:r/>
            <w:r>
              <w:rPr>
                <w:rFonts w:ascii="Calibri" w:hAnsi="Calibri"/>
                <w:b w:val="0"/>
                <w:color w:val="1A1A2E"/>
                <w:sz w:val="16"/>
              </w:rPr>
              <w:t>SAP heading differentiation, 'Al' → 'AI' typo, mobile overlapping elements, Data Governance title tag</w:t>
            </w:r>
          </w:p>
        </w:tc>
      </w:tr>
      <w:tr>
        <w:tc>
          <w:tcPr>
            <w:tcW w:type="dxa" w:w="1417"/>
            <w:shd w:fill="CFE2FF"/>
          </w:tcPr>
          <w:p>
            <w:pPr>
              <w:jc w:val="center"/>
            </w:pPr>
            <w:r/>
            <w:r>
              <w:rPr>
                <w:rFonts w:ascii="Calibri" w:hAnsi="Calibri"/>
                <w:b/>
                <w:color w:val="1A1A2E"/>
                <w:sz w:val="18"/>
              </w:rPr>
              <w:t>Medium</w:t>
            </w:r>
          </w:p>
        </w:tc>
        <w:tc>
          <w:tcPr>
            <w:tcW w:type="dxa" w:w="850"/>
          </w:tcPr>
          <w:p>
            <w:pPr>
              <w:jc w:val="center"/>
            </w:pPr>
            <w:r/>
            <w:r>
              <w:rPr>
                <w:rFonts w:ascii="Calibri" w:hAnsi="Calibri"/>
                <w:b w:val="0"/>
                <w:color w:val="1A1A2E"/>
                <w:sz w:val="18"/>
              </w:rPr>
              <w:t>11</w:t>
            </w:r>
          </w:p>
        </w:tc>
        <w:tc>
          <w:tcPr>
            <w:tcW w:type="dxa" w:w="7087"/>
          </w:tcPr>
          <w:p>
            <w:pPr>
              <w:jc w:val="left"/>
            </w:pPr>
            <w:r/>
            <w:r>
              <w:rPr>
                <w:rFonts w:ascii="Calibri" w:hAnsi="Calibri"/>
                <w:b w:val="0"/>
                <w:color w:val="1A1A2E"/>
                <w:sz w:val="16"/>
              </w:rPr>
              <w:t>Testimonial rotation, logo resolution, event card imagery, CTA consistency, breadcrumbs, mobile menu, tab arrows, DOM/CDN improvements</w:t>
            </w:r>
          </w:p>
        </w:tc>
      </w:tr>
      <w:tr>
        <w:tc>
          <w:tcPr>
            <w:tcW w:type="dxa" w:w="1417"/>
            <w:shd w:fill="E2E3E5"/>
          </w:tcPr>
          <w:p>
            <w:pPr>
              <w:jc w:val="center"/>
            </w:pPr>
            <w:r/>
            <w:r>
              <w:rPr>
                <w:rFonts w:ascii="Calibri" w:hAnsi="Calibri"/>
                <w:b/>
                <w:color w:val="1A1A2E"/>
                <w:sz w:val="18"/>
              </w:rPr>
              <w:t>Low</w:t>
            </w:r>
          </w:p>
        </w:tc>
        <w:tc>
          <w:tcPr>
            <w:tcW w:type="dxa" w:w="850"/>
          </w:tcPr>
          <w:p>
            <w:pPr>
              <w:jc w:val="center"/>
            </w:pPr>
            <w:r/>
            <w:r>
              <w:rPr>
                <w:rFonts w:ascii="Calibri" w:hAnsi="Calibri"/>
                <w:b w:val="0"/>
                <w:color w:val="1A1A2E"/>
                <w:sz w:val="18"/>
              </w:rPr>
              <w:t>5</w:t>
            </w:r>
          </w:p>
        </w:tc>
        <w:tc>
          <w:tcPr>
            <w:tcW w:type="dxa" w:w="7087"/>
          </w:tcPr>
          <w:p>
            <w:pPr>
              <w:jc w:val="left"/>
            </w:pPr>
            <w:r/>
            <w:r>
              <w:rPr>
                <w:rFonts w:ascii="Calibri" w:hAnsi="Calibri"/>
                <w:b w:val="0"/>
                <w:color w:val="1A1A2E"/>
                <w:sz w:val="16"/>
              </w:rPr>
              <w:t>Dark overlays, cookie banner, contact form styling, comma spacing, sitemap link</w:t>
            </w:r>
          </w:p>
        </w:tc>
      </w:tr>
    </w:tbl>
    <w:p/>
    <w:p>
      <w:pPr>
        <w:pStyle w:val="Heading1"/>
      </w:pPr>
      <w:r>
        <w:t>9. Closing Note</w:t>
      </w:r>
    </w:p>
    <w:p>
      <w:r>
        <w:t>We want to reiterate our appreciation for the hard work the development team has put into thinkartha.com. The site successfully communicates Artha Solutions' value proposition and serves as a strong digital presence for the company.</w:t>
      </w:r>
    </w:p>
    <w:p>
      <w:r>
        <w:t>The items listed in this report are intended as constructive observations to help refine and polish the website further. Most of the critical items involve straightforward content edits (removing duplicate widgets, correcting a typo, fixing a link) that should require minimal development time.</w:t>
      </w:r>
    </w:p>
    <w:p>
      <w:r>
        <w:t>We are happy to schedule a walkthrough of these findings at a time that works for the team, and we remain available to provide any additional context or testing support as needed.</w:t>
      </w:r>
    </w:p>
    <w:p>
      <w:r>
        <w:rPr>
          <w:rFonts w:ascii="Calibri" w:hAnsi="Calibri"/>
          <w:b/>
          <w:color w:val="0A5E5E"/>
          <w:sz w:val="20"/>
        </w:rPr>
        <w:t>Thank you for your attention and continued dedication to excellence.</w:t>
      </w:r>
    </w:p>
    <w:p>
      <w:r>
        <w:rPr>
          <w:rFonts w:ascii="Calibri" w:hAnsi="Calibri"/>
          <w:color w:val="1A1A2E"/>
          <w:sz w:val="20"/>
        </w:rPr>
        <w:t>Warm regards,</w:t>
        <w:br/>
      </w:r>
      <w:r>
        <w:rPr>
          <w:rFonts w:ascii="Calibri" w:hAnsi="Calibri"/>
          <w:color w:val="1A1A2E"/>
          <w:sz w:val="20"/>
        </w:rPr>
        <w:t>Vishnu Sai Rachakatla</w:t>
        <w:br/>
      </w:r>
      <w:r>
        <w:rPr>
          <w:rFonts w:ascii="Calibri" w:hAnsi="Calibri"/>
          <w:color w:val="1A1A2E"/>
          <w:sz w:val="20"/>
        </w:rPr>
        <w:t>Artha Solutions</w:t>
        <w:b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A5E5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A5E5E"/>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A5E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