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sz w:val="24"/>
          <w:szCs w:val="24"/>
        </w:rPr>
        <w:t xml:space="preserve">CASE STUDY PROJECT · FINAL REPORT</w:t>
      </w:r>
    </w:p>
    <w:p>
      <w:pPr>
        <w:spacing w:after="60"/>
        <w:jc w:val="center"/>
      </w:pPr>
      <w:r>
        <w:rPr>
          <w:b/>
          <w:bCs/>
          <w:color w:val="1F3864"/>
          <w:sz w:val="34"/>
          <w:szCs w:val="34"/>
        </w:rPr>
        <w:t xml:space="preserve">Wearable Wrist Rehabilitation Using Dual-Channel</w:t>
      </w:r>
    </w:p>
    <w:p>
      <w:pPr>
        <w:spacing w:after="300"/>
        <w:jc w:val="center"/>
      </w:pPr>
      <w:r>
        <w:rPr>
          <w:b/>
          <w:bCs/>
          <w:color w:val="1F3864"/>
          <w:sz w:val="34"/>
          <w:szCs w:val="34"/>
        </w:rPr>
        <w:t xml:space="preserve">Functional Electrical Stimulation (FES)</w:t>
      </w:r>
    </w:p>
    <w:p>
      <w:pPr>
        <w:spacing w:after="700"/>
        <w:jc w:val="center"/>
      </w:pPr>
      <w:r>
        <w:rPr>
          <w:i/>
          <w:iCs/>
          <w:sz w:val="24"/>
          <w:szCs w:val="24"/>
        </w:rPr>
        <w:t xml:space="preserve">Behavioural Simulation, System Design, and Comparative Evaluation of a Grip-then-Rotate Dual-Channel FES Controller</w:t>
      </w:r>
    </w:p>
    <w:p>
      <w:pPr>
        <w:spacing w:after="100"/>
        <w:jc w:val="center"/>
      </w:pPr>
      <w:r>
        <w:rPr>
          <w:sz w:val="24"/>
          <w:szCs w:val="24"/>
        </w:rPr>
        <w:t xml:space="preserve">Vishnu Thaimachedath Nandakumar</w:t>
      </w:r>
    </w:p>
    <w:p>
      <w:pPr>
        <w:spacing w:after="100"/>
        <w:jc w:val="center"/>
      </w:pPr>
      <w:r>
        <w:rPr>
          <w:sz w:val="24"/>
          <w:szCs w:val="24"/>
        </w:rPr>
        <w:t xml:space="preserve">Jeethu Thambi</w:t>
      </w:r>
    </w:p>
    <w:p>
      <w:pPr>
        <w:spacing w:after="500"/>
        <w:jc w:val="center"/>
      </w:pPr>
      <w:r>
        <w:rPr>
          <w:sz w:val="24"/>
          <w:szCs w:val="24"/>
        </w:rPr>
        <w:t xml:space="preserve">Thadepalli Nikitha</w:t>
      </w:r>
    </w:p>
    <w:p>
      <w:pPr>
        <w:spacing w:after="900"/>
        <w:jc w:val="center"/>
      </w:pPr>
      <w:r>
        <w:rPr>
          <w:i/>
          <w:iCs/>
          <w:sz w:val="24"/>
          <w:szCs w:val="24"/>
        </w:rPr>
        <w:t xml:space="preserve">Technische Hochschule Deggendorf</w:t>
      </w:r>
    </w:p>
    <w:p>
      <w:pPr>
        <w:sectPr>
          <w:pgSz w:w="12240" w:h="15840" w:orient="portrait"/>
          <w:pgMar w:top="1440" w:right="1440" w:bottom="1440" w:left="1440" w:header="708" w:footer="708" w:gutter="0"/>
          <w:pgNumType/>
          <w:docGrid w:linePitch="360"/>
        </w:sectPr>
      </w:pPr>
    </w:p>
    <w:p>
      <w:pPr>
        <w:spacing w:after="300"/>
      </w:pPr>
      <w:r>
        <w:rPr>
          <w:b/>
          <w:bCs/>
          <w:sz w:val="28"/>
          <w:szCs w:val="28"/>
        </w:rPr>
        <w:t xml:space="preserve">Table of Contents</w:t>
      </w:r>
    </w:p>
    <w:p>
      <w:pPr>
        <w:spacing w:after="60"/>
      </w:pPr>
      <w:r>
        <w:rPr>
          <w:sz w:val="22"/>
          <w:szCs w:val="22"/>
        </w:rPr>
        <w:t xml:space="preserve">Abstract</w:t>
      </w:r>
    </w:p>
    <w:p>
      <w:pPr>
        <w:spacing w:after="60"/>
      </w:pPr>
      <w:r>
        <w:rPr>
          <w:sz w:val="22"/>
          <w:szCs w:val="22"/>
        </w:rPr>
        <w:t xml:space="preserve">1. Introduction</w:t>
      </w:r>
    </w:p>
    <w:p>
      <w:pPr>
        <w:spacing w:after="60"/>
      </w:pPr>
      <w:r>
        <w:rPr>
          <w:sz w:val="22"/>
          <w:szCs w:val="22"/>
        </w:rPr>
        <w:t xml:space="preserve">2. Literature Review</w:t>
      </w:r>
    </w:p>
    <w:p>
      <w:pPr>
        <w:spacing w:after="60"/>
        <w:ind w:left="400"/>
      </w:pPr>
      <w:r>
        <w:rPr>
          <w:i/>
          <w:iCs/>
          <w:sz w:val="20"/>
          <w:szCs w:val="20"/>
        </w:rPr>
        <w:t xml:space="preserve">2.1 Haptic Gloves Combined with Semi-Immersive Virtual Reality: Clinical Evidence [1]</w:t>
      </w:r>
    </w:p>
    <w:p>
      <w:pPr>
        <w:spacing w:after="60"/>
        <w:ind w:left="400"/>
      </w:pPr>
      <w:r>
        <w:rPr>
          <w:i/>
          <w:iCs/>
          <w:sz w:val="20"/>
          <w:szCs w:val="20"/>
        </w:rPr>
        <w:t xml:space="preserve">2.2 Early Soft Pneumatic Glove Design [2]</w:t>
      </w:r>
    </w:p>
    <w:p>
      <w:pPr>
        <w:spacing w:after="60"/>
        <w:ind w:left="400"/>
      </w:pPr>
      <w:r>
        <w:rPr>
          <w:i/>
          <w:iCs/>
          <w:sz w:val="20"/>
          <w:szCs w:val="20"/>
        </w:rPr>
        <w:t xml:space="preserve">2.3 Soft Robotic Glove with Sensing and Force Feedback for VR [4]</w:t>
      </w:r>
    </w:p>
    <w:p>
      <w:pPr>
        <w:spacing w:after="60"/>
        <w:ind w:left="400"/>
      </w:pPr>
      <w:r>
        <w:rPr>
          <w:i/>
          <w:iCs/>
          <w:sz w:val="20"/>
          <w:szCs w:val="20"/>
        </w:rPr>
        <w:t xml:space="preserve">2.4 Vibrotactile Haptic Glove for Fine Motor Training [5]</w:t>
      </w:r>
    </w:p>
    <w:p>
      <w:pPr>
        <w:spacing w:after="60"/>
        <w:ind w:left="400"/>
      </w:pPr>
      <w:r>
        <w:rPr>
          <w:i/>
          <w:iCs/>
          <w:sz w:val="20"/>
          <w:szCs w:val="20"/>
        </w:rPr>
        <w:t xml:space="preserve">2.5 Low-Cost Haptic Glove with Exergames [6]</w:t>
      </w:r>
    </w:p>
    <w:p>
      <w:pPr>
        <w:spacing w:after="60"/>
        <w:ind w:left="400"/>
      </w:pPr>
      <w:r>
        <w:rPr>
          <w:i/>
          <w:iCs/>
          <w:sz w:val="20"/>
          <w:szCs w:val="20"/>
        </w:rPr>
        <w:t xml:space="preserve">2.6 Haptic Virtual Exercises for Poststroke Diagnosis [7]</w:t>
      </w:r>
    </w:p>
    <w:p>
      <w:pPr>
        <w:spacing w:after="60"/>
        <w:ind w:left="400"/>
      </w:pPr>
      <w:r>
        <w:rPr>
          <w:i/>
          <w:iCs/>
          <w:sz w:val="20"/>
          <w:szCs w:val="20"/>
        </w:rPr>
        <w:t xml:space="preserve">2.7 Sensor Fusion for Hand Rehabilitation: A Systematic Review [8]</w:t>
      </w:r>
    </w:p>
    <w:p>
      <w:pPr>
        <w:spacing w:after="60"/>
      </w:pPr>
      <w:r>
        <w:rPr>
          <w:sz w:val="22"/>
          <w:szCs w:val="22"/>
        </w:rPr>
        <w:t xml:space="preserve">3. Identified Research Gap</w:t>
      </w:r>
    </w:p>
    <w:p>
      <w:pPr>
        <w:spacing w:after="60"/>
      </w:pPr>
      <w:r>
        <w:rPr>
          <w:sz w:val="22"/>
          <w:szCs w:val="22"/>
        </w:rPr>
        <w:t xml:space="preserve">4. Proposed System: Dual-Channel FES for Wrist Rehabilitation</w:t>
      </w:r>
    </w:p>
    <w:p>
      <w:pPr>
        <w:spacing w:after="60"/>
      </w:pPr>
      <w:r>
        <w:rPr>
          <w:sz w:val="22"/>
          <w:szCs w:val="22"/>
        </w:rPr>
        <w:t xml:space="preserve">5. Development Process</w:t>
      </w:r>
    </w:p>
    <w:p>
      <w:pPr>
        <w:spacing w:after="60"/>
      </w:pPr>
      <w:r>
        <w:rPr>
          <w:sz w:val="22"/>
          <w:szCs w:val="22"/>
        </w:rPr>
        <w:t xml:space="preserve">6. Behavioural Simulation and Results</w:t>
      </w:r>
    </w:p>
    <w:p>
      <w:pPr>
        <w:spacing w:after="60"/>
        <w:ind w:left="400"/>
      </w:pPr>
      <w:r>
        <w:rPr>
          <w:i/>
          <w:iCs/>
          <w:sz w:val="20"/>
          <w:szCs w:val="20"/>
        </w:rPr>
        <w:t xml:space="preserve">6.1 Simulation Purpose and Scope</w:t>
      </w:r>
    </w:p>
    <w:p>
      <w:pPr>
        <w:spacing w:after="60"/>
        <w:ind w:left="400"/>
      </w:pPr>
      <w:r>
        <w:rPr>
          <w:i/>
          <w:iCs/>
          <w:sz w:val="20"/>
          <w:szCs w:val="20"/>
        </w:rPr>
        <w:t xml:space="preserve">6.2 Grip-Channel Control Logic</w:t>
      </w:r>
    </w:p>
    <w:p>
      <w:pPr>
        <w:spacing w:after="60"/>
        <w:ind w:left="400"/>
      </w:pPr>
      <w:r>
        <w:rPr>
          <w:i/>
          <w:iCs/>
          <w:sz w:val="20"/>
          <w:szCs w:val="20"/>
        </w:rPr>
        <w:t xml:space="preserve">6.3 Rotation-Channel Control Logic</w:t>
      </w:r>
    </w:p>
    <w:p>
      <w:pPr>
        <w:spacing w:after="60"/>
        <w:ind w:left="400"/>
      </w:pPr>
      <w:r>
        <w:rPr>
          <w:i/>
          <w:iCs/>
          <w:sz w:val="20"/>
          <w:szCs w:val="20"/>
        </w:rPr>
        <w:t xml:space="preserve">6.4 Escalating FES Force Profile</w:t>
      </w:r>
    </w:p>
    <w:p>
      <w:pPr>
        <w:spacing w:after="60"/>
        <w:ind w:left="400"/>
      </w:pPr>
      <w:r>
        <w:rPr>
          <w:i/>
          <w:iCs/>
          <w:sz w:val="20"/>
          <w:szCs w:val="20"/>
        </w:rPr>
        <w:t xml:space="preserve">6.5 Simulated Patient Results</w:t>
      </w:r>
    </w:p>
    <w:p>
      <w:pPr>
        <w:spacing w:after="60"/>
        <w:ind w:left="400"/>
      </w:pPr>
      <w:r>
        <w:rPr>
          <w:i/>
          <w:iCs/>
          <w:sz w:val="20"/>
          <w:szCs w:val="20"/>
        </w:rPr>
        <w:t xml:space="preserve">6.6 Observations and Controller Refinements Identified</w:t>
      </w:r>
    </w:p>
    <w:p>
      <w:pPr>
        <w:spacing w:after="60"/>
      </w:pPr>
      <w:r>
        <w:rPr>
          <w:sz w:val="22"/>
          <w:szCs w:val="22"/>
        </w:rPr>
        <w:t xml:space="preserve">7. Limitations and Future Scope</w:t>
      </w:r>
    </w:p>
    <w:p>
      <w:pPr>
        <w:spacing w:after="60"/>
      </w:pPr>
      <w:r>
        <w:rPr>
          <w:sz w:val="22"/>
          <w:szCs w:val="22"/>
        </w:rPr>
        <w:t xml:space="preserve">8. Comparative Discussion</w:t>
      </w:r>
    </w:p>
    <w:p>
      <w:pPr>
        <w:spacing w:after="60"/>
      </w:pPr>
      <w:r>
        <w:rPr>
          <w:sz w:val="22"/>
          <w:szCs w:val="22"/>
        </w:rPr>
        <w:t xml:space="preserve">9. Conclusion</w:t>
      </w:r>
    </w:p>
    <w:p>
      <w:pPr>
        <w:spacing w:after="60"/>
      </w:pPr>
      <w:r>
        <w:rPr>
          <w:sz w:val="22"/>
          <w:szCs w:val="22"/>
        </w:rPr>
        <w:t xml:space="preserve">References</w:t>
      </w:r>
    </w:p>
    <w:p>
      <w:pPr>
        <w:sectPr>
          <w:pgSz w:w="12240" w:h="15840" w:orient="portrait"/>
          <w:pgMar w:top="1440" w:right="1440" w:bottom="1440" w:left="1440" w:header="708" w:footer="708" w:gutter="0"/>
          <w:pgNumType/>
          <w:docGrid w:linePitch="360"/>
        </w:sectPr>
      </w:pPr>
    </w:p>
    <w:p>
      <w:pPr>
        <w:pStyle w:val="Heading1"/>
        <w:spacing w:after="200" w:before="400"/>
      </w:pPr>
      <w:r>
        <w:t xml:space="preserve">Abstract</w:t>
      </w:r>
    </w:p>
    <w:p>
      <w:pPr>
        <w:spacing w:after="180" w:line="276"/>
        <w:jc w:val="both"/>
      </w:pPr>
      <w:r>
        <w:rPr>
          <w:b w:val="false"/>
          <w:bCs w:val="false"/>
          <w:i w:val="false"/>
          <w:iCs w:val="false"/>
          <w:sz w:val="22"/>
          <w:szCs w:val="22"/>
        </w:rPr>
        <w:t xml:space="preserve">Stroke and other neurological or musculoskeletal conditions frequently impair hand and upper-limb function, limiting a person's ability to perform daily tasks. Haptic and robotic glove systems, often combined with virtual reality (VR), have emerged as a promising technology for upper-extremity motor rehabilitation, offering repeatable, motivating, and quantifiable training. This report reviews eight sources spanning systematic reviews, meta-analyses, and original device-development studies on haptic gloves for hand and upper-limb rehabilitation, covering rigid and soft actuation approaches, sensing and feedback modalities, sensor fusion techniques, and integration with VR-based exercises. Across this literature, rehabilitation efforts consistently target finger flexion, grasping, and general hand function, while assisted wrist rotation remains comparatively underexplored in lightweight, wearable devices.</w:t>
      </w:r>
    </w:p>
    <w:p>
      <w:pPr>
        <w:spacing w:after="180" w:line="276"/>
        <w:jc w:val="both"/>
      </w:pPr>
      <w:r>
        <w:rPr>
          <w:b w:val="false"/>
          <w:bCs w:val="false"/>
          <w:i w:val="false"/>
          <w:iCs w:val="false"/>
          <w:sz w:val="22"/>
          <w:szCs w:val="22"/>
        </w:rPr>
        <w:t xml:space="preserve">Building on this identified gap, the report presents the authors' own project: a wearable wrist rehabilitation system that uses dual-channel Functional Electrical Stimulation (FES) to produce wrist pronation and supination by stimulating the user's own forearm muscles, eliminating mechanical actuators entirely. The proposed system — a fabric glove and forearm-mounted FES band under 150 g in total mass — is compared against traditional mechanical rehabilitation baselines (motors, pneumatics, and series elastic actuators) across weight, cost, and portability, showing substantial gains on all three fronts. Beyond the hardware concept, this final report adds a behavioural, software-only simulation of the dual-channel controller logic — a grip-then-rotate task with an escalating FES force profile, validated across five simulated patients spanning the full spectrum from fully voluntary movement to full FES dependence. The report closes with the system's development process, simulation results, limitations, and future scope.</w:t>
      </w:r>
    </w:p>
    <w:p>
      <w:pPr>
        <w:spacing w:after="300"/>
      </w:pPr>
      <w:r>
        <w:rPr>
          <w:b/>
          <w:bCs/>
          <w:i/>
          <w:iCs/>
          <w:sz w:val="22"/>
          <w:szCs w:val="22"/>
        </w:rPr>
        <w:t xml:space="preserve">Keywords: </w:t>
      </w:r>
      <w:r>
        <w:rPr>
          <w:i/>
          <w:iCs/>
          <w:sz w:val="22"/>
          <w:szCs w:val="22"/>
        </w:rPr>
        <w:t xml:space="preserve">Functional Electrical Stimulation (FES); wrist rehabilitation; wearable robotics; hand rehabilitation; haptic glove; sensor fusion; assistive technology; stroke rehabilitation; behavioural simulation</w:t>
      </w:r>
    </w:p>
    <w:p>
      <w:pPr>
        <w:pStyle w:val="Heading1"/>
        <w:spacing w:after="200" w:before="400"/>
      </w:pPr>
      <w:r>
        <w:t xml:space="preserve">1. Introduction</w:t>
      </w:r>
    </w:p>
    <w:p>
      <w:pPr>
        <w:spacing w:after="180" w:line="276"/>
        <w:jc w:val="both"/>
      </w:pPr>
      <w:r>
        <w:rPr>
          <w:b w:val="false"/>
          <w:bCs w:val="false"/>
          <w:i w:val="false"/>
          <w:iCs w:val="false"/>
          <w:sz w:val="22"/>
          <w:szCs w:val="22"/>
        </w:rPr>
        <w:t xml:space="preserve">Loss of hand and upper-limb function is one of the most common and disabling consequences of stroke and other neurological injuries, affecting activities such as grasping, writing, and self-care [1]. Conventional physical and occupational therapy remains the standard of care, but it is often labor-intensive, repetitive, and difficult to sustain in terms of patient motivation and treatment dose. Over the past two decades, haptic glove systems — wearable devices that provide mechanical, vibrotactile, or force feedback to the hand — have been developed as an adjunct or alternative to conventional therapy, frequently in combination with virtual reality (VR) environments that turn repetitive exercises into engaging, game-like tasks [1], [6].</w:t>
      </w:r>
    </w:p>
    <w:p>
      <w:pPr>
        <w:spacing w:after="180" w:line="276"/>
        <w:jc w:val="both"/>
      </w:pPr>
      <w:r>
        <w:rPr>
          <w:b w:val="false"/>
          <w:bCs w:val="false"/>
          <w:i w:val="false"/>
          <w:iCs w:val="false"/>
          <w:sz w:val="22"/>
          <w:szCs w:val="22"/>
        </w:rPr>
        <w:t xml:space="preserve">This report first reviews eight sources on haptic glove systems for hand and upper-limb rehabilitation, selected as background material for the present project. The sources include a systematic review and meta-analysis of clinical trials [1], original design and development studies of pneumatic and soft robotic gloves [2], [4], vibrotactile and force-feedback haptic devices integrated with VR exercises [5], [6], [7], and a systematic review of sensor fusion techniques applied to hand rehabilitation [8]. Note: the reference numbering follows the list supplied for this project; reference [3] was not included in the supplied source list and is therefore omitted from this review.</w:t>
      </w:r>
    </w:p>
    <w:p>
      <w:pPr>
        <w:spacing w:after="180" w:line="276"/>
        <w:jc w:val="both"/>
      </w:pPr>
      <w:r>
        <w:rPr>
          <w:b w:val="false"/>
          <w:bCs w:val="false"/>
          <w:i w:val="false"/>
          <w:iCs w:val="false"/>
          <w:sz w:val="22"/>
          <w:szCs w:val="22"/>
        </w:rPr>
        <w:t xml:space="preserve">Building on the gap identified across this literature, the report then presents the authors' own contribution: a lightweight, wearable wrist rehabilitation system built around dual-channel Functional Electrical Stimulation (FES), designed to restore wrist rotation without any mechanical actuator. The remainder of this report is organized as follows. Section 2 presents the literature review. Section 3 identifies the research gap that motivates the present project. Section 4 describes the proposed FES-based system and compares it against traditional mechanical baselines. Section 5 discusses the system's development process. Section 6 presents a behavioural, software-only simulation of the dual-channel FES controller logic, validated across five simulated patients, together with the results and observations that followed. Section 7 outlines limitations and future scope, Section 8 provides an overall comparative discussion, and Section 9 concludes the report.</w:t>
      </w:r>
    </w:p>
    <w:p>
      <w:pPr>
        <w:pStyle w:val="Heading1"/>
        <w:spacing w:after="200" w:before="400"/>
      </w:pPr>
      <w:r>
        <w:t xml:space="preserve">2. Literature Review</w:t>
      </w:r>
    </w:p>
    <w:p>
      <w:pPr>
        <w:pStyle w:val="Heading2"/>
        <w:spacing w:after="150" w:before="300"/>
      </w:pPr>
      <w:r>
        <w:t xml:space="preserve">2.1 Haptic Gloves Combined with Semi-Immersive Virtual Reality: Clinical Evidence [1]</w:t>
      </w:r>
    </w:p>
    <w:p>
      <w:pPr>
        <w:spacing w:after="180" w:line="276"/>
        <w:jc w:val="both"/>
      </w:pPr>
      <w:r>
        <w:rPr>
          <w:b w:val="false"/>
          <w:bCs w:val="false"/>
          <w:i w:val="false"/>
          <w:iCs w:val="false"/>
          <w:sz w:val="22"/>
          <w:szCs w:val="22"/>
        </w:rPr>
        <w:t xml:space="preserve">Fernández-Vázquez, Cano-de-la-Cuerda, and Navarro-López [1] conducted a systematic review and meta-analysis to evaluate the effectiveness of haptic gloves combined with semi-immersive VR (SVR) for upper-extremity motor rehabilitation after stroke, compared with conventional therapy. Following PRISMA guidelines, the authors searched six databases and, after screening more than 1,400 records, included seven randomized controlled trials totaling 230 stroke patients. The included studies used devices such as the RAFAEL Smart Glove, the CyberGlove/Cybergrasp system, the Bi-Manu Trainer, and the PneuGlove, applied over 8 to 24 sessions of 30 minutes to 1 hour.</w:t>
      </w:r>
    </w:p>
    <w:p>
      <w:pPr>
        <w:spacing w:after="180" w:line="276"/>
        <w:jc w:val="both"/>
      </w:pPr>
      <w:r>
        <w:rPr>
          <w:b w:val="false"/>
          <w:bCs w:val="false"/>
          <w:i w:val="false"/>
          <w:iCs w:val="false"/>
          <w:sz w:val="22"/>
          <w:szCs w:val="22"/>
        </w:rPr>
        <w:t xml:space="preserve">The meta-analysis found a statistically significant, moderate improvement in upper-extremity function in the short term for the glove-plus-SVR group compared with conventional therapy. Long-term improvements (beyond one month) were also significant overall, but subgroup analysis showed that these gains were maintained only when glove-and-SVR training was combined with additional conventional rehabilitation; without it, long-term differences were not significant. Hand grip strength did not improve significantly with glove-and-SVR training relative to conventional therapy. The authors recommend a minimum of roughly 15 treatment sessions, delivered 3 to 5 times per week for 30 minutes to 1 hour, ideally alongside conventional rehabilitation, and note that no adverse events or cybersickness were reported across the included trials. All seven included trials targeted overall upper-extremity or hand function; none isolated wrist rotation (pronation/supination) as a distinct training target.</w:t>
      </w:r>
    </w:p>
    <w:p>
      <w:pPr>
        <w:pStyle w:val="Heading2"/>
        <w:spacing w:after="150" w:before="300"/>
      </w:pPr>
      <w:r>
        <w:t xml:space="preserve">2.2 Early Soft Pneumatic Glove Design [2]</w:t>
      </w:r>
    </w:p>
    <w:p>
      <w:pPr>
        <w:spacing w:after="180" w:line="276"/>
        <w:jc w:val="both"/>
      </w:pPr>
      <w:r>
        <w:rPr>
          <w:b w:val="false"/>
          <w:bCs w:val="false"/>
          <w:i w:val="false"/>
          <w:iCs w:val="false"/>
          <w:sz w:val="22"/>
          <w:szCs w:val="22"/>
        </w:rPr>
        <w:t xml:space="preserve">Polygerinos et al. [2] present early design, development, and evaluation work on a soft pneumatic glove intended for hand rehabilitation exercises. Unlike rigid exoskeleton-based gloves, this device uses soft elastomeric actuators to gently assist finger flexion and extension, aiming to replicate common clinical hand exercises that help patients regain finger mobility and strength after conditions such as traumatic finger injury. The paper reports preliminary results on the actuator design and its integration into a wearable glove form factor, laying groundwork for the broader family of soft robotic rehabilitation gloves that followed from the same research group in subsequent years. Like most soft-actuator gloves that followed it, the device targets finger joints; wrist rotation is outside its scope.</w:t>
      </w:r>
    </w:p>
    <w:p>
      <w:pPr>
        <w:pStyle w:val="Heading2"/>
        <w:spacing w:after="150" w:before="300"/>
      </w:pPr>
      <w:r>
        <w:t xml:space="preserve">2.3 Soft Robotic Glove with Sensing and Force Feedback for VR [4]</w:t>
      </w:r>
    </w:p>
    <w:p>
      <w:pPr>
        <w:spacing w:after="180" w:line="276"/>
        <w:jc w:val="both"/>
      </w:pPr>
      <w:r>
        <w:rPr>
          <w:b w:val="false"/>
          <w:bCs w:val="false"/>
          <w:i w:val="false"/>
          <w:iCs w:val="false"/>
          <w:sz w:val="22"/>
          <w:szCs w:val="22"/>
        </w:rPr>
        <w:t xml:space="preserve">Li et al. [4] describe an inexpensive soft robotic glove designed specifically for hand rehabilitation within a VR environment, addressing the cost and engagement limitations of many existing rehabilitation devices. The system integrates fifteen inertial measurement units for detailed finger motion tracking together with a motor-tendon actuation system mounted on the forearm that applies force to the fingertips through anchoring points. This arrangement allows the device to provide force feedback so that users can physically feel the resistance or shape of virtual objects they interact with in VR, combining accurate motion sensing with tactile realism in a low-cost package. The forearm-mounted actuation targets fingertip force rather than forearm or wrist rotation.</w:t>
      </w:r>
    </w:p>
    <w:p>
      <w:pPr>
        <w:pStyle w:val="Heading2"/>
        <w:spacing w:after="150" w:before="300"/>
      </w:pPr>
      <w:r>
        <w:t xml:space="preserve">2.4 Vibrotactile Haptic Glove for Fine Motor Training [5]</w:t>
      </w:r>
    </w:p>
    <w:p>
      <w:pPr>
        <w:spacing w:after="180" w:line="276"/>
        <w:jc w:val="both"/>
      </w:pPr>
      <w:r>
        <w:rPr>
          <w:b w:val="false"/>
          <w:bCs w:val="false"/>
          <w:i w:val="false"/>
          <w:iCs w:val="false"/>
          <w:sz w:val="22"/>
          <w:szCs w:val="22"/>
        </w:rPr>
        <w:t xml:space="preserve">Lin, Tsai, Shih, and Wu [5] developed a haptic glove aimed at improving finger dexterity in poststroke rehabilitation by combining vibrotactile feedback with a virtual-reality interactive environment. The device uses small DC vibration motors to deliver tactile stimulation and piezoresistive thin-film force sensors to measure finger force during exercises. Two VR-based mini-games — a “gopher hitting” task and a “musical note hitting” task — were developed to give patients an engaging way to practice fine motor control while their performance is quantitatively tracked through the embedded sensors.</w:t>
      </w:r>
    </w:p>
    <w:p>
      <w:pPr>
        <w:pStyle w:val="Heading2"/>
        <w:spacing w:after="150" w:before="300"/>
      </w:pPr>
      <w:r>
        <w:t xml:space="preserve">2.5 Low-Cost Haptic Glove with Exergames [6]</w:t>
      </w:r>
    </w:p>
    <w:p>
      <w:pPr>
        <w:spacing w:after="180" w:line="276"/>
        <w:jc w:val="both"/>
      </w:pPr>
      <w:r>
        <w:rPr>
          <w:b w:val="false"/>
          <w:bCs w:val="false"/>
          <w:i w:val="false"/>
          <w:iCs w:val="false"/>
          <w:sz w:val="22"/>
          <w:szCs w:val="22"/>
        </w:rPr>
        <w:t xml:space="preserve">Hoda, Hafidh, and El Saddik [6] designed and implemented a lightweight, cost-effective haptic glove intended to assist finger rehabilitation, motivated by the observation that finger impairment significantly limits patients' daily activities. Their system pairs the glove with two virtual exergames — a ball-squeezing task and a cup-raising task — and was tested with 20 healthy subjects over four days. The preliminary results showed general user acceptance of the system, supporting the feasibility of using low-cost haptic feedback hardware to improve engagement and performance in rehabilitation-style exercises, though the study did not yet involve stroke patients.</w:t>
      </w:r>
    </w:p>
    <w:p>
      <w:pPr>
        <w:pStyle w:val="Heading2"/>
        <w:spacing w:after="150" w:before="300"/>
      </w:pPr>
      <w:r>
        <w:t xml:space="preserve">2.6 Haptic Virtual Exercises for Poststroke Diagnosis [7]</w:t>
      </w:r>
    </w:p>
    <w:p>
      <w:pPr>
        <w:spacing w:after="180" w:line="276"/>
        <w:jc w:val="both"/>
      </w:pPr>
      <w:r>
        <w:rPr>
          <w:b w:val="false"/>
          <w:bCs w:val="false"/>
          <w:i w:val="false"/>
          <w:iCs w:val="false"/>
          <w:sz w:val="22"/>
          <w:szCs w:val="22"/>
        </w:rPr>
        <w:t xml:space="preserve">Alamri, Eid, Iglesias, Shirmohammadi, and El Saddik [7] developed and tested a framework of five virtual, haptics-enabled exercises for both the diagnosis and rehabilitation of hand impairments following stroke. The exercises were built around well-established clinical assessments, including the Jebsen Test of Hand Function and the Box and Block Test, reimplemented as interactive virtual tasks. By collecting performance data from healthy participants, the authors aimed to establish reference benchmarks against which a patient's performance could later be compared, a capability intended to support occupational therapists in objectively tracking patient progress over time.</w:t>
      </w:r>
    </w:p>
    <w:p>
      <w:pPr>
        <w:pStyle w:val="Heading2"/>
        <w:spacing w:after="150" w:before="300"/>
      </w:pPr>
      <w:r>
        <w:t xml:space="preserve">2.7 Sensor Fusion for Hand Rehabilitation: A Systematic Review [8]</w:t>
      </w:r>
    </w:p>
    <w:p>
      <w:pPr>
        <w:spacing w:after="180" w:line="276"/>
        <w:jc w:val="both"/>
      </w:pPr>
      <w:r>
        <w:rPr>
          <w:b w:val="false"/>
          <w:bCs w:val="false"/>
          <w:i w:val="false"/>
          <w:iCs w:val="false"/>
          <w:sz w:val="22"/>
          <w:szCs w:val="22"/>
        </w:rPr>
        <w:t xml:space="preserve">Herrera-Luna, Rechy-Ramirez, Rios-Figueroa, and Marin-Hernandez [8] conducted a systematic review focused specifically on sensor fusion techniques used within hand rehabilitation applications, searching IEEE Xplore, Web of Science, ACM Digital Library, and PubMed and applying PRISMA and QualSyst protocols for study selection and quality assessment. Of 102 initially retrieved articles, 29 were found to combine multiple sensor modalities for hand rehabilitation. The review organizes these into three application areas: sensor fusion for detecting hand movement, sensor fusion for controlling exoskeletons, and sensor fusion within serious games for rehabilitation. Electromyography sensors were identified as the most commonly used modality, followed by inertial sensors, reflecting a trend toward combining bio-signal and motion data to improve the accuracy and responsiveness of rehabilitation systems. None of the three application areas identified in this review is organized specifically around wrist rotation.</w:t>
      </w:r>
    </w:p>
    <w:p>
      <w:pPr>
        <w:pStyle w:val="Heading1"/>
        <w:spacing w:after="200" w:before="400"/>
      </w:pPr>
      <w:r>
        <w:t xml:space="preserve">3. Identified Research Gap</w:t>
      </w:r>
    </w:p>
    <w:p>
      <w:pPr>
        <w:spacing w:after="180" w:line="276"/>
        <w:jc w:val="both"/>
      </w:pPr>
      <w:r>
        <w:rPr>
          <w:b w:val="false"/>
          <w:bCs w:val="false"/>
          <w:i w:val="false"/>
          <w:iCs w:val="false"/>
          <w:sz w:val="22"/>
          <w:szCs w:val="22"/>
        </w:rPr>
        <w:t xml:space="preserve">Taken together, the reviewed literature shows a consistent focus on finger-level movement. The clinical trials synthesized in [1] target overall upper-extremity function using devices built around finger and hand grasping exercises. The device-development studies [2], [4], [5], [6] all design actuation and sensing specifically around finger flexion, extension, or grip, whether through pneumatic actuators [2], motor-tendon force feedback [4], or vibrotactile stimulation [5], [6]. The diagnostic framework in [7] likewise builds its reference exercises around finger- and hand-function tests (the Jebsen Test of Hand Function and the Box and Block Test), and the sensor fusion review [8] categorizes existing work into hand-movement detection, exoskeleton control, and serious games — again without a dedicated wrist-rotation category.</w:t>
      </w:r>
    </w:p>
    <w:p>
      <w:pPr>
        <w:spacing w:after="180" w:line="276"/>
        <w:jc w:val="both"/>
      </w:pPr>
      <w:r>
        <w:rPr>
          <w:b w:val="false"/>
          <w:bCs w:val="false"/>
          <w:i w:val="false"/>
          <w:iCs w:val="false"/>
          <w:sz w:val="22"/>
          <w:szCs w:val="22"/>
        </w:rPr>
        <w:t xml:space="preserve">This leaves a clear gap: assisted wrist rotation (pronation and supination) is comparatively underexplored in lightweight, wearable rehabilitation devices, even though wrist mobility is essential for many activities of daily living that depend on orienting the hand and forearm, such as turning a key, using a doorknob, or eating. Existing wrist-capable solutions in the broader rehabilitation robotics field tend to rely on rigid exoskeleton structures or additional motorized joints, which increase device weight, cost, and structural complexity, working against the goal of a portable, home-usable system [1], [2]. This gap in wrist-focused, actuator-free wearable rehabilitation is the starting point for the project described in the remainder of this report.</w:t>
      </w:r>
    </w:p>
    <w:p>
      <w:pPr>
        <w:pStyle w:val="Heading1"/>
        <w:spacing w:after="200" w:before="400"/>
      </w:pPr>
      <w:r>
        <w:t xml:space="preserve">4. Proposed System: Dual-Channel FES for Wrist Rehabilitation</w:t>
      </w:r>
    </w:p>
    <w:p>
      <w:pPr>
        <w:spacing w:after="180" w:line="276"/>
        <w:jc w:val="both"/>
      </w:pPr>
      <w:r>
        <w:rPr>
          <w:b w:val="false"/>
          <w:bCs w:val="false"/>
          <w:i w:val="false"/>
          <w:iCs w:val="false"/>
          <w:sz w:val="22"/>
          <w:szCs w:val="22"/>
        </w:rPr>
        <w:t xml:space="preserve">To address this gap, the present project proposes a lightweight, wearable rehabilitation system that assists wrist movement using Functional Electrical Stimulation (FES) rather than mechanical actuation. Instead of relying on motors, pneumatics, or series elastic actuators (SEAs) to physically move the joint, as in the devices reviewed in Section 2, the proposed system stimulates the user's own forearm muscles — specifically the pronator and supinator muscle groups — to produce wrist rotation naturally. The system consists of four main components: a wearable glove, a forearm-mounted dual-channel FES module, sensing components, and a microcontroller responsible for stimulation control. The design prioritizes portability, user comfort, and suitability for unsupervised, home-based rehabilitation, directly targeting the wrist-rotation gap identified in Section 3.</w:t>
      </w:r>
    </w:p>
    <w:p>
      <w:pPr>
        <w:spacing w:after="180" w:line="276"/>
        <w:jc w:val="both"/>
      </w:pPr>
      <w:r>
        <w:rPr>
          <w:b w:val="false"/>
          <w:bCs w:val="false"/>
          <w:i w:val="false"/>
          <w:iCs w:val="false"/>
          <w:sz w:val="22"/>
          <w:szCs w:val="22"/>
        </w:rPr>
        <w:t xml:space="preserve">The core contribution of this work is the elimination of mechanical actuators entirely: by shifting the actuation load from motors onto the patient's own muscles via targeted dual-channel electrode placement, the system aims to bridge the gap between effective wrist-rotation therapy and true device portability. Table 1 compares the proposed system against traditional mechanical rehabilitation baselines — motors, pneumatics, and SEAs — across the metrics most relevant to home-based wearable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F3864" w:val="clear"/>
            <w:tcMar>
              <w:top w:type="dxa" w:w="100"/>
              <w:left w:type="dxa" w:w="100"/>
              <w:bottom w:type="dxa" w:w="100"/>
              <w:right w:type="dxa" w:w="100"/>
            </w:tcMar>
            <w:vAlign w:val="center"/>
          </w:tcPr>
          <w:p>
            <w:r>
              <w:rPr>
                <w:b/>
                <w:bCs/>
                <w:color w:val="FFFFFF"/>
                <w:sz w:val="19"/>
                <w:szCs w:val="19"/>
              </w:rPr>
              <w:t xml:space="preserve">Evaluation Metric</w:t>
            </w:r>
          </w:p>
        </w:tc>
        <w:tc>
          <w:tcPr>
            <w:tcW w:type="dxa" w:w="3600"/>
            <w:shd w:fill="1F3864" w:val="clear"/>
            <w:tcMar>
              <w:top w:type="dxa" w:w="100"/>
              <w:left w:type="dxa" w:w="100"/>
              <w:bottom w:type="dxa" w:w="100"/>
              <w:right w:type="dxa" w:w="100"/>
            </w:tcMar>
            <w:vAlign w:val="center"/>
          </w:tcPr>
          <w:p>
            <w:r>
              <w:rPr>
                <w:b/>
                <w:bCs/>
                <w:color w:val="FFFFFF"/>
                <w:sz w:val="19"/>
                <w:szCs w:val="19"/>
              </w:rPr>
              <w:t xml:space="preserve">Traditional Mechanical Baselines (Motors, Pneumatics, SEAs)</w:t>
            </w:r>
          </w:p>
        </w:tc>
        <w:tc>
          <w:tcPr>
            <w:tcW w:type="dxa" w:w="3360"/>
            <w:shd w:fill="1F3864" w:val="clear"/>
            <w:tcMar>
              <w:top w:type="dxa" w:w="100"/>
              <w:left w:type="dxa" w:w="100"/>
              <w:bottom w:type="dxa" w:w="100"/>
              <w:right w:type="dxa" w:w="100"/>
            </w:tcMar>
            <w:vAlign w:val="center"/>
          </w:tcPr>
          <w:p>
            <w:r>
              <w:rPr>
                <w:b/>
                <w:bCs/>
                <w:color w:val="FFFFFF"/>
                <w:sz w:val="19"/>
                <w:szCs w:val="19"/>
              </w:rPr>
              <w:t xml:space="preserve">Proposed System (Dual-Channel FES)</w:t>
            </w:r>
          </w:p>
        </w:tc>
      </w:tr>
      <w:tr>
        <w:tc>
          <w:tcPr>
            <w:tcW w:type="dxa" w:w="2400"/>
            <w:tcMar>
              <w:top w:type="dxa" w:w="100"/>
              <w:left w:type="dxa" w:w="100"/>
              <w:bottom w:type="dxa" w:w="100"/>
              <w:right w:type="dxa" w:w="100"/>
            </w:tcMar>
            <w:vAlign w:val="center"/>
          </w:tcPr>
          <w:p>
            <w:r>
              <w:rPr>
                <w:b w:val="false"/>
                <w:bCs w:val="false"/>
                <w:sz w:val="19"/>
                <w:szCs w:val="19"/>
              </w:rPr>
              <w:t xml:space="preserve">Actuator Weight</w:t>
            </w:r>
          </w:p>
        </w:tc>
        <w:tc>
          <w:tcPr>
            <w:tcW w:type="dxa" w:w="3600"/>
            <w:tcMar>
              <w:top w:type="dxa" w:w="100"/>
              <w:left w:type="dxa" w:w="100"/>
              <w:bottom w:type="dxa" w:w="100"/>
              <w:right w:type="dxa" w:w="100"/>
            </w:tcMar>
            <w:vAlign w:val="center"/>
          </w:tcPr>
          <w:p>
            <w:r>
              <w:rPr>
                <w:b w:val="false"/>
                <w:bCs w:val="false"/>
                <w:sz w:val="19"/>
                <w:szCs w:val="19"/>
              </w:rPr>
              <w:t xml:space="preserve">Heavy: 300 g to 1.5 kg due to motors/gearboxes</w:t>
            </w:r>
          </w:p>
        </w:tc>
        <w:tc>
          <w:tcPr>
            <w:tcW w:type="dxa" w:w="3360"/>
            <w:tcMar>
              <w:top w:type="dxa" w:w="100"/>
              <w:left w:type="dxa" w:w="100"/>
              <w:bottom w:type="dxa" w:w="100"/>
              <w:right w:type="dxa" w:w="100"/>
            </w:tcMar>
            <w:vAlign w:val="center"/>
          </w:tcPr>
          <w:p>
            <w:r>
              <w:rPr>
                <w:b w:val="false"/>
                <w:bCs w:val="false"/>
                <w:sz w:val="19"/>
                <w:szCs w:val="19"/>
              </w:rPr>
              <w:t xml:space="preserve">0 g (uses the patient's own forearm muscles)</w:t>
            </w:r>
          </w:p>
        </w:tc>
      </w:tr>
      <w:tr>
        <w:tc>
          <w:tcPr>
            <w:tcW w:type="dxa" w:w="2400"/>
            <w:tcMar>
              <w:top w:type="dxa" w:w="100"/>
              <w:left w:type="dxa" w:w="100"/>
              <w:bottom w:type="dxa" w:w="100"/>
              <w:right w:type="dxa" w:w="100"/>
            </w:tcMar>
            <w:vAlign w:val="center"/>
          </w:tcPr>
          <w:p>
            <w:r>
              <w:rPr>
                <w:b w:val="false"/>
                <w:bCs w:val="false"/>
                <w:sz w:val="19"/>
                <w:szCs w:val="19"/>
              </w:rPr>
              <w:t xml:space="preserve">Total Device Mass</w:t>
            </w:r>
          </w:p>
        </w:tc>
        <w:tc>
          <w:tcPr>
            <w:tcW w:type="dxa" w:w="3600"/>
            <w:tcMar>
              <w:top w:type="dxa" w:w="100"/>
              <w:left w:type="dxa" w:w="100"/>
              <w:bottom w:type="dxa" w:w="100"/>
              <w:right w:type="dxa" w:w="100"/>
            </w:tcMar>
            <w:vAlign w:val="center"/>
          </w:tcPr>
          <w:p>
            <w:r>
              <w:rPr>
                <w:b w:val="false"/>
                <w:bCs w:val="false"/>
                <w:sz w:val="19"/>
                <w:szCs w:val="19"/>
              </w:rPr>
              <w:t xml:space="preserve">Bulky, structurally rigid exoskeleton framework</w:t>
            </w:r>
          </w:p>
        </w:tc>
        <w:tc>
          <w:tcPr>
            <w:tcW w:type="dxa" w:w="3360"/>
            <w:tcMar>
              <w:top w:type="dxa" w:w="100"/>
              <w:left w:type="dxa" w:w="100"/>
              <w:bottom w:type="dxa" w:w="100"/>
              <w:right w:type="dxa" w:w="100"/>
            </w:tcMar>
            <w:vAlign w:val="center"/>
          </w:tcPr>
          <w:p>
            <w:r>
              <w:rPr>
                <w:b w:val="false"/>
                <w:bCs w:val="false"/>
                <w:sz w:val="19"/>
                <w:szCs w:val="19"/>
              </w:rPr>
              <w:t xml:space="preserve">Under 150 g (fabric glove + lightweight forearm band)</w:t>
            </w:r>
          </w:p>
        </w:tc>
      </w:tr>
      <w:tr>
        <w:tc>
          <w:tcPr>
            <w:tcW w:type="dxa" w:w="2400"/>
            <w:tcMar>
              <w:top w:type="dxa" w:w="100"/>
              <w:left w:type="dxa" w:w="100"/>
              <w:bottom w:type="dxa" w:w="100"/>
              <w:right w:type="dxa" w:w="100"/>
            </w:tcMar>
            <w:vAlign w:val="center"/>
          </w:tcPr>
          <w:p>
            <w:r>
              <w:rPr>
                <w:b w:val="false"/>
                <w:bCs w:val="false"/>
                <w:sz w:val="19"/>
                <w:szCs w:val="19"/>
              </w:rPr>
              <w:t xml:space="preserve">System Cost</w:t>
            </w:r>
          </w:p>
        </w:tc>
        <w:tc>
          <w:tcPr>
            <w:tcW w:type="dxa" w:w="3600"/>
            <w:tcMar>
              <w:top w:type="dxa" w:w="100"/>
              <w:left w:type="dxa" w:w="100"/>
              <w:bottom w:type="dxa" w:w="100"/>
              <w:right w:type="dxa" w:w="100"/>
            </w:tcMar>
            <w:vAlign w:val="center"/>
          </w:tcPr>
          <w:p>
            <w:r>
              <w:rPr>
                <w:b w:val="false"/>
                <w:bCs w:val="false"/>
                <w:sz w:val="19"/>
                <w:szCs w:val="19"/>
              </w:rPr>
              <w:t xml:space="preserve">High: roughly €200–€1,200 for active robotic joints</w:t>
            </w:r>
          </w:p>
        </w:tc>
        <w:tc>
          <w:tcPr>
            <w:tcW w:type="dxa" w:w="3360"/>
            <w:tcMar>
              <w:top w:type="dxa" w:w="100"/>
              <w:left w:type="dxa" w:w="100"/>
              <w:bottom w:type="dxa" w:w="100"/>
              <w:right w:type="dxa" w:w="100"/>
            </w:tcMar>
            <w:vAlign w:val="center"/>
          </w:tcPr>
          <w:p>
            <w:r>
              <w:rPr>
                <w:b w:val="false"/>
                <w:bCs w:val="false"/>
                <w:sz w:val="19"/>
                <w:szCs w:val="19"/>
              </w:rPr>
              <w:t xml:space="preserve">Low: under €200</w:t>
            </w:r>
          </w:p>
        </w:tc>
      </w:tr>
      <w:tr>
        <w:tc>
          <w:tcPr>
            <w:tcW w:type="dxa" w:w="2400"/>
            <w:tcMar>
              <w:top w:type="dxa" w:w="100"/>
              <w:left w:type="dxa" w:w="100"/>
              <w:bottom w:type="dxa" w:w="100"/>
              <w:right w:type="dxa" w:w="100"/>
            </w:tcMar>
            <w:vAlign w:val="center"/>
          </w:tcPr>
          <w:p>
            <w:r>
              <w:rPr>
                <w:b w:val="false"/>
                <w:bCs w:val="false"/>
                <w:sz w:val="19"/>
                <w:szCs w:val="19"/>
              </w:rPr>
              <w:t xml:space="preserve">Portability</w:t>
            </w:r>
          </w:p>
        </w:tc>
        <w:tc>
          <w:tcPr>
            <w:tcW w:type="dxa" w:w="3600"/>
            <w:tcMar>
              <w:top w:type="dxa" w:w="100"/>
              <w:left w:type="dxa" w:w="100"/>
              <w:bottom w:type="dxa" w:w="100"/>
              <w:right w:type="dxa" w:w="100"/>
            </w:tcMar>
            <w:vAlign w:val="center"/>
          </w:tcPr>
          <w:p>
            <w:r>
              <w:rPr>
                <w:b w:val="false"/>
                <w:bCs w:val="false"/>
                <w:sz w:val="19"/>
                <w:szCs w:val="19"/>
              </w:rPr>
              <w:t xml:space="preserve">Tethered/desktop-grounded; often requires compressors or external power blocks</w:t>
            </w:r>
          </w:p>
        </w:tc>
        <w:tc>
          <w:tcPr>
            <w:tcW w:type="dxa" w:w="3360"/>
            <w:tcMar>
              <w:top w:type="dxa" w:w="100"/>
              <w:left w:type="dxa" w:w="100"/>
              <w:bottom w:type="dxa" w:w="100"/>
              <w:right w:type="dxa" w:w="100"/>
            </w:tcMar>
            <w:vAlign w:val="center"/>
          </w:tcPr>
          <w:p>
            <w:r>
              <w:rPr>
                <w:b w:val="false"/>
                <w:bCs w:val="false"/>
                <w:sz w:val="19"/>
                <w:szCs w:val="19"/>
              </w:rPr>
              <w:t xml:space="preserve">Fully portable, battery-powered wearable hub</w:t>
            </w:r>
          </w:p>
        </w:tc>
      </w:tr>
      <w:tr>
        <w:tc>
          <w:tcPr>
            <w:tcW w:type="dxa" w:w="2400"/>
            <w:tcMar>
              <w:top w:type="dxa" w:w="100"/>
              <w:left w:type="dxa" w:w="100"/>
              <w:bottom w:type="dxa" w:w="100"/>
              <w:right w:type="dxa" w:w="100"/>
            </w:tcMar>
            <w:vAlign w:val="center"/>
          </w:tcPr>
          <w:p>
            <w:r>
              <w:rPr>
                <w:b w:val="false"/>
                <w:bCs w:val="false"/>
                <w:sz w:val="19"/>
                <w:szCs w:val="19"/>
              </w:rPr>
              <w:t xml:space="preserve">Target Wrist Action</w:t>
            </w:r>
          </w:p>
        </w:tc>
        <w:tc>
          <w:tcPr>
            <w:tcW w:type="dxa" w:w="3600"/>
            <w:tcMar>
              <w:top w:type="dxa" w:w="100"/>
              <w:left w:type="dxa" w:w="100"/>
              <w:bottom w:type="dxa" w:w="100"/>
              <w:right w:type="dxa" w:w="100"/>
            </w:tcMar>
            <w:vAlign w:val="center"/>
          </w:tcPr>
          <w:p>
            <w:r>
              <w:rPr>
                <w:b w:val="false"/>
                <w:bCs w:val="false"/>
                <w:sz w:val="19"/>
                <w:szCs w:val="19"/>
              </w:rPr>
              <w:t xml:space="preserve">High structural complexity to mechanically align joints to the forearm</w:t>
            </w:r>
          </w:p>
        </w:tc>
        <w:tc>
          <w:tcPr>
            <w:tcW w:type="dxa" w:w="3360"/>
            <w:tcMar>
              <w:top w:type="dxa" w:w="100"/>
              <w:left w:type="dxa" w:w="100"/>
              <w:bottom w:type="dxa" w:w="100"/>
              <w:right w:type="dxa" w:w="100"/>
            </w:tcMar>
            <w:vAlign w:val="center"/>
          </w:tcPr>
          <w:p>
            <w:r>
              <w:rPr>
                <w:b w:val="false"/>
                <w:bCs w:val="false"/>
                <w:sz w:val="19"/>
                <w:szCs w:val="19"/>
              </w:rPr>
              <w:t xml:space="preserve">Seamlessly integrated via targeted electrode placement on pronator/supinator muscles</w:t>
            </w:r>
          </w:p>
        </w:tc>
      </w:tr>
    </w:tbl>
    <w:p>
      <w:pPr>
        <w:spacing w:after="240"/>
        <w:jc w:val="center"/>
      </w:pPr>
      <w:r>
        <w:rPr>
          <w:i/>
          <w:iCs/>
          <w:sz w:val="20"/>
          <w:szCs w:val="20"/>
        </w:rPr>
        <w:t xml:space="preserve">Table 1. Literature baseline vs. proposed system parameters.</w:t>
      </w:r>
    </w:p>
    <w:p>
      <w:pPr>
        <w:spacing w:after="180" w:line="276"/>
        <w:jc w:val="both"/>
      </w:pPr>
      <w:r>
        <w:rPr>
          <w:b w:val="false"/>
          <w:bCs w:val="false"/>
          <w:i w:val="false"/>
          <w:iCs w:val="false"/>
          <w:sz w:val="22"/>
          <w:szCs w:val="22"/>
        </w:rPr>
        <w:t xml:space="preserve">As Table 1 shows, the proposed FES-based approach removes the single largest source of weight and cost in mechanical wrist rehabilitation devices — the actuator itself — while still targeting the specific muscle groups responsible for wrist rotation. This directly addresses the portability and cost limitations noted for rigid, motor-driven systems in the broader rehabilitation robotics literature reviewed in Section 2 [1], [2].</w:t>
      </w:r>
    </w:p>
    <w:p>
      <w:pPr>
        <w:pStyle w:val="Heading1"/>
        <w:spacing w:after="200" w:before="400"/>
      </w:pPr>
      <w:r>
        <w:t xml:space="preserve">5. Development Process</w:t>
      </w:r>
    </w:p>
    <w:p>
      <w:pPr>
        <w:spacing w:after="180" w:line="276"/>
        <w:jc w:val="both"/>
      </w:pPr>
      <w:r>
        <w:rPr>
          <w:b w:val="false"/>
          <w:bCs w:val="false"/>
          <w:i w:val="false"/>
          <w:iCs w:val="false"/>
          <w:sz w:val="22"/>
          <w:szCs w:val="22"/>
        </w:rPr>
        <w:t xml:space="preserve">The project follows a structured development process consisting of seven stages: literature review, requirement analysis, system design, hardware development, software development, prototype integration, and testing and evaluation. The literature review stage (summarized in Section 2 of this report) informed the requirement analysis and system design stages by identifying the wrist-rotation gap and clarifying the weight, cost, and portability targets the system needed to meet. Hardware development covers the wearable glove, the forearm-mounted dual-channel FES module, and the associated sensing components, while software development covers the microcontroller-based stimulation control logic.</w:t>
      </w:r>
    </w:p>
    <w:p>
      <w:pPr>
        <w:spacing w:after="180" w:line="276"/>
        <w:jc w:val="both"/>
      </w:pPr>
      <w:r>
        <w:rPr>
          <w:b w:val="false"/>
          <w:bCs w:val="false"/>
          <w:i w:val="false"/>
          <w:iCs w:val="false"/>
          <w:sz w:val="22"/>
          <w:szCs w:val="22"/>
        </w:rPr>
        <w:t xml:space="preserve">Before any hardware is built, the stimulation control logic itself is validated in software. This is the purpose of the behavioural simulation presented in Section 6: it exercises the grip-then-rotate task flow, the voluntary-versus-FES decision logic, and the escalating FES force profile across a spectrum of simulated patients, so that controller bugs are caught and fixed before electrodes are ever placed on a real forearm. These are brought together during prototype integration, followed by testing and evaluation of the assembled system.</w:t>
      </w:r>
    </w:p>
    <w:p>
      <w:pPr>
        <w:pStyle w:val="Heading1"/>
        <w:spacing w:after="200" w:before="400"/>
      </w:pPr>
      <w:r>
        <w:t xml:space="preserve">6. Behavioural Simulation and Results</w:t>
      </w:r>
    </w:p>
    <w:p>
      <w:pPr>
        <w:pStyle w:val="Heading2"/>
        <w:spacing w:after="150" w:before="300"/>
      </w:pPr>
      <w:r>
        <w:t xml:space="preserve">6.1 Simulation Purpose and Scope</w:t>
      </w:r>
    </w:p>
    <w:p>
      <w:pPr>
        <w:spacing w:after="180" w:line="276"/>
        <w:jc w:val="both"/>
      </w:pPr>
      <w:r>
        <w:rPr>
          <w:b w:val="false"/>
          <w:bCs w:val="false"/>
          <w:i w:val="false"/>
          <w:iCs w:val="false"/>
          <w:sz w:val="22"/>
          <w:szCs w:val="22"/>
        </w:rPr>
        <w:t xml:space="preserve">The controller logic for the dual-channel FES system was first validated in a software-only behavioural simulation, run in MATLAB, before any electrical stimulation hardware was built. The simulation does not perform any electrical stimulation; FES is instead modelled as a decision — “would the controller trigger stimulation, and at what assistive force?” — so that the grip-then-rotate task logic, the voluntary-movement model, and the escalating-force FES assist can all be checked and debugged in software first. The modelled task is a functional, activity-of-daily-living-style movement: grip an object first, then rotate the forearm to turn it (for example, opening a bottle).</w:t>
      </w:r>
    </w:p>
    <w:p>
      <w:pPr>
        <w:pStyle w:val="Heading2"/>
        <w:spacing w:after="150" w:before="300"/>
      </w:pPr>
      <w:r>
        <w:t xml:space="preserve">6.2 Grip-Channel Control Logic</w:t>
      </w:r>
    </w:p>
    <w:p>
      <w:pPr>
        <w:spacing w:after="180" w:line="276"/>
        <w:jc w:val="both"/>
      </w:pPr>
      <w:r>
        <w:rPr>
          <w:b w:val="false"/>
          <w:bCs w:val="false"/>
          <w:i w:val="false"/>
          <w:iCs w:val="false"/>
          <w:sz w:val="22"/>
          <w:szCs w:val="22"/>
        </w:rPr>
        <w:t xml:space="preserve">During the grip phase, the patient first produces voluntary grip, modelled as a curved (exponential-approach) rise toward that patient's own personal grip ceiling. If grip is still below the functional threshold at a fixed check time, the controller sets fesGripOn to true and starts the assistive force (gripForceVal) at 1 N. From that point, every 0.5 s that the target is still not met, the force climbs 1 N higher — 1, 2, 3, 4 N, and so on. Each active step, the grip signal receives a small additional boost because the controller adds fesGripPerN × gripForceVal × dt to the grip value, i.e. the assistive contribution scales directly with the current stimulation force.</w:t>
      </w:r>
    </w:p>
    <w:p>
      <w:pPr>
        <w:pStyle w:val="Heading2"/>
        <w:spacing w:after="150" w:before="300"/>
      </w:pPr>
      <w:r>
        <w:t xml:space="preserve">6.3 Rotation-Channel Control Logic</w:t>
      </w:r>
    </w:p>
    <w:p>
      <w:pPr>
        <w:spacing w:after="180" w:line="276"/>
        <w:jc w:val="both"/>
      </w:pPr>
      <w:r>
        <w:rPr>
          <w:b w:val="false"/>
          <w:bCs w:val="false"/>
          <w:i w:val="false"/>
          <w:iCs w:val="false"/>
          <w:sz w:val="22"/>
          <w:szCs w:val="22"/>
        </w:rPr>
        <w:t xml:space="preserve">The rotation phase, which only begins once the grip phase has succeeded (grip is holding the object), works the same way. If the forearm rotation angle is still below the target angle at a fixed check time, the controller sets fesRotOn to true and the assistive force begins at 1 N. It then escalates by 1 N every 0.5 s, up to a safety ceiling of 10 N. That force adds extra rotation each step in the same way, through fesRotPerN × rotForceVal × dt.</w:t>
      </w:r>
    </w:p>
    <w:p>
      <w:pPr>
        <w:pStyle w:val="Heading2"/>
        <w:spacing w:after="150" w:before="300"/>
      </w:pPr>
      <w:r>
        <w:t xml:space="preserve">6.4 Escalating FES Force Profile</w:t>
      </w:r>
    </w:p>
    <w:p>
      <w:pPr>
        <w:spacing w:after="180" w:line="276"/>
        <w:jc w:val="both"/>
      </w:pPr>
      <w:r>
        <w:rPr>
          <w:b w:val="false"/>
          <w:bCs w:val="false"/>
          <w:i w:val="false"/>
          <w:iCs w:val="false"/>
          <w:sz w:val="22"/>
          <w:szCs w:val="22"/>
        </w:rPr>
        <w:t xml:space="preserve">The escalating-force design means the assistive stimulation is always the minimum necessary: if a patient responds quickly, the force may never climb past 1 N or 2 N before the task succeeds and stimulation is switched off. If the patient responds more slowly, the force keeps climbing in 1 N steps until the task is achieved. If success never comes before the 10 N safety ceiling is reached, the script flags this explicitly as a warning, so that in a real hardware system this condition could be surfaced to a clinician rather than silently continuing to stimulate at the maximum safe force. A representative example timeline for a single channel is shown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100"/>
              <w:left w:type="dxa" w:w="100"/>
              <w:bottom w:type="dxa" w:w="100"/>
              <w:right w:type="dxa" w:w="100"/>
            </w:tcMar>
            <w:vAlign w:val="center"/>
          </w:tcPr>
          <w:p>
            <w:r>
              <w:rPr>
                <w:b/>
                <w:bCs/>
                <w:color w:val="FFFFFF"/>
                <w:sz w:val="19"/>
                <w:szCs w:val="19"/>
              </w:rPr>
              <w:t xml:space="preserve">Time</w:t>
            </w:r>
          </w:p>
        </w:tc>
        <w:tc>
          <w:tcPr>
            <w:tcW w:type="dxa" w:w="7160"/>
            <w:shd w:fill="1F3864" w:val="clear"/>
            <w:tcMar>
              <w:top w:type="dxa" w:w="100"/>
              <w:left w:type="dxa" w:w="100"/>
              <w:bottom w:type="dxa" w:w="100"/>
              <w:right w:type="dxa" w:w="100"/>
            </w:tcMar>
            <w:vAlign w:val="center"/>
          </w:tcPr>
          <w:p>
            <w:r>
              <w:rPr>
                <w:b/>
                <w:bCs/>
                <w:color w:val="FFFFFF"/>
                <w:sz w:val="19"/>
                <w:szCs w:val="19"/>
              </w:rPr>
              <w:t xml:space="preserve">FES State</w:t>
            </w:r>
          </w:p>
        </w:tc>
      </w:tr>
      <w:tr>
        <w:tc>
          <w:tcPr>
            <w:tcW w:type="dxa" w:w="2200"/>
            <w:tcMar>
              <w:top w:type="dxa" w:w="100"/>
              <w:left w:type="dxa" w:w="100"/>
              <w:bottom w:type="dxa" w:w="100"/>
              <w:right w:type="dxa" w:w="100"/>
            </w:tcMar>
            <w:vAlign w:val="center"/>
          </w:tcPr>
          <w:p>
            <w:r>
              <w:rPr>
                <w:b w:val="false"/>
                <w:bCs w:val="false"/>
                <w:sz w:val="19"/>
                <w:szCs w:val="19"/>
              </w:rPr>
              <w:t xml:space="preserve">0.0 s</w:t>
            </w:r>
          </w:p>
        </w:tc>
        <w:tc>
          <w:tcPr>
            <w:tcW w:type="dxa" w:w="7160"/>
            <w:tcMar>
              <w:top w:type="dxa" w:w="100"/>
              <w:left w:type="dxa" w:w="100"/>
              <w:bottom w:type="dxa" w:w="100"/>
              <w:right w:type="dxa" w:w="100"/>
            </w:tcMar>
            <w:vAlign w:val="center"/>
          </w:tcPr>
          <w:p>
            <w:r>
              <w:rPr>
                <w:b w:val="false"/>
                <w:bCs w:val="false"/>
                <w:sz w:val="19"/>
                <w:szCs w:val="19"/>
              </w:rPr>
              <w:t xml:space="preserve">FES off — patient attempting voluntary movement</w:t>
            </w:r>
          </w:p>
        </w:tc>
      </w:tr>
      <w:tr>
        <w:tc>
          <w:tcPr>
            <w:tcW w:type="dxa" w:w="2200"/>
            <w:tcMar>
              <w:top w:type="dxa" w:w="100"/>
              <w:left w:type="dxa" w:w="100"/>
              <w:bottom w:type="dxa" w:w="100"/>
              <w:right w:type="dxa" w:w="100"/>
            </w:tcMar>
            <w:vAlign w:val="center"/>
          </w:tcPr>
          <w:p>
            <w:r>
              <w:rPr>
                <w:b w:val="false"/>
                <w:bCs w:val="false"/>
                <w:sz w:val="19"/>
                <w:szCs w:val="19"/>
              </w:rPr>
              <w:t xml:space="preserve">2.0 s</w:t>
            </w:r>
          </w:p>
        </w:tc>
        <w:tc>
          <w:tcPr>
            <w:tcW w:type="dxa" w:w="7160"/>
            <w:tcMar>
              <w:top w:type="dxa" w:w="100"/>
              <w:left w:type="dxa" w:w="100"/>
              <w:bottom w:type="dxa" w:w="100"/>
              <w:right w:type="dxa" w:w="100"/>
            </w:tcMar>
            <w:vAlign w:val="center"/>
          </w:tcPr>
          <w:p>
            <w:r>
              <w:rPr>
                <w:b w:val="false"/>
                <w:bCs w:val="false"/>
                <w:sz w:val="19"/>
                <w:szCs w:val="19"/>
              </w:rPr>
              <w:t xml:space="preserve">Voluntary target not yet met — FES starts at 1 N</w:t>
            </w:r>
          </w:p>
        </w:tc>
      </w:tr>
      <w:tr>
        <w:tc>
          <w:tcPr>
            <w:tcW w:type="dxa" w:w="2200"/>
            <w:tcMar>
              <w:top w:type="dxa" w:w="100"/>
              <w:left w:type="dxa" w:w="100"/>
              <w:bottom w:type="dxa" w:w="100"/>
              <w:right w:type="dxa" w:w="100"/>
            </w:tcMar>
            <w:vAlign w:val="center"/>
          </w:tcPr>
          <w:p>
            <w:r>
              <w:rPr>
                <w:b w:val="false"/>
                <w:bCs w:val="false"/>
                <w:sz w:val="19"/>
                <w:szCs w:val="19"/>
              </w:rPr>
              <w:t xml:space="preserve">2.5 s</w:t>
            </w:r>
          </w:p>
        </w:tc>
        <w:tc>
          <w:tcPr>
            <w:tcW w:type="dxa" w:w="7160"/>
            <w:tcMar>
              <w:top w:type="dxa" w:w="100"/>
              <w:left w:type="dxa" w:w="100"/>
              <w:bottom w:type="dxa" w:w="100"/>
              <w:right w:type="dxa" w:w="100"/>
            </w:tcMar>
            <w:vAlign w:val="center"/>
          </w:tcPr>
          <w:p>
            <w:r>
              <w:rPr>
                <w:b w:val="false"/>
                <w:bCs w:val="false"/>
                <w:sz w:val="19"/>
                <w:szCs w:val="19"/>
              </w:rPr>
              <w:t xml:space="preserve">Target still not met — force escalates to 2 N</w:t>
            </w:r>
          </w:p>
        </w:tc>
      </w:tr>
      <w:tr>
        <w:tc>
          <w:tcPr>
            <w:tcW w:type="dxa" w:w="2200"/>
            <w:tcMar>
              <w:top w:type="dxa" w:w="100"/>
              <w:left w:type="dxa" w:w="100"/>
              <w:bottom w:type="dxa" w:w="100"/>
              <w:right w:type="dxa" w:w="100"/>
            </w:tcMar>
            <w:vAlign w:val="center"/>
          </w:tcPr>
          <w:p>
            <w:r>
              <w:rPr>
                <w:b w:val="false"/>
                <w:bCs w:val="false"/>
                <w:sz w:val="19"/>
                <w:szCs w:val="19"/>
              </w:rPr>
              <w:t xml:space="preserve">3.0 s</w:t>
            </w:r>
          </w:p>
        </w:tc>
        <w:tc>
          <w:tcPr>
            <w:tcW w:type="dxa" w:w="7160"/>
            <w:tcMar>
              <w:top w:type="dxa" w:w="100"/>
              <w:left w:type="dxa" w:w="100"/>
              <w:bottom w:type="dxa" w:w="100"/>
              <w:right w:type="dxa" w:w="100"/>
            </w:tcMar>
            <w:vAlign w:val="center"/>
          </w:tcPr>
          <w:p>
            <w:r>
              <w:rPr>
                <w:b w:val="false"/>
                <w:bCs w:val="false"/>
                <w:sz w:val="19"/>
                <w:szCs w:val="19"/>
              </w:rPr>
              <w:t xml:space="preserve">Target still not met — force escalates to 3 N</w:t>
            </w:r>
          </w:p>
        </w:tc>
      </w:tr>
      <w:tr>
        <w:tc>
          <w:tcPr>
            <w:tcW w:type="dxa" w:w="2200"/>
            <w:tcMar>
              <w:top w:type="dxa" w:w="100"/>
              <w:left w:type="dxa" w:w="100"/>
              <w:bottom w:type="dxa" w:w="100"/>
              <w:right w:type="dxa" w:w="100"/>
            </w:tcMar>
            <w:vAlign w:val="center"/>
          </w:tcPr>
          <w:p>
            <w:r>
              <w:rPr>
                <w:b w:val="false"/>
                <w:bCs w:val="false"/>
                <w:sz w:val="19"/>
                <w:szCs w:val="19"/>
              </w:rPr>
              <w:t xml:space="preserve">3.5 s</w:t>
            </w:r>
          </w:p>
        </w:tc>
        <w:tc>
          <w:tcPr>
            <w:tcW w:type="dxa" w:w="7160"/>
            <w:tcMar>
              <w:top w:type="dxa" w:w="100"/>
              <w:left w:type="dxa" w:w="100"/>
              <w:bottom w:type="dxa" w:w="100"/>
              <w:right w:type="dxa" w:w="100"/>
            </w:tcMar>
            <w:vAlign w:val="center"/>
          </w:tcPr>
          <w:p>
            <w:r>
              <w:rPr>
                <w:b w:val="false"/>
                <w:bCs w:val="false"/>
                <w:sz w:val="19"/>
                <w:szCs w:val="19"/>
              </w:rPr>
              <w:t xml:space="preserve">Target still not met — force escalates to 4 N</w:t>
            </w:r>
          </w:p>
        </w:tc>
      </w:tr>
      <w:tr>
        <w:tc>
          <w:tcPr>
            <w:tcW w:type="dxa" w:w="2200"/>
            <w:tcMar>
              <w:top w:type="dxa" w:w="100"/>
              <w:left w:type="dxa" w:w="100"/>
              <w:bottom w:type="dxa" w:w="100"/>
              <w:right w:type="dxa" w:w="100"/>
            </w:tcMar>
            <w:vAlign w:val="center"/>
          </w:tcPr>
          <w:p>
            <w:r>
              <w:rPr>
                <w:b w:val="false"/>
                <w:bCs w:val="false"/>
                <w:sz w:val="19"/>
                <w:szCs w:val="19"/>
              </w:rPr>
              <w:t xml:space="preserve">…</w:t>
            </w:r>
          </w:p>
        </w:tc>
        <w:tc>
          <w:tcPr>
            <w:tcW w:type="dxa" w:w="7160"/>
            <w:tcMar>
              <w:top w:type="dxa" w:w="100"/>
              <w:left w:type="dxa" w:w="100"/>
              <w:bottom w:type="dxa" w:w="100"/>
              <w:right w:type="dxa" w:w="100"/>
            </w:tcMar>
            <w:vAlign w:val="center"/>
          </w:tcPr>
          <w:p>
            <w:r>
              <w:rPr>
                <w:b w:val="false"/>
                <w:bCs w:val="false"/>
                <w:sz w:val="19"/>
                <w:szCs w:val="19"/>
              </w:rPr>
              <w:t xml:space="preserve">Escalation continues in 1 N / 0.5 s steps until success, or until the 10 N safety ceiling is reached</w:t>
            </w:r>
          </w:p>
        </w:tc>
      </w:tr>
    </w:tbl>
    <w:p>
      <w:pPr>
        <w:spacing w:after="240"/>
        <w:jc w:val="center"/>
      </w:pPr>
      <w:r>
        <w:rPr>
          <w:i/>
          <w:iCs/>
          <w:sz w:val="20"/>
          <w:szCs w:val="20"/>
        </w:rPr>
        <w:t xml:space="preserve">Table 2. Representative escalating-force FES timeline for a single channel.</w:t>
      </w:r>
    </w:p>
    <w:p>
      <w:pPr>
        <w:spacing w:after="180" w:line="276"/>
        <w:jc w:val="both"/>
      </w:pPr>
      <w:r>
        <w:rPr>
          <w:b w:val="false"/>
          <w:bCs w:val="false"/>
          <w:i w:val="false"/>
          <w:iCs w:val="false"/>
          <w:sz w:val="22"/>
          <w:szCs w:val="22"/>
        </w:rPr>
        <w:t xml:space="preserve">An LED status scheme communicates the current state of the task to the patient and clinician throughout: blue signals the prompt to begin an attempt, red signals that the patient is actively attempting the task but has not yet reached the target, solid green signals success achieved voluntarily (no FES required), and blinking green signals success achieved with FES assistance.</w:t>
      </w:r>
    </w:p>
    <w:p>
      <w:pPr>
        <w:pStyle w:val="Heading2"/>
        <w:spacing w:after="150" w:before="300"/>
      </w:pPr>
      <w:r>
        <w:t xml:space="preserve">6.5 Simulated Patient Results</w:t>
      </w:r>
    </w:p>
    <w:p>
      <w:pPr>
        <w:spacing w:after="180" w:line="276"/>
        <w:jc w:val="both"/>
      </w:pPr>
      <w:r>
        <w:rPr>
          <w:b w:val="false"/>
          <w:bCs w:val="false"/>
          <w:i w:val="false"/>
          <w:iCs w:val="false"/>
          <w:sz w:val="22"/>
          <w:szCs w:val="22"/>
        </w:rPr>
        <w:t xml:space="preserve">The controller logic was exercised across five simulated patients spanning the full spectrum from fully voluntary movement (no FES ever required) to full FES dependence (no voluntary movement at all), so that the LED and FES escalation logic could be validated at both extremes and in between. Figure 1 shows the resulting grip signal, rotation signal, FES force delivered on each channel, and LED state over time for all five patients.</w:t>
      </w:r>
    </w:p>
    <w:p>
      <w:pPr>
        <w:spacing w:after="100" w:before="100"/>
        <w:jc w:val="center"/>
      </w:pPr>
      <w:r>
        <w:drawing>
          <wp:inline distT="0" distB="0" distL="0" distR="0">
            <wp:extent cx="58293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371850"/>
                    </a:xfrm>
                    <a:prstGeom prst="rect">
                      <a:avLst/>
                    </a:prstGeom>
                  </pic:spPr>
                </pic:pic>
              </a:graphicData>
            </a:graphic>
          </wp:inline>
        </w:drawing>
      </w:r>
    </w:p>
    <w:p>
      <w:pPr>
        <w:spacing w:after="240"/>
        <w:jc w:val="center"/>
      </w:pPr>
      <w:r>
        <w:rPr>
          <w:i/>
          <w:iCs/>
          <w:sz w:val="20"/>
          <w:szCs w:val="20"/>
        </w:rPr>
        <w:t xml:space="preserve">Figure 1. Grip-then-Rotate logic with escalating-force FES across five simulated patients (curved voluntary ramps; shaded regions indicate FES active).</w:t>
      </w:r>
    </w:p>
    <w:p>
      <w:pPr>
        <w:spacing w:after="180" w:line="276"/>
        <w:jc w:val="both"/>
      </w:pPr>
      <w:r>
        <w:rPr>
          <w:b w:val="false"/>
          <w:bCs w:val="false"/>
          <w:i w:val="false"/>
          <w:iCs w:val="false"/>
          <w:sz w:val="22"/>
          <w:szCs w:val="22"/>
        </w:rPr>
        <w:t xml:space="preserve">Table 3 summarizes the final simulation outcome for each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400"/>
        <w:gridCol w:w="1600"/>
        <w:gridCol w:w="1660"/>
        <w:gridCol w:w="1000"/>
      </w:tblGrid>
      <w:tr>
        <w:trPr>
          <w:tblHeader/>
        </w:trPr>
        <w:tc>
          <w:tcPr>
            <w:tcW w:type="dxa" w:w="2400"/>
            <w:shd w:fill="1F3864" w:val="clear"/>
            <w:tcMar>
              <w:top w:type="dxa" w:w="100"/>
              <w:left w:type="dxa" w:w="100"/>
              <w:bottom w:type="dxa" w:w="100"/>
              <w:right w:type="dxa" w:w="100"/>
            </w:tcMar>
            <w:vAlign w:val="center"/>
          </w:tcPr>
          <w:p>
            <w:r>
              <w:rPr>
                <w:b/>
                <w:bCs/>
                <w:color w:val="FFFFFF"/>
                <w:sz w:val="19"/>
                <w:szCs w:val="19"/>
              </w:rPr>
              <w:t xml:space="preserve">Patient Profile</w:t>
            </w:r>
          </w:p>
        </w:tc>
        <w:tc>
          <w:tcPr>
            <w:tcW w:type="dxa" w:w="1300"/>
            <w:shd w:fill="1F3864" w:val="clear"/>
            <w:tcMar>
              <w:top w:type="dxa" w:w="100"/>
              <w:left w:type="dxa" w:w="100"/>
              <w:bottom w:type="dxa" w:w="100"/>
              <w:right w:type="dxa" w:w="100"/>
            </w:tcMar>
            <w:vAlign w:val="center"/>
          </w:tcPr>
          <w:p>
            <w:r>
              <w:rPr>
                <w:b/>
                <w:bCs/>
                <w:color w:val="FFFFFF"/>
                <w:sz w:val="19"/>
                <w:szCs w:val="19"/>
              </w:rPr>
              <w:t xml:space="preserve">Final Grip (target 0.50)</w:t>
            </w:r>
          </w:p>
        </w:tc>
        <w:tc>
          <w:tcPr>
            <w:tcW w:type="dxa" w:w="1400"/>
            <w:shd w:fill="1F3864" w:val="clear"/>
            <w:tcMar>
              <w:top w:type="dxa" w:w="100"/>
              <w:left w:type="dxa" w:w="100"/>
              <w:bottom w:type="dxa" w:w="100"/>
              <w:right w:type="dxa" w:w="100"/>
            </w:tcMar>
            <w:vAlign w:val="center"/>
          </w:tcPr>
          <w:p>
            <w:r>
              <w:rPr>
                <w:b/>
                <w:bCs/>
                <w:color w:val="FFFFFF"/>
                <w:sz w:val="19"/>
                <w:szCs w:val="19"/>
              </w:rPr>
              <w:t xml:space="preserve">Final Angle (target 60.0°)</w:t>
            </w:r>
          </w:p>
        </w:tc>
        <w:tc>
          <w:tcPr>
            <w:tcW w:type="dxa" w:w="1600"/>
            <w:shd w:fill="1F3864" w:val="clear"/>
            <w:tcMar>
              <w:top w:type="dxa" w:w="100"/>
              <w:left w:type="dxa" w:w="100"/>
              <w:bottom w:type="dxa" w:w="100"/>
              <w:right w:type="dxa" w:w="100"/>
            </w:tcMar>
            <w:vAlign w:val="center"/>
          </w:tcPr>
          <w:p>
            <w:r>
              <w:rPr>
                <w:b/>
                <w:bCs/>
                <w:color w:val="FFFFFF"/>
                <w:sz w:val="19"/>
                <w:szCs w:val="19"/>
              </w:rPr>
              <w:t xml:space="preserve">FES Grip Used</w:t>
            </w:r>
          </w:p>
        </w:tc>
        <w:tc>
          <w:tcPr>
            <w:tcW w:type="dxa" w:w="1660"/>
            <w:shd w:fill="1F3864" w:val="clear"/>
            <w:tcMar>
              <w:top w:type="dxa" w:w="100"/>
              <w:left w:type="dxa" w:w="100"/>
              <w:bottom w:type="dxa" w:w="100"/>
              <w:right w:type="dxa" w:w="100"/>
            </w:tcMar>
            <w:vAlign w:val="center"/>
          </w:tcPr>
          <w:p>
            <w:r>
              <w:rPr>
                <w:b/>
                <w:bCs/>
                <w:color w:val="FFFFFF"/>
                <w:sz w:val="19"/>
                <w:szCs w:val="19"/>
              </w:rPr>
              <w:t xml:space="preserve">FES Rotation Used</w:t>
            </w:r>
          </w:p>
        </w:tc>
        <w:tc>
          <w:tcPr>
            <w:tcW w:type="dxa" w:w="1000"/>
            <w:shd w:fill="1F3864" w:val="clear"/>
            <w:tcMar>
              <w:top w:type="dxa" w:w="100"/>
              <w:left w:type="dxa" w:w="100"/>
              <w:bottom w:type="dxa" w:w="100"/>
              <w:right w:type="dxa" w:w="100"/>
            </w:tcMar>
            <w:vAlign w:val="center"/>
          </w:tcPr>
          <w:p>
            <w:r>
              <w:rPr>
                <w:b/>
                <w:bCs/>
                <w:color w:val="FFFFFF"/>
                <w:sz w:val="19"/>
                <w:szCs w:val="19"/>
              </w:rPr>
              <w:t xml:space="preserve">Outcome / LED</w:t>
            </w:r>
          </w:p>
        </w:tc>
      </w:tr>
      <w:tr>
        <w:tc>
          <w:tcPr>
            <w:tcW w:type="dxa" w:w="2400"/>
            <w:tcMar>
              <w:top w:type="dxa" w:w="100"/>
              <w:left w:type="dxa" w:w="100"/>
              <w:bottom w:type="dxa" w:w="100"/>
              <w:right w:type="dxa" w:w="100"/>
            </w:tcMar>
            <w:vAlign w:val="center"/>
          </w:tcPr>
          <w:p>
            <w:r>
              <w:rPr>
                <w:b w:val="false"/>
                <w:bCs w:val="false"/>
                <w:sz w:val="19"/>
                <w:szCs w:val="19"/>
              </w:rPr>
              <w:t xml:space="preserve">Full voluntary (no FES needed)</w:t>
            </w:r>
          </w:p>
        </w:tc>
        <w:tc>
          <w:tcPr>
            <w:tcW w:type="dxa" w:w="1300"/>
            <w:tcMar>
              <w:top w:type="dxa" w:w="100"/>
              <w:left w:type="dxa" w:w="100"/>
              <w:bottom w:type="dxa" w:w="100"/>
              <w:right w:type="dxa" w:w="100"/>
            </w:tcMar>
            <w:vAlign w:val="center"/>
          </w:tcPr>
          <w:p>
            <w:r>
              <w:rPr>
                <w:b w:val="false"/>
                <w:bCs w:val="false"/>
                <w:sz w:val="19"/>
                <w:szCs w:val="19"/>
              </w:rPr>
              <w:t xml:space="preserve">0.50</w:t>
            </w:r>
          </w:p>
        </w:tc>
        <w:tc>
          <w:tcPr>
            <w:tcW w:type="dxa" w:w="1400"/>
            <w:tcMar>
              <w:top w:type="dxa" w:w="100"/>
              <w:left w:type="dxa" w:w="100"/>
              <w:bottom w:type="dxa" w:w="100"/>
              <w:right w:type="dxa" w:w="100"/>
            </w:tcMar>
            <w:vAlign w:val="center"/>
          </w:tcPr>
          <w:p>
            <w:r>
              <w:rPr>
                <w:b w:val="false"/>
                <w:bCs w:val="false"/>
                <w:sz w:val="19"/>
                <w:szCs w:val="19"/>
              </w:rPr>
              <w:t xml:space="preserve">60.0°</w:t>
            </w:r>
          </w:p>
        </w:tc>
        <w:tc>
          <w:tcPr>
            <w:tcW w:type="dxa" w:w="1600"/>
            <w:tcMar>
              <w:top w:type="dxa" w:w="100"/>
              <w:left w:type="dxa" w:w="100"/>
              <w:bottom w:type="dxa" w:w="100"/>
              <w:right w:type="dxa" w:w="100"/>
            </w:tcMar>
            <w:vAlign w:val="center"/>
          </w:tcPr>
          <w:p>
            <w:r>
              <w:rPr>
                <w:b w:val="false"/>
                <w:bCs w:val="false"/>
                <w:sz w:val="19"/>
                <w:szCs w:val="19"/>
              </w:rPr>
              <w:t xml:space="preserve">No</w:t>
            </w:r>
          </w:p>
        </w:tc>
        <w:tc>
          <w:tcPr>
            <w:tcW w:type="dxa" w:w="1660"/>
            <w:tcMar>
              <w:top w:type="dxa" w:w="100"/>
              <w:left w:type="dxa" w:w="100"/>
              <w:bottom w:type="dxa" w:w="100"/>
              <w:right w:type="dxa" w:w="100"/>
            </w:tcMar>
            <w:vAlign w:val="center"/>
          </w:tcPr>
          <w:p>
            <w:r>
              <w:rPr>
                <w:b w:val="false"/>
                <w:bCs w:val="false"/>
                <w:sz w:val="19"/>
                <w:szCs w:val="19"/>
              </w:rPr>
              <w:t xml:space="preserve">No</w:t>
            </w:r>
          </w:p>
        </w:tc>
        <w:tc>
          <w:tcPr>
            <w:tcW w:type="dxa" w:w="1000"/>
            <w:tcMar>
              <w:top w:type="dxa" w:w="100"/>
              <w:left w:type="dxa" w:w="100"/>
              <w:bottom w:type="dxa" w:w="100"/>
              <w:right w:type="dxa" w:w="100"/>
            </w:tcMar>
            <w:vAlign w:val="center"/>
          </w:tcPr>
          <w:p>
            <w:r>
              <w:rPr>
                <w:b w:val="false"/>
                <w:bCs w:val="false"/>
                <w:sz w:val="19"/>
                <w:szCs w:val="19"/>
              </w:rPr>
              <w:t xml:space="preserve">Success, voluntary — solid green</w:t>
            </w:r>
          </w:p>
        </w:tc>
      </w:tr>
      <w:tr>
        <w:tc>
          <w:tcPr>
            <w:tcW w:type="dxa" w:w="2400"/>
            <w:tcMar>
              <w:top w:type="dxa" w:w="100"/>
              <w:left w:type="dxa" w:w="100"/>
              <w:bottom w:type="dxa" w:w="100"/>
              <w:right w:type="dxa" w:w="100"/>
            </w:tcMar>
            <w:vAlign w:val="center"/>
          </w:tcPr>
          <w:p>
            <w:r>
              <w:rPr>
                <w:b w:val="false"/>
                <w:bCs w:val="false"/>
                <w:sz w:val="19"/>
                <w:szCs w:val="19"/>
              </w:rPr>
              <w:t xml:space="preserve">Partial movement (voluntary)</w:t>
            </w:r>
          </w:p>
        </w:tc>
        <w:tc>
          <w:tcPr>
            <w:tcW w:type="dxa" w:w="1300"/>
            <w:tcMar>
              <w:top w:type="dxa" w:w="100"/>
              <w:left w:type="dxa" w:w="100"/>
              <w:bottom w:type="dxa" w:w="100"/>
              <w:right w:type="dxa" w:w="100"/>
            </w:tcMar>
            <w:vAlign w:val="center"/>
          </w:tcPr>
          <w:p>
            <w:r>
              <w:rPr>
                <w:b w:val="false"/>
                <w:bCs w:val="false"/>
                <w:sz w:val="19"/>
                <w:szCs w:val="19"/>
              </w:rPr>
              <w:t xml:space="preserve">0.50</w:t>
            </w:r>
          </w:p>
        </w:tc>
        <w:tc>
          <w:tcPr>
            <w:tcW w:type="dxa" w:w="1400"/>
            <w:tcMar>
              <w:top w:type="dxa" w:w="100"/>
              <w:left w:type="dxa" w:w="100"/>
              <w:bottom w:type="dxa" w:w="100"/>
              <w:right w:type="dxa" w:w="100"/>
            </w:tcMar>
            <w:vAlign w:val="center"/>
          </w:tcPr>
          <w:p>
            <w:r>
              <w:rPr>
                <w:b w:val="false"/>
                <w:bCs w:val="false"/>
                <w:sz w:val="19"/>
                <w:szCs w:val="19"/>
              </w:rPr>
              <w:t xml:space="preserve">60.0°</w:t>
            </w:r>
          </w:p>
        </w:tc>
        <w:tc>
          <w:tcPr>
            <w:tcW w:type="dxa" w:w="1600"/>
            <w:tcMar>
              <w:top w:type="dxa" w:w="100"/>
              <w:left w:type="dxa" w:w="100"/>
              <w:bottom w:type="dxa" w:w="100"/>
              <w:right w:type="dxa" w:w="100"/>
            </w:tcMar>
            <w:vAlign w:val="center"/>
          </w:tcPr>
          <w:p>
            <w:r>
              <w:rPr>
                <w:b w:val="false"/>
                <w:bCs w:val="false"/>
                <w:sz w:val="19"/>
                <w:szCs w:val="19"/>
              </w:rPr>
              <w:t xml:space="preserve">No</w:t>
            </w:r>
          </w:p>
        </w:tc>
        <w:tc>
          <w:tcPr>
            <w:tcW w:type="dxa" w:w="1660"/>
            <w:tcMar>
              <w:top w:type="dxa" w:w="100"/>
              <w:left w:type="dxa" w:w="100"/>
              <w:bottom w:type="dxa" w:w="100"/>
              <w:right w:type="dxa" w:w="100"/>
            </w:tcMar>
            <w:vAlign w:val="center"/>
          </w:tcPr>
          <w:p>
            <w:r>
              <w:rPr>
                <w:b w:val="false"/>
                <w:bCs w:val="false"/>
                <w:sz w:val="19"/>
                <w:szCs w:val="19"/>
              </w:rPr>
              <w:t xml:space="preserve">No</w:t>
            </w:r>
          </w:p>
        </w:tc>
        <w:tc>
          <w:tcPr>
            <w:tcW w:type="dxa" w:w="1000"/>
            <w:tcMar>
              <w:top w:type="dxa" w:w="100"/>
              <w:left w:type="dxa" w:w="100"/>
              <w:bottom w:type="dxa" w:w="100"/>
              <w:right w:type="dxa" w:w="100"/>
            </w:tcMar>
            <w:vAlign w:val="center"/>
          </w:tcPr>
          <w:p>
            <w:r>
              <w:rPr>
                <w:b w:val="false"/>
                <w:bCs w:val="false"/>
                <w:sz w:val="19"/>
                <w:szCs w:val="19"/>
              </w:rPr>
              <w:t xml:space="preserve">Success, voluntary — solid green</w:t>
            </w:r>
          </w:p>
        </w:tc>
      </w:tr>
      <w:tr>
        <w:tc>
          <w:tcPr>
            <w:tcW w:type="dxa" w:w="2400"/>
            <w:tcMar>
              <w:top w:type="dxa" w:w="100"/>
              <w:left w:type="dxa" w:w="100"/>
              <w:bottom w:type="dxa" w:w="100"/>
              <w:right w:type="dxa" w:w="100"/>
            </w:tcMar>
            <w:vAlign w:val="center"/>
          </w:tcPr>
          <w:p>
            <w:r>
              <w:rPr>
                <w:b w:val="false"/>
                <w:bCs w:val="false"/>
                <w:sz w:val="19"/>
                <w:szCs w:val="19"/>
              </w:rPr>
              <w:t xml:space="preserve">Borderline (light FES assist)</w:t>
            </w:r>
          </w:p>
        </w:tc>
        <w:tc>
          <w:tcPr>
            <w:tcW w:type="dxa" w:w="1300"/>
            <w:tcMar>
              <w:top w:type="dxa" w:w="100"/>
              <w:left w:type="dxa" w:w="100"/>
              <w:bottom w:type="dxa" w:w="100"/>
              <w:right w:type="dxa" w:w="100"/>
            </w:tcMar>
            <w:vAlign w:val="center"/>
          </w:tcPr>
          <w:p>
            <w:r>
              <w:rPr>
                <w:b w:val="false"/>
                <w:bCs w:val="false"/>
                <w:sz w:val="19"/>
                <w:szCs w:val="19"/>
              </w:rPr>
              <w:t xml:space="preserve">0.50</w:t>
            </w:r>
          </w:p>
        </w:tc>
        <w:tc>
          <w:tcPr>
            <w:tcW w:type="dxa" w:w="1400"/>
            <w:tcMar>
              <w:top w:type="dxa" w:w="100"/>
              <w:left w:type="dxa" w:w="100"/>
              <w:bottom w:type="dxa" w:w="100"/>
              <w:right w:type="dxa" w:w="100"/>
            </w:tcMar>
            <w:vAlign w:val="center"/>
          </w:tcPr>
          <w:p>
            <w:r>
              <w:rPr>
                <w:b w:val="false"/>
                <w:bCs w:val="false"/>
                <w:sz w:val="19"/>
                <w:szCs w:val="19"/>
              </w:rPr>
              <w:t xml:space="preserve">54.4°*</w:t>
            </w:r>
          </w:p>
        </w:tc>
        <w:tc>
          <w:tcPr>
            <w:tcW w:type="dxa" w:w="1600"/>
            <w:tcMar>
              <w:top w:type="dxa" w:w="100"/>
              <w:left w:type="dxa" w:w="100"/>
              <w:bottom w:type="dxa" w:w="100"/>
              <w:right w:type="dxa" w:w="100"/>
            </w:tcMar>
            <w:vAlign w:val="center"/>
          </w:tcPr>
          <w:p>
            <w:r>
              <w:rPr>
                <w:b w:val="false"/>
                <w:bCs w:val="false"/>
                <w:sz w:val="19"/>
                <w:szCs w:val="19"/>
              </w:rPr>
              <w:t xml:space="preserve">Yes — 0.15 s @ 1 N</w:t>
            </w:r>
          </w:p>
        </w:tc>
        <w:tc>
          <w:tcPr>
            <w:tcW w:type="dxa" w:w="1660"/>
            <w:tcMar>
              <w:top w:type="dxa" w:w="100"/>
              <w:left w:type="dxa" w:w="100"/>
              <w:bottom w:type="dxa" w:w="100"/>
              <w:right w:type="dxa" w:w="100"/>
            </w:tcMar>
            <w:vAlign w:val="center"/>
          </w:tcPr>
          <w:p>
            <w:r>
              <w:rPr>
                <w:b w:val="false"/>
                <w:bCs w:val="false"/>
                <w:sz w:val="19"/>
                <w:szCs w:val="19"/>
              </w:rPr>
              <w:t xml:space="preserve">Yes — 2.20 s @ 5 N</w:t>
            </w:r>
          </w:p>
        </w:tc>
        <w:tc>
          <w:tcPr>
            <w:tcW w:type="dxa" w:w="1000"/>
            <w:tcMar>
              <w:top w:type="dxa" w:w="100"/>
              <w:left w:type="dxa" w:w="100"/>
              <w:bottom w:type="dxa" w:w="100"/>
              <w:right w:type="dxa" w:w="100"/>
            </w:tcMar>
            <w:vAlign w:val="center"/>
          </w:tcPr>
          <w:p>
            <w:r>
              <w:rPr>
                <w:b w:val="false"/>
                <w:bCs w:val="false"/>
                <w:sz w:val="19"/>
                <w:szCs w:val="19"/>
              </w:rPr>
              <w:t xml:space="preserve">Success flagged — blinking green*</w:t>
            </w:r>
          </w:p>
        </w:tc>
      </w:tr>
      <w:tr>
        <w:tc>
          <w:tcPr>
            <w:tcW w:type="dxa" w:w="2400"/>
            <w:tcMar>
              <w:top w:type="dxa" w:w="100"/>
              <w:left w:type="dxa" w:w="100"/>
              <w:bottom w:type="dxa" w:w="100"/>
              <w:right w:type="dxa" w:w="100"/>
            </w:tcMar>
            <w:vAlign w:val="center"/>
          </w:tcPr>
          <w:p>
            <w:r>
              <w:rPr>
                <w:b w:val="false"/>
                <w:bCs w:val="false"/>
                <w:sz w:val="19"/>
                <w:szCs w:val="19"/>
              </w:rPr>
              <w:t xml:space="preserve">Little movement (FES-assisted)</w:t>
            </w:r>
          </w:p>
        </w:tc>
        <w:tc>
          <w:tcPr>
            <w:tcW w:type="dxa" w:w="1300"/>
            <w:tcMar>
              <w:top w:type="dxa" w:w="100"/>
              <w:left w:type="dxa" w:w="100"/>
              <w:bottom w:type="dxa" w:w="100"/>
              <w:right w:type="dxa" w:w="100"/>
            </w:tcMar>
            <w:vAlign w:val="center"/>
          </w:tcPr>
          <w:p>
            <w:r>
              <w:rPr>
                <w:b w:val="false"/>
                <w:bCs w:val="false"/>
                <w:sz w:val="19"/>
                <w:szCs w:val="19"/>
              </w:rPr>
              <w:t xml:space="preserve">0.50</w:t>
            </w:r>
          </w:p>
        </w:tc>
        <w:tc>
          <w:tcPr>
            <w:tcW w:type="dxa" w:w="1400"/>
            <w:tcMar>
              <w:top w:type="dxa" w:w="100"/>
              <w:left w:type="dxa" w:w="100"/>
              <w:bottom w:type="dxa" w:w="100"/>
              <w:right w:type="dxa" w:w="100"/>
            </w:tcMar>
            <w:vAlign w:val="center"/>
          </w:tcPr>
          <w:p>
            <w:r>
              <w:rPr>
                <w:b w:val="false"/>
                <w:bCs w:val="false"/>
                <w:sz w:val="19"/>
                <w:szCs w:val="19"/>
              </w:rPr>
              <w:t xml:space="preserve">45.9°</w:t>
            </w:r>
          </w:p>
        </w:tc>
        <w:tc>
          <w:tcPr>
            <w:tcW w:type="dxa" w:w="1600"/>
            <w:tcMar>
              <w:top w:type="dxa" w:w="100"/>
              <w:left w:type="dxa" w:w="100"/>
              <w:bottom w:type="dxa" w:w="100"/>
              <w:right w:type="dxa" w:w="100"/>
            </w:tcMar>
            <w:vAlign w:val="center"/>
          </w:tcPr>
          <w:p>
            <w:r>
              <w:rPr>
                <w:b w:val="false"/>
                <w:bCs w:val="false"/>
                <w:sz w:val="19"/>
                <w:szCs w:val="19"/>
              </w:rPr>
              <w:t xml:space="preserve">Yes — 1.70 s @ 4 N</w:t>
            </w:r>
          </w:p>
        </w:tc>
        <w:tc>
          <w:tcPr>
            <w:tcW w:type="dxa" w:w="1660"/>
            <w:tcMar>
              <w:top w:type="dxa" w:w="100"/>
              <w:left w:type="dxa" w:w="100"/>
              <w:bottom w:type="dxa" w:w="100"/>
              <w:right w:type="dxa" w:w="100"/>
            </w:tcMar>
            <w:vAlign w:val="center"/>
          </w:tcPr>
          <w:p>
            <w:r>
              <w:rPr>
                <w:b w:val="false"/>
                <w:bCs w:val="false"/>
                <w:sz w:val="19"/>
                <w:szCs w:val="19"/>
              </w:rPr>
              <w:t xml:space="preserve">Yes — escalated to 6 N, target not met</w:t>
            </w:r>
          </w:p>
        </w:tc>
        <w:tc>
          <w:tcPr>
            <w:tcW w:type="dxa" w:w="1000"/>
            <w:tcMar>
              <w:top w:type="dxa" w:w="100"/>
              <w:left w:type="dxa" w:w="100"/>
              <w:bottom w:type="dxa" w:w="100"/>
              <w:right w:type="dxa" w:w="100"/>
            </w:tcMar>
            <w:vAlign w:val="center"/>
          </w:tcPr>
          <w:p>
            <w:r>
              <w:rPr>
                <w:b w:val="false"/>
                <w:bCs w:val="false"/>
                <w:sz w:val="19"/>
                <w:szCs w:val="19"/>
              </w:rPr>
              <w:t xml:space="preserve">Grip only — stayed red</w:t>
            </w:r>
          </w:p>
        </w:tc>
      </w:tr>
      <w:tr>
        <w:tc>
          <w:tcPr>
            <w:tcW w:type="dxa" w:w="2400"/>
            <w:tcMar>
              <w:top w:type="dxa" w:w="100"/>
              <w:left w:type="dxa" w:w="100"/>
              <w:bottom w:type="dxa" w:w="100"/>
              <w:right w:type="dxa" w:w="100"/>
            </w:tcMar>
            <w:vAlign w:val="center"/>
          </w:tcPr>
          <w:p>
            <w:r>
              <w:rPr>
                <w:b w:val="false"/>
                <w:bCs w:val="false"/>
                <w:sz w:val="19"/>
                <w:szCs w:val="19"/>
              </w:rPr>
              <w:t xml:space="preserve">No voluntary movement (full FES)</w:t>
            </w:r>
          </w:p>
        </w:tc>
        <w:tc>
          <w:tcPr>
            <w:tcW w:type="dxa" w:w="1300"/>
            <w:tcMar>
              <w:top w:type="dxa" w:w="100"/>
              <w:left w:type="dxa" w:w="100"/>
              <w:bottom w:type="dxa" w:w="100"/>
              <w:right w:type="dxa" w:w="100"/>
            </w:tcMar>
            <w:vAlign w:val="center"/>
          </w:tcPr>
          <w:p>
            <w:r>
              <w:rPr>
                <w:b w:val="false"/>
                <w:bCs w:val="false"/>
                <w:sz w:val="19"/>
                <w:szCs w:val="19"/>
              </w:rPr>
              <w:t xml:space="preserve">0.24*</w:t>
            </w:r>
          </w:p>
        </w:tc>
        <w:tc>
          <w:tcPr>
            <w:tcW w:type="dxa" w:w="1400"/>
            <w:tcMar>
              <w:top w:type="dxa" w:w="100"/>
              <w:left w:type="dxa" w:w="100"/>
              <w:bottom w:type="dxa" w:w="100"/>
              <w:right w:type="dxa" w:w="100"/>
            </w:tcMar>
            <w:vAlign w:val="center"/>
          </w:tcPr>
          <w:p>
            <w:r>
              <w:rPr>
                <w:b w:val="false"/>
                <w:bCs w:val="false"/>
                <w:sz w:val="19"/>
                <w:szCs w:val="19"/>
              </w:rPr>
              <w:t xml:space="preserve">0.0°</w:t>
            </w:r>
          </w:p>
        </w:tc>
        <w:tc>
          <w:tcPr>
            <w:tcW w:type="dxa" w:w="1600"/>
            <w:tcMar>
              <w:top w:type="dxa" w:w="100"/>
              <w:left w:type="dxa" w:w="100"/>
              <w:bottom w:type="dxa" w:w="100"/>
              <w:right w:type="dxa" w:w="100"/>
            </w:tcMar>
            <w:vAlign w:val="center"/>
          </w:tcPr>
          <w:p>
            <w:r>
              <w:rPr>
                <w:b w:val="false"/>
                <w:bCs w:val="false"/>
                <w:sz w:val="19"/>
                <w:szCs w:val="19"/>
              </w:rPr>
              <w:t xml:space="preserve">Yes — escalated to 5 N, target not met</w:t>
            </w:r>
          </w:p>
        </w:tc>
        <w:tc>
          <w:tcPr>
            <w:tcW w:type="dxa" w:w="1660"/>
            <w:tcMar>
              <w:top w:type="dxa" w:w="100"/>
              <w:left w:type="dxa" w:w="100"/>
              <w:bottom w:type="dxa" w:w="100"/>
              <w:right w:type="dxa" w:w="100"/>
            </w:tcMar>
            <w:vAlign w:val="center"/>
          </w:tcPr>
          <w:p>
            <w:r>
              <w:rPr>
                <w:b w:val="false"/>
                <w:bCs w:val="false"/>
                <w:sz w:val="19"/>
                <w:szCs w:val="19"/>
              </w:rPr>
              <w:t xml:space="preserve">Rotation phase never entered</w:t>
            </w:r>
          </w:p>
        </w:tc>
        <w:tc>
          <w:tcPr>
            <w:tcW w:type="dxa" w:w="1000"/>
            <w:tcMar>
              <w:top w:type="dxa" w:w="100"/>
              <w:left w:type="dxa" w:w="100"/>
              <w:bottom w:type="dxa" w:w="100"/>
              <w:right w:type="dxa" w:w="100"/>
            </w:tcMar>
            <w:vAlign w:val="center"/>
          </w:tcPr>
          <w:p>
            <w:r>
              <w:rPr>
                <w:b w:val="false"/>
                <w:bCs w:val="false"/>
                <w:sz w:val="19"/>
                <w:szCs w:val="19"/>
              </w:rPr>
              <w:t xml:space="preserve">Task not completed — stayed red</w:t>
            </w:r>
          </w:p>
        </w:tc>
      </w:tr>
    </w:tbl>
    <w:p>
      <w:pPr>
        <w:spacing w:after="240"/>
        <w:jc w:val="center"/>
      </w:pPr>
      <w:r>
        <w:rPr>
          <w:i/>
          <w:iCs/>
          <w:sz w:val="20"/>
          <w:szCs w:val="20"/>
        </w:rPr>
        <w:t xml:space="preserve">Table 3. Final simulated outcome per patient (* discussed in Section 6.6).</w:t>
      </w:r>
    </w:p>
    <w:p>
      <w:pPr>
        <w:pStyle w:val="Heading2"/>
        <w:spacing w:after="150" w:before="300"/>
      </w:pPr>
      <w:r>
        <w:t xml:space="preserve">6.6 Observations and Controller Refinements Identified</w:t>
      </w:r>
    </w:p>
    <w:p>
      <w:pPr>
        <w:spacing w:after="180" w:line="276"/>
        <w:jc w:val="both"/>
      </w:pPr>
      <w:r>
        <w:rPr>
          <w:b w:val="false"/>
          <w:bCs w:val="false"/>
          <w:i w:val="false"/>
          <w:iCs w:val="false"/>
          <w:sz w:val="22"/>
          <w:szCs w:val="22"/>
        </w:rPr>
        <w:t xml:space="preserve">Running the simulation surfaced two controller behaviours that are worth correcting before the logic is carried over to real hardware, both stemming from the same root cause: the voluntary-movement term keeps being evaluated even after FES has taken over or after the task has already succeeded.</w:t>
      </w:r>
    </w:p>
    <w:p>
      <w:pPr>
        <w:spacing w:after="180" w:line="276"/>
        <w:jc w:val="both"/>
      </w:pPr>
      <w:r>
        <w:rPr>
          <w:b/>
          <w:bCs/>
          <w:sz w:val="22"/>
          <w:szCs w:val="22"/>
        </w:rPr>
        <w:t xml:space="preserve">Leak toward a zero ceiling. </w:t>
      </w:r>
      <w:r>
        <w:rPr>
          <w:sz w:val="22"/>
          <w:szCs w:val="22"/>
        </w:rPr>
        <w:t xml:space="preserve">The voluntary rise is modelled as grip(i) = grip(i−1) + (p.grip − grip(i−1)) × α, which pulls the signal toward that patient's personal ceiling every step — including steps where FES is simultaneously adding force. For the “no voluntary movement” patient, whose personal ceiling is 0, this term acts as a continuous leak that fights the FES contribution. The escalating FES force must out-run this leak before the grip threshold can be reached; in the simulated run, it did not, and the patient's grip plateaued at 0.24 instead of reaching the 0.50 threshold within the grip-phase window.</w:t>
      </w:r>
    </w:p>
    <w:p>
      <w:pPr>
        <w:spacing w:after="180" w:line="276"/>
        <w:jc w:val="both"/>
      </w:pPr>
      <w:r>
        <w:rPr>
          <w:b/>
          <w:bCs/>
          <w:sz w:val="22"/>
          <w:szCs w:val="22"/>
        </w:rPr>
        <w:t xml:space="preserve">Success can quietly decay after being reached. </w:t>
      </w:r>
      <w:r>
        <w:rPr>
          <w:sz w:val="22"/>
          <w:szCs w:val="22"/>
        </w:rPr>
        <w:t xml:space="preserve">The same leak persists after a target is momentarily reached, because the branch that recomputes the voluntary term is only gated on the phase window (ti ≤ rotPhaseEnd) and not on whether the target has already been achieved. This is visible for the “borderline” patient in Figure 1: the rotation trace touches the 60° target (triggering rotDone and the blinking-green LED), but then drifts back down to roughly 54° for the remainder of the phase window as the voluntary term continues pulling toward that patient's lower personal ceiling of 48°. The LED, once latched green, does not reflect this later drift.</w:t>
      </w:r>
    </w:p>
    <w:p>
      <w:pPr>
        <w:spacing w:after="180" w:line="276"/>
        <w:jc w:val="both"/>
      </w:pPr>
      <w:r>
        <w:rPr>
          <w:b w:val="false"/>
          <w:bCs w:val="false"/>
          <w:i w:val="false"/>
          <w:iCs w:val="false"/>
          <w:sz w:val="22"/>
          <w:szCs w:val="22"/>
        </w:rPr>
        <w:t xml:space="preserve">Two refinements follow directly from these observations, and are proposed as the next controller revision before hardware integration: (1) freeze or exclude the voluntary term once FES is actively assisting a channel, so FES contribution is not fought by a simultaneous decay; and (2) latch the achieved position (not just the LED state) once a target is reached within a phase, so a brief momentary success cannot silently regress. Both changes are software-only and can be validated with the same simulation harness before moving to bench testing.</w:t>
      </w:r>
    </w:p>
    <w:p>
      <w:pPr>
        <w:pStyle w:val="Heading1"/>
        <w:spacing w:after="200" w:before="400"/>
      </w:pPr>
      <w:r>
        <w:t xml:space="preserve">7. Limitations and Future Scope</w:t>
      </w:r>
    </w:p>
    <w:p>
      <w:pPr>
        <w:spacing w:after="180" w:line="276"/>
        <w:jc w:val="both"/>
      </w:pPr>
      <w:r>
        <w:rPr>
          <w:b w:val="false"/>
          <w:bCs w:val="false"/>
          <w:i w:val="false"/>
          <w:iCs w:val="false"/>
          <w:sz w:val="22"/>
          <w:szCs w:val="22"/>
        </w:rPr>
        <w:t xml:space="preserve">The current system has three main hardware-facing limitations. First, electrode placement is sensitive, meaning stimulation effectiveness can vary with small shifts in position and may require careful fitting for each session. Second, muscle fatigue can develop during extended use, which may limit continuous session length. Third, the system requires user-specific calibration, since muscle response to electrical stimulation varies between individuals and likely changes over the course of rehabilitation. In addition, the behavioural simulation in Section 6 identified a software-level limitation — the voluntary-term leak described in Section 6.6 — that should be corrected in the controller before it is deployed to hardware.</w:t>
      </w:r>
    </w:p>
    <w:p>
      <w:pPr>
        <w:spacing w:after="180" w:line="276"/>
        <w:jc w:val="both"/>
      </w:pPr>
      <w:r>
        <w:rPr>
          <w:b w:val="false"/>
          <w:bCs w:val="false"/>
          <w:i w:val="false"/>
          <w:iCs w:val="false"/>
          <w:sz w:val="22"/>
          <w:szCs w:val="22"/>
        </w:rPr>
        <w:t xml:space="preserve">Planned future work includes five directions: correcting the voluntary-term leak and success-latching behaviour identified in Section 6.6; incorporating AI-based adaptive stimulation that adjusts FES parameters in real time based on user response; conducting clinical validation studies with stroke or other neurologically impaired patients to establish therapeutic efficacy; developing improved wearable electrodes to reduce placement sensitivity and improve comfort over long-term use; and building a companion mobile app to support session tracking, calibration, and home-based use.</w:t>
      </w:r>
    </w:p>
    <w:p>
      <w:pPr>
        <w:pStyle w:val="Heading1"/>
        <w:spacing w:after="200" w:before="400"/>
      </w:pPr>
      <w:r>
        <w:t xml:space="preserve">8. Comparative Discussion</w:t>
      </w:r>
    </w:p>
    <w:p>
      <w:pPr>
        <w:spacing w:after="180" w:line="276"/>
        <w:jc w:val="both"/>
      </w:pPr>
      <w:r>
        <w:rPr>
          <w:b w:val="false"/>
          <w:bCs w:val="false"/>
          <w:i w:val="false"/>
          <w:iCs w:val="false"/>
          <w:sz w:val="22"/>
          <w:szCs w:val="22"/>
        </w:rPr>
        <w:t xml:space="preserve">The reviewed sources span two complementary strands of research: clinical-outcome studies that test whether haptic-glove-plus-VR interventions improve patient function [1], and engineering-focused studies that design and evaluate the glove hardware, sensing, and feedback mechanisms themselves [2], [4], [5], [6], [7], [8]. Table 4 summarizes the device type, study type, and key findings of each reviewed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600"/>
        <w:gridCol w:w="2000"/>
        <w:gridCol w:w="2060"/>
      </w:tblGrid>
      <w:tr>
        <w:trPr>
          <w:tblHeader/>
        </w:trPr>
        <w:tc>
          <w:tcPr>
            <w:tcW w:type="dxa" w:w="700"/>
            <w:shd w:fill="1F3864" w:val="clear"/>
            <w:tcMar>
              <w:top w:type="dxa" w:w="100"/>
              <w:left w:type="dxa" w:w="100"/>
              <w:bottom w:type="dxa" w:w="100"/>
              <w:right w:type="dxa" w:w="100"/>
            </w:tcMar>
            <w:vAlign w:val="center"/>
          </w:tcPr>
          <w:p>
            <w:r>
              <w:rPr>
                <w:b/>
                <w:bCs/>
                <w:color w:val="FFFFFF"/>
                <w:sz w:val="19"/>
                <w:szCs w:val="19"/>
              </w:rPr>
              <w:t xml:space="preserve">Ref.</w:t>
            </w:r>
          </w:p>
        </w:tc>
        <w:tc>
          <w:tcPr>
            <w:tcW w:type="dxa" w:w="2000"/>
            <w:shd w:fill="1F3864" w:val="clear"/>
            <w:tcMar>
              <w:top w:type="dxa" w:w="100"/>
              <w:left w:type="dxa" w:w="100"/>
              <w:bottom w:type="dxa" w:w="100"/>
              <w:right w:type="dxa" w:w="100"/>
            </w:tcMar>
            <w:vAlign w:val="center"/>
          </w:tcPr>
          <w:p>
            <w:r>
              <w:rPr>
                <w:b/>
                <w:bCs/>
                <w:color w:val="FFFFFF"/>
                <w:sz w:val="19"/>
                <w:szCs w:val="19"/>
              </w:rPr>
              <w:t xml:space="preserve">Study (Author, Year)</w:t>
            </w:r>
          </w:p>
        </w:tc>
        <w:tc>
          <w:tcPr>
            <w:tcW w:type="dxa" w:w="2600"/>
            <w:shd w:fill="1F3864" w:val="clear"/>
            <w:tcMar>
              <w:top w:type="dxa" w:w="100"/>
              <w:left w:type="dxa" w:w="100"/>
              <w:bottom w:type="dxa" w:w="100"/>
              <w:right w:type="dxa" w:w="100"/>
            </w:tcMar>
            <w:vAlign w:val="center"/>
          </w:tcPr>
          <w:p>
            <w:r>
              <w:rPr>
                <w:b/>
                <w:bCs/>
                <w:color w:val="FFFFFF"/>
                <w:sz w:val="19"/>
                <w:szCs w:val="19"/>
              </w:rPr>
              <w:t xml:space="preserve">Device / Approach</w:t>
            </w:r>
          </w:p>
        </w:tc>
        <w:tc>
          <w:tcPr>
            <w:tcW w:type="dxa" w:w="2000"/>
            <w:shd w:fill="1F3864" w:val="clear"/>
            <w:tcMar>
              <w:top w:type="dxa" w:w="100"/>
              <w:left w:type="dxa" w:w="100"/>
              <w:bottom w:type="dxa" w:w="100"/>
              <w:right w:type="dxa" w:w="100"/>
            </w:tcMar>
            <w:vAlign w:val="center"/>
          </w:tcPr>
          <w:p>
            <w:r>
              <w:rPr>
                <w:b/>
                <w:bCs/>
                <w:color w:val="FFFFFF"/>
                <w:sz w:val="19"/>
                <w:szCs w:val="19"/>
              </w:rPr>
              <w:t xml:space="preserve">Study Type</w:t>
            </w:r>
          </w:p>
        </w:tc>
        <w:tc>
          <w:tcPr>
            <w:tcW w:type="dxa" w:w="2060"/>
            <w:shd w:fill="1F3864" w:val="clear"/>
            <w:tcMar>
              <w:top w:type="dxa" w:w="100"/>
              <w:left w:type="dxa" w:w="100"/>
              <w:bottom w:type="dxa" w:w="100"/>
              <w:right w:type="dxa" w:w="100"/>
            </w:tcMar>
            <w:vAlign w:val="center"/>
          </w:tcPr>
          <w:p>
            <w:r>
              <w:rPr>
                <w:b/>
                <w:bCs/>
                <w:color w:val="FFFFFF"/>
                <w:sz w:val="19"/>
                <w:szCs w:val="19"/>
              </w:rPr>
              <w:t xml:space="preserve">Key Findings</w:t>
            </w:r>
          </w:p>
        </w:tc>
      </w:tr>
      <w:tr>
        <w:tc>
          <w:tcPr>
            <w:tcW w:type="dxa" w:w="700"/>
            <w:tcMar>
              <w:top w:type="dxa" w:w="100"/>
              <w:left w:type="dxa" w:w="100"/>
              <w:bottom w:type="dxa" w:w="100"/>
              <w:right w:type="dxa" w:w="100"/>
            </w:tcMar>
            <w:vAlign w:val="center"/>
          </w:tcPr>
          <w:p>
            <w:r>
              <w:rPr>
                <w:b w:val="false"/>
                <w:bCs w:val="false"/>
                <w:sz w:val="19"/>
                <w:szCs w:val="19"/>
              </w:rPr>
              <w:t xml:space="preserve">[1]</w:t>
            </w:r>
          </w:p>
        </w:tc>
        <w:tc>
          <w:tcPr>
            <w:tcW w:type="dxa" w:w="2000"/>
            <w:tcMar>
              <w:top w:type="dxa" w:w="100"/>
              <w:left w:type="dxa" w:w="100"/>
              <w:bottom w:type="dxa" w:w="100"/>
              <w:right w:type="dxa" w:w="100"/>
            </w:tcMar>
            <w:vAlign w:val="center"/>
          </w:tcPr>
          <w:p>
            <w:r>
              <w:rPr>
                <w:b w:val="false"/>
                <w:bCs w:val="false"/>
                <w:sz w:val="19"/>
                <w:szCs w:val="19"/>
              </w:rPr>
              <w:t xml:space="preserve">Fernández-Vázquez et al., 2022</w:t>
            </w:r>
          </w:p>
        </w:tc>
        <w:tc>
          <w:tcPr>
            <w:tcW w:type="dxa" w:w="2600"/>
            <w:tcMar>
              <w:top w:type="dxa" w:w="100"/>
              <w:left w:type="dxa" w:w="100"/>
              <w:bottom w:type="dxa" w:w="100"/>
              <w:right w:type="dxa" w:w="100"/>
            </w:tcMar>
            <w:vAlign w:val="center"/>
          </w:tcPr>
          <w:p>
            <w:r>
              <w:rPr>
                <w:b w:val="false"/>
                <w:bCs w:val="false"/>
                <w:sz w:val="19"/>
                <w:szCs w:val="19"/>
              </w:rPr>
              <w:t xml:space="preserve">RAFAEL Smart Glove, CyberGlove/Cybergrasp, Bi-Manu Trainer, PneuGlove + SVR</w:t>
            </w:r>
          </w:p>
        </w:tc>
        <w:tc>
          <w:tcPr>
            <w:tcW w:type="dxa" w:w="2000"/>
            <w:tcMar>
              <w:top w:type="dxa" w:w="100"/>
              <w:left w:type="dxa" w:w="100"/>
              <w:bottom w:type="dxa" w:w="100"/>
              <w:right w:type="dxa" w:w="100"/>
            </w:tcMar>
            <w:vAlign w:val="center"/>
          </w:tcPr>
          <w:p>
            <w:r>
              <w:rPr>
                <w:b w:val="false"/>
                <w:bCs w:val="false"/>
                <w:sz w:val="19"/>
                <w:szCs w:val="19"/>
              </w:rPr>
              <w:t xml:space="preserve">Systematic review &amp; meta-analysis (7 RCTs, n=230)</w:t>
            </w:r>
          </w:p>
        </w:tc>
        <w:tc>
          <w:tcPr>
            <w:tcW w:type="dxa" w:w="2060"/>
            <w:tcMar>
              <w:top w:type="dxa" w:w="100"/>
              <w:left w:type="dxa" w:w="100"/>
              <w:bottom w:type="dxa" w:w="100"/>
              <w:right w:type="dxa" w:w="100"/>
            </w:tcMar>
            <w:vAlign w:val="center"/>
          </w:tcPr>
          <w:p>
            <w:r>
              <w:rPr>
                <w:b w:val="false"/>
                <w:bCs w:val="false"/>
                <w:sz w:val="19"/>
                <w:szCs w:val="19"/>
              </w:rPr>
              <w:t xml:space="preserve">Significant short- and long-term UE function gains vs. conventional therapy; long-term gains require added conventional rehab; no grip-strength benefit.</w:t>
            </w:r>
          </w:p>
        </w:tc>
      </w:tr>
      <w:tr>
        <w:tc>
          <w:tcPr>
            <w:tcW w:type="dxa" w:w="700"/>
            <w:tcMar>
              <w:top w:type="dxa" w:w="100"/>
              <w:left w:type="dxa" w:w="100"/>
              <w:bottom w:type="dxa" w:w="100"/>
              <w:right w:type="dxa" w:w="100"/>
            </w:tcMar>
            <w:vAlign w:val="center"/>
          </w:tcPr>
          <w:p>
            <w:r>
              <w:rPr>
                <w:b w:val="false"/>
                <w:bCs w:val="false"/>
                <w:sz w:val="19"/>
                <w:szCs w:val="19"/>
              </w:rPr>
              <w:t xml:space="preserve">[2]</w:t>
            </w:r>
          </w:p>
        </w:tc>
        <w:tc>
          <w:tcPr>
            <w:tcW w:type="dxa" w:w="2000"/>
            <w:tcMar>
              <w:top w:type="dxa" w:w="100"/>
              <w:left w:type="dxa" w:w="100"/>
              <w:bottom w:type="dxa" w:w="100"/>
              <w:right w:type="dxa" w:w="100"/>
            </w:tcMar>
            <w:vAlign w:val="center"/>
          </w:tcPr>
          <w:p>
            <w:r>
              <w:rPr>
                <w:b w:val="false"/>
                <w:bCs w:val="false"/>
                <w:sz w:val="19"/>
                <w:szCs w:val="19"/>
              </w:rPr>
              <w:t xml:space="preserve">Polygerinos et al., 2013</w:t>
            </w:r>
          </w:p>
        </w:tc>
        <w:tc>
          <w:tcPr>
            <w:tcW w:type="dxa" w:w="2600"/>
            <w:tcMar>
              <w:top w:type="dxa" w:w="100"/>
              <w:left w:type="dxa" w:w="100"/>
              <w:bottom w:type="dxa" w:w="100"/>
              <w:right w:type="dxa" w:w="100"/>
            </w:tcMar>
            <w:vAlign w:val="center"/>
          </w:tcPr>
          <w:p>
            <w:r>
              <w:rPr>
                <w:b w:val="false"/>
                <w:bCs w:val="false"/>
                <w:sz w:val="19"/>
                <w:szCs w:val="19"/>
              </w:rPr>
              <w:t xml:space="preserve">Soft pneumatic elastomeric-actuator glove</w:t>
            </w:r>
          </w:p>
        </w:tc>
        <w:tc>
          <w:tcPr>
            <w:tcW w:type="dxa" w:w="2000"/>
            <w:tcMar>
              <w:top w:type="dxa" w:w="100"/>
              <w:left w:type="dxa" w:w="100"/>
              <w:bottom w:type="dxa" w:w="100"/>
              <w:right w:type="dxa" w:w="100"/>
            </w:tcMar>
            <w:vAlign w:val="center"/>
          </w:tcPr>
          <w:p>
            <w:r>
              <w:rPr>
                <w:b w:val="false"/>
                <w:bCs w:val="false"/>
                <w:sz w:val="19"/>
                <w:szCs w:val="19"/>
              </w:rPr>
              <w:t xml:space="preserve">Device design &amp; preliminary evaluation</w:t>
            </w:r>
          </w:p>
        </w:tc>
        <w:tc>
          <w:tcPr>
            <w:tcW w:type="dxa" w:w="2060"/>
            <w:tcMar>
              <w:top w:type="dxa" w:w="100"/>
              <w:left w:type="dxa" w:w="100"/>
              <w:bottom w:type="dxa" w:w="100"/>
              <w:right w:type="dxa" w:w="100"/>
            </w:tcMar>
            <w:vAlign w:val="center"/>
          </w:tcPr>
          <w:p>
            <w:r>
              <w:rPr>
                <w:b w:val="false"/>
                <w:bCs w:val="false"/>
                <w:sz w:val="19"/>
                <w:szCs w:val="19"/>
              </w:rPr>
              <w:t xml:space="preserve">Early soft-actuator glove for finger flexion/extension exercises; foundation for later soft robotic rehab gloves.</w:t>
            </w:r>
          </w:p>
        </w:tc>
      </w:tr>
      <w:tr>
        <w:tc>
          <w:tcPr>
            <w:tcW w:type="dxa" w:w="700"/>
            <w:tcMar>
              <w:top w:type="dxa" w:w="100"/>
              <w:left w:type="dxa" w:w="100"/>
              <w:bottom w:type="dxa" w:w="100"/>
              <w:right w:type="dxa" w:w="100"/>
            </w:tcMar>
            <w:vAlign w:val="center"/>
          </w:tcPr>
          <w:p>
            <w:r>
              <w:rPr>
                <w:b w:val="false"/>
                <w:bCs w:val="false"/>
                <w:sz w:val="19"/>
                <w:szCs w:val="19"/>
              </w:rPr>
              <w:t xml:space="preserve">[4]</w:t>
            </w:r>
          </w:p>
        </w:tc>
        <w:tc>
          <w:tcPr>
            <w:tcW w:type="dxa" w:w="2000"/>
            <w:tcMar>
              <w:top w:type="dxa" w:w="100"/>
              <w:left w:type="dxa" w:w="100"/>
              <w:bottom w:type="dxa" w:w="100"/>
              <w:right w:type="dxa" w:w="100"/>
            </w:tcMar>
            <w:vAlign w:val="center"/>
          </w:tcPr>
          <w:p>
            <w:r>
              <w:rPr>
                <w:b w:val="false"/>
                <w:bCs w:val="false"/>
                <w:sz w:val="19"/>
                <w:szCs w:val="19"/>
              </w:rPr>
              <w:t xml:space="preserve">Li et al., 2023</w:t>
            </w:r>
          </w:p>
        </w:tc>
        <w:tc>
          <w:tcPr>
            <w:tcW w:type="dxa" w:w="2600"/>
            <w:tcMar>
              <w:top w:type="dxa" w:w="100"/>
              <w:left w:type="dxa" w:w="100"/>
              <w:bottom w:type="dxa" w:w="100"/>
              <w:right w:type="dxa" w:w="100"/>
            </w:tcMar>
            <w:vAlign w:val="center"/>
          </w:tcPr>
          <w:p>
            <w:r>
              <w:rPr>
                <w:b w:val="false"/>
                <w:bCs w:val="false"/>
                <w:sz w:val="19"/>
                <w:szCs w:val="19"/>
              </w:rPr>
              <w:t xml:space="preserve">Soft glove, 15 IMUs + motor-tendon force feedback, VR-integrated</w:t>
            </w:r>
          </w:p>
        </w:tc>
        <w:tc>
          <w:tcPr>
            <w:tcW w:type="dxa" w:w="2000"/>
            <w:tcMar>
              <w:top w:type="dxa" w:w="100"/>
              <w:left w:type="dxa" w:w="100"/>
              <w:bottom w:type="dxa" w:w="100"/>
              <w:right w:type="dxa" w:w="100"/>
            </w:tcMar>
            <w:vAlign w:val="center"/>
          </w:tcPr>
          <w:p>
            <w:r>
              <w:rPr>
                <w:b w:val="false"/>
                <w:bCs w:val="false"/>
                <w:sz w:val="19"/>
                <w:szCs w:val="19"/>
              </w:rPr>
              <w:t xml:space="preserve">Device design &amp; development</w:t>
            </w:r>
          </w:p>
        </w:tc>
        <w:tc>
          <w:tcPr>
            <w:tcW w:type="dxa" w:w="2060"/>
            <w:tcMar>
              <w:top w:type="dxa" w:w="100"/>
              <w:left w:type="dxa" w:w="100"/>
              <w:bottom w:type="dxa" w:w="100"/>
              <w:right w:type="dxa" w:w="100"/>
            </w:tcMar>
            <w:vAlign w:val="center"/>
          </w:tcPr>
          <w:p>
            <w:r>
              <w:rPr>
                <w:b w:val="false"/>
                <w:bCs w:val="false"/>
                <w:sz w:val="19"/>
                <w:szCs w:val="19"/>
              </w:rPr>
              <w:t xml:space="preserve">Low-cost glove providing accurate finger tracking and tactile force feedback for VR object interaction.</w:t>
            </w:r>
          </w:p>
        </w:tc>
      </w:tr>
      <w:tr>
        <w:tc>
          <w:tcPr>
            <w:tcW w:type="dxa" w:w="700"/>
            <w:tcMar>
              <w:top w:type="dxa" w:w="100"/>
              <w:left w:type="dxa" w:w="100"/>
              <w:bottom w:type="dxa" w:w="100"/>
              <w:right w:type="dxa" w:w="100"/>
            </w:tcMar>
            <w:vAlign w:val="center"/>
          </w:tcPr>
          <w:p>
            <w:r>
              <w:rPr>
                <w:b w:val="false"/>
                <w:bCs w:val="false"/>
                <w:sz w:val="19"/>
                <w:szCs w:val="19"/>
              </w:rPr>
              <w:t xml:space="preserve">[5]</w:t>
            </w:r>
          </w:p>
        </w:tc>
        <w:tc>
          <w:tcPr>
            <w:tcW w:type="dxa" w:w="2000"/>
            <w:tcMar>
              <w:top w:type="dxa" w:w="100"/>
              <w:left w:type="dxa" w:w="100"/>
              <w:bottom w:type="dxa" w:w="100"/>
              <w:right w:type="dxa" w:w="100"/>
            </w:tcMar>
            <w:vAlign w:val="center"/>
          </w:tcPr>
          <w:p>
            <w:r>
              <w:rPr>
                <w:b w:val="false"/>
                <w:bCs w:val="false"/>
                <w:sz w:val="19"/>
                <w:szCs w:val="19"/>
              </w:rPr>
              <w:t xml:space="preserve">Lin et al., 2016</w:t>
            </w:r>
          </w:p>
        </w:tc>
        <w:tc>
          <w:tcPr>
            <w:tcW w:type="dxa" w:w="2600"/>
            <w:tcMar>
              <w:top w:type="dxa" w:w="100"/>
              <w:left w:type="dxa" w:w="100"/>
              <w:bottom w:type="dxa" w:w="100"/>
              <w:right w:type="dxa" w:w="100"/>
            </w:tcMar>
            <w:vAlign w:val="center"/>
          </w:tcPr>
          <w:p>
            <w:r>
              <w:rPr>
                <w:b w:val="false"/>
                <w:bCs w:val="false"/>
                <w:sz w:val="19"/>
                <w:szCs w:val="19"/>
              </w:rPr>
              <w:t xml:space="preserve">Vibrotactile glove with DC motors + piezoresistive force sensors, VR games</w:t>
            </w:r>
          </w:p>
        </w:tc>
        <w:tc>
          <w:tcPr>
            <w:tcW w:type="dxa" w:w="2000"/>
            <w:tcMar>
              <w:top w:type="dxa" w:w="100"/>
              <w:left w:type="dxa" w:w="100"/>
              <w:bottom w:type="dxa" w:w="100"/>
              <w:right w:type="dxa" w:w="100"/>
            </w:tcMar>
            <w:vAlign w:val="center"/>
          </w:tcPr>
          <w:p>
            <w:r>
              <w:rPr>
                <w:b w:val="false"/>
                <w:bCs w:val="false"/>
                <w:sz w:val="19"/>
                <w:szCs w:val="19"/>
              </w:rPr>
              <w:t xml:space="preserve">Device design &amp; development</w:t>
            </w:r>
          </w:p>
        </w:tc>
        <w:tc>
          <w:tcPr>
            <w:tcW w:type="dxa" w:w="2060"/>
            <w:tcMar>
              <w:top w:type="dxa" w:w="100"/>
              <w:left w:type="dxa" w:w="100"/>
              <w:bottom w:type="dxa" w:w="100"/>
              <w:right w:type="dxa" w:w="100"/>
            </w:tcMar>
            <w:vAlign w:val="center"/>
          </w:tcPr>
          <w:p>
            <w:r>
              <w:rPr>
                <w:b w:val="false"/>
                <w:bCs w:val="false"/>
                <w:sz w:val="19"/>
                <w:szCs w:val="19"/>
              </w:rPr>
              <w:t xml:space="preserve">Combines vibrotactile stimulation and force sensing with VR mini-games for fine motor training.</w:t>
            </w:r>
          </w:p>
        </w:tc>
      </w:tr>
      <w:tr>
        <w:tc>
          <w:tcPr>
            <w:tcW w:type="dxa" w:w="700"/>
            <w:tcMar>
              <w:top w:type="dxa" w:w="100"/>
              <w:left w:type="dxa" w:w="100"/>
              <w:bottom w:type="dxa" w:w="100"/>
              <w:right w:type="dxa" w:w="100"/>
            </w:tcMar>
            <w:vAlign w:val="center"/>
          </w:tcPr>
          <w:p>
            <w:r>
              <w:rPr>
                <w:b w:val="false"/>
                <w:bCs w:val="false"/>
                <w:sz w:val="19"/>
                <w:szCs w:val="19"/>
              </w:rPr>
              <w:t xml:space="preserve">[6]</w:t>
            </w:r>
          </w:p>
        </w:tc>
        <w:tc>
          <w:tcPr>
            <w:tcW w:type="dxa" w:w="2000"/>
            <w:tcMar>
              <w:top w:type="dxa" w:w="100"/>
              <w:left w:type="dxa" w:w="100"/>
              <w:bottom w:type="dxa" w:w="100"/>
              <w:right w:type="dxa" w:w="100"/>
            </w:tcMar>
            <w:vAlign w:val="center"/>
          </w:tcPr>
          <w:p>
            <w:r>
              <w:rPr>
                <w:b w:val="false"/>
                <w:bCs w:val="false"/>
                <w:sz w:val="19"/>
                <w:szCs w:val="19"/>
              </w:rPr>
              <w:t xml:space="preserve">Hoda et al., 2015</w:t>
            </w:r>
          </w:p>
        </w:tc>
        <w:tc>
          <w:tcPr>
            <w:tcW w:type="dxa" w:w="2600"/>
            <w:tcMar>
              <w:top w:type="dxa" w:w="100"/>
              <w:left w:type="dxa" w:w="100"/>
              <w:bottom w:type="dxa" w:w="100"/>
              <w:right w:type="dxa" w:w="100"/>
            </w:tcMar>
            <w:vAlign w:val="center"/>
          </w:tcPr>
          <w:p>
            <w:r>
              <w:rPr>
                <w:b w:val="false"/>
                <w:bCs w:val="false"/>
                <w:sz w:val="19"/>
                <w:szCs w:val="19"/>
              </w:rPr>
              <w:t xml:space="preserve">Lightweight low-cost haptic glove, VR exergames</w:t>
            </w:r>
          </w:p>
        </w:tc>
        <w:tc>
          <w:tcPr>
            <w:tcW w:type="dxa" w:w="2000"/>
            <w:tcMar>
              <w:top w:type="dxa" w:w="100"/>
              <w:left w:type="dxa" w:w="100"/>
              <w:bottom w:type="dxa" w:w="100"/>
              <w:right w:type="dxa" w:w="100"/>
            </w:tcMar>
            <w:vAlign w:val="center"/>
          </w:tcPr>
          <w:p>
            <w:r>
              <w:rPr>
                <w:b w:val="false"/>
                <w:bCs w:val="false"/>
                <w:sz w:val="19"/>
                <w:szCs w:val="19"/>
              </w:rPr>
              <w:t xml:space="preserve">Device design &amp; feasibility test (n=20 healthy)</w:t>
            </w:r>
          </w:p>
        </w:tc>
        <w:tc>
          <w:tcPr>
            <w:tcW w:type="dxa" w:w="2060"/>
            <w:tcMar>
              <w:top w:type="dxa" w:w="100"/>
              <w:left w:type="dxa" w:w="100"/>
              <w:bottom w:type="dxa" w:w="100"/>
              <w:right w:type="dxa" w:w="100"/>
            </w:tcMar>
            <w:vAlign w:val="center"/>
          </w:tcPr>
          <w:p>
            <w:r>
              <w:rPr>
                <w:b w:val="false"/>
                <w:bCs w:val="false"/>
                <w:sz w:val="19"/>
                <w:szCs w:val="19"/>
              </w:rPr>
              <w:t xml:space="preserve">Preliminary results show good user acceptance; supports feasibility of low-cost haptic feedback.</w:t>
            </w:r>
          </w:p>
        </w:tc>
      </w:tr>
      <w:tr>
        <w:tc>
          <w:tcPr>
            <w:tcW w:type="dxa" w:w="700"/>
            <w:tcMar>
              <w:top w:type="dxa" w:w="100"/>
              <w:left w:type="dxa" w:w="100"/>
              <w:bottom w:type="dxa" w:w="100"/>
              <w:right w:type="dxa" w:w="100"/>
            </w:tcMar>
            <w:vAlign w:val="center"/>
          </w:tcPr>
          <w:p>
            <w:r>
              <w:rPr>
                <w:b w:val="false"/>
                <w:bCs w:val="false"/>
                <w:sz w:val="19"/>
                <w:szCs w:val="19"/>
              </w:rPr>
              <w:t xml:space="preserve">[7]</w:t>
            </w:r>
          </w:p>
        </w:tc>
        <w:tc>
          <w:tcPr>
            <w:tcW w:type="dxa" w:w="2000"/>
            <w:tcMar>
              <w:top w:type="dxa" w:w="100"/>
              <w:left w:type="dxa" w:w="100"/>
              <w:bottom w:type="dxa" w:w="100"/>
              <w:right w:type="dxa" w:w="100"/>
            </w:tcMar>
            <w:vAlign w:val="center"/>
          </w:tcPr>
          <w:p>
            <w:r>
              <w:rPr>
                <w:b w:val="false"/>
                <w:bCs w:val="false"/>
                <w:sz w:val="19"/>
                <w:szCs w:val="19"/>
              </w:rPr>
              <w:t xml:space="preserve">Alamri et al., 2008</w:t>
            </w:r>
          </w:p>
        </w:tc>
        <w:tc>
          <w:tcPr>
            <w:tcW w:type="dxa" w:w="2600"/>
            <w:tcMar>
              <w:top w:type="dxa" w:w="100"/>
              <w:left w:type="dxa" w:w="100"/>
              <w:bottom w:type="dxa" w:w="100"/>
              <w:right w:type="dxa" w:w="100"/>
            </w:tcMar>
            <w:vAlign w:val="center"/>
          </w:tcPr>
          <w:p>
            <w:r>
              <w:rPr>
                <w:b w:val="false"/>
                <w:bCs w:val="false"/>
                <w:sz w:val="19"/>
                <w:szCs w:val="19"/>
              </w:rPr>
              <w:t xml:space="preserve">Haptic framework with 5 virtual exercises (Jebsen Test, Box &amp; Block Test based)</w:t>
            </w:r>
          </w:p>
        </w:tc>
        <w:tc>
          <w:tcPr>
            <w:tcW w:type="dxa" w:w="2000"/>
            <w:tcMar>
              <w:top w:type="dxa" w:w="100"/>
              <w:left w:type="dxa" w:w="100"/>
              <w:bottom w:type="dxa" w:w="100"/>
              <w:right w:type="dxa" w:w="100"/>
            </w:tcMar>
            <w:vAlign w:val="center"/>
          </w:tcPr>
          <w:p>
            <w:r>
              <w:rPr>
                <w:b w:val="false"/>
                <w:bCs w:val="false"/>
                <w:sz w:val="19"/>
                <w:szCs w:val="19"/>
              </w:rPr>
              <w:t xml:space="preserve">Device/framework design &amp; evaluation</w:t>
            </w:r>
          </w:p>
        </w:tc>
        <w:tc>
          <w:tcPr>
            <w:tcW w:type="dxa" w:w="2060"/>
            <w:tcMar>
              <w:top w:type="dxa" w:w="100"/>
              <w:left w:type="dxa" w:w="100"/>
              <w:bottom w:type="dxa" w:w="100"/>
              <w:right w:type="dxa" w:w="100"/>
            </w:tcMar>
            <w:vAlign w:val="center"/>
          </w:tcPr>
          <w:p>
            <w:r>
              <w:rPr>
                <w:b w:val="false"/>
                <w:bCs w:val="false"/>
                <w:sz w:val="19"/>
                <w:szCs w:val="19"/>
              </w:rPr>
              <w:t xml:space="preserve">Establishes healthy-subject reference metrics to support objective, therapist-led progress assessment.</w:t>
            </w:r>
          </w:p>
        </w:tc>
      </w:tr>
      <w:tr>
        <w:tc>
          <w:tcPr>
            <w:tcW w:type="dxa" w:w="700"/>
            <w:tcMar>
              <w:top w:type="dxa" w:w="100"/>
              <w:left w:type="dxa" w:w="100"/>
              <w:bottom w:type="dxa" w:w="100"/>
              <w:right w:type="dxa" w:w="100"/>
            </w:tcMar>
            <w:vAlign w:val="center"/>
          </w:tcPr>
          <w:p>
            <w:r>
              <w:rPr>
                <w:b w:val="false"/>
                <w:bCs w:val="false"/>
                <w:sz w:val="19"/>
                <w:szCs w:val="19"/>
              </w:rPr>
              <w:t xml:space="preserve">[8]</w:t>
            </w:r>
          </w:p>
        </w:tc>
        <w:tc>
          <w:tcPr>
            <w:tcW w:type="dxa" w:w="2000"/>
            <w:tcMar>
              <w:top w:type="dxa" w:w="100"/>
              <w:left w:type="dxa" w:w="100"/>
              <w:bottom w:type="dxa" w:w="100"/>
              <w:right w:type="dxa" w:w="100"/>
            </w:tcMar>
            <w:vAlign w:val="center"/>
          </w:tcPr>
          <w:p>
            <w:r>
              <w:rPr>
                <w:b w:val="false"/>
                <w:bCs w:val="false"/>
                <w:sz w:val="19"/>
                <w:szCs w:val="19"/>
              </w:rPr>
              <w:t xml:space="preserve">Herrera-Luna et al., 2019</w:t>
            </w:r>
          </w:p>
        </w:tc>
        <w:tc>
          <w:tcPr>
            <w:tcW w:type="dxa" w:w="2600"/>
            <w:tcMar>
              <w:top w:type="dxa" w:w="100"/>
              <w:left w:type="dxa" w:w="100"/>
              <w:bottom w:type="dxa" w:w="100"/>
              <w:right w:type="dxa" w:w="100"/>
            </w:tcMar>
            <w:vAlign w:val="center"/>
          </w:tcPr>
          <w:p>
            <w:r>
              <w:rPr>
                <w:b w:val="false"/>
                <w:bCs w:val="false"/>
                <w:sz w:val="19"/>
                <w:szCs w:val="19"/>
              </w:rPr>
              <w:t xml:space="preserve">Multiple (EMG, inertial, and other sensors)</w:t>
            </w:r>
          </w:p>
        </w:tc>
        <w:tc>
          <w:tcPr>
            <w:tcW w:type="dxa" w:w="2000"/>
            <w:tcMar>
              <w:top w:type="dxa" w:w="100"/>
              <w:left w:type="dxa" w:w="100"/>
              <w:bottom w:type="dxa" w:w="100"/>
              <w:right w:type="dxa" w:w="100"/>
            </w:tcMar>
            <w:vAlign w:val="center"/>
          </w:tcPr>
          <w:p>
            <w:r>
              <w:rPr>
                <w:b w:val="false"/>
                <w:bCs w:val="false"/>
                <w:sz w:val="19"/>
                <w:szCs w:val="19"/>
              </w:rPr>
              <w:t xml:space="preserve">Systematic review (29 of 102 studies)</w:t>
            </w:r>
          </w:p>
        </w:tc>
        <w:tc>
          <w:tcPr>
            <w:tcW w:type="dxa" w:w="2060"/>
            <w:tcMar>
              <w:top w:type="dxa" w:w="100"/>
              <w:left w:type="dxa" w:w="100"/>
              <w:bottom w:type="dxa" w:w="100"/>
              <w:right w:type="dxa" w:w="100"/>
            </w:tcMar>
            <w:vAlign w:val="center"/>
          </w:tcPr>
          <w:p>
            <w:r>
              <w:rPr>
                <w:b w:val="false"/>
                <w:bCs w:val="false"/>
                <w:sz w:val="19"/>
                <w:szCs w:val="19"/>
              </w:rPr>
              <w:t xml:space="preserve">EMG and inertial sensors are most common; sensor fusion applied to movement detection, exoskeleton control, and serious games.</w:t>
            </w:r>
          </w:p>
        </w:tc>
      </w:tr>
    </w:tbl>
    <w:p>
      <w:pPr>
        <w:spacing w:after="240"/>
        <w:jc w:val="center"/>
      </w:pPr>
      <w:r>
        <w:rPr>
          <w:i/>
          <w:iCs/>
          <w:sz w:val="20"/>
          <w:szCs w:val="20"/>
        </w:rPr>
        <w:t xml:space="preserve">Table 4. Summary comparison of the reviewed sources.</w:t>
      </w:r>
    </w:p>
    <w:p>
      <w:pPr>
        <w:spacing w:after="180" w:line="276"/>
        <w:jc w:val="both"/>
      </w:pPr>
      <w:r>
        <w:rPr>
          <w:b w:val="false"/>
          <w:bCs w:val="false"/>
          <w:i w:val="false"/>
          <w:iCs w:val="false"/>
          <w:sz w:val="22"/>
          <w:szCs w:val="22"/>
        </w:rPr>
        <w:t xml:space="preserve">Across the device-development studies, a clear trajectory emerges from early rigid or pneumatically actuated gloves [2] toward lighter, lower-cost, and more sensor-rich soft robotic systems [4], [5], [6], reflecting a broader trend in the field toward improving wearability, affordability, and patient engagement. Feedback modalities vary from purely tactile/vibrotactile stimulation [5], [6] to combined motion-sensing and force feedback intended to simulate contact with virtual objects [4]. Diagnostic-oriented work such as [7] highlights a complementary use case: using haptic VR exercises not only to train patients but also to quantitatively assess their impairment against healthy-subject baselines.</w:t>
      </w:r>
    </w:p>
    <w:p>
      <w:pPr>
        <w:spacing w:after="180" w:line="276"/>
        <w:jc w:val="both"/>
      </w:pPr>
      <w:r>
        <w:rPr>
          <w:b w:val="false"/>
          <w:bCs w:val="false"/>
          <w:i w:val="false"/>
          <w:iCs w:val="false"/>
          <w:sz w:val="22"/>
          <w:szCs w:val="22"/>
        </w:rPr>
        <w:t xml:space="preserve">The clinical evidence in [1] indicates that the specific glove technology used matters less than the overall treatment protocol: session frequency, duration, and whether conventional rehabilitation is added alongside haptic-glove-and-VR training appear to be key drivers of long-term outcomes. Meanwhile, [8] shows that the underlying sensing approach across these devices is increasingly moving toward multi-sensor fusion, particularly EMG combined with inertial sensing, to improve the accuracy of movement detection that VR-based rehabilitation exercises depend on. The proposed FES-based system (Section 4) extends this trajectory toward lighter and lower-cost devices one step further: rather than making the actuator smaller or softer, it removes the mechanical actuator altogether, which is only possible because the target joint action — wrist rotation — is well suited to direct muscle stimulation. The behavioural simulation in Section 6 adds a further step none of the reviewed hardware-development papers explicitly describe: validating the assistive-force control logic in software, across a spectrum of simulated patient responsiveness, before any stimulation hardware is built.</w:t>
      </w:r>
    </w:p>
    <w:p>
      <w:pPr>
        <w:pStyle w:val="Heading1"/>
        <w:spacing w:after="200" w:before="400"/>
      </w:pPr>
      <w:r>
        <w:t xml:space="preserve">9. Conclusion</w:t>
      </w:r>
    </w:p>
    <w:p>
      <w:pPr>
        <w:spacing w:after="180" w:line="276"/>
        <w:jc w:val="both"/>
      </w:pPr>
      <w:r>
        <w:rPr>
          <w:b w:val="false"/>
          <w:bCs w:val="false"/>
          <w:i w:val="false"/>
          <w:iCs w:val="false"/>
          <w:sz w:val="22"/>
          <w:szCs w:val="22"/>
        </w:rPr>
        <w:t xml:space="preserve">Haptic glove systems, particularly when combined with semi-immersive virtual reality, show consistent evidence of improving upper-extremity motor function after stroke compared with conventional therapy alone, with the strongest long-term effects seen when haptic-VR training supplements rather than replaces conventional rehabilitation [1]. Parallel engineering efforts have progressively moved from early pneumatic and rigid actuator designs [2] toward lightweight, low-cost, and sensor-rich soft robotic gloves that integrate motion tracking, force feedback, and vibrotactile stimulation [4], [5], [6], while diagnostic frameworks demonstrate the value of haptic VR exercises for objective, quantifiable patient assessment [7], and sensor fusion techniques continue to mature as a supporting technology [8]. Across this body of work, however, wrist rotation remains a comparatively underexplored target for lightweight, wearable devices.</w:t>
      </w:r>
    </w:p>
    <w:p>
      <w:pPr>
        <w:spacing w:after="180" w:line="276"/>
        <w:jc w:val="both"/>
      </w:pPr>
      <w:r>
        <w:rPr>
          <w:b w:val="false"/>
          <w:bCs w:val="false"/>
          <w:i w:val="false"/>
          <w:iCs w:val="false"/>
          <w:sz w:val="22"/>
          <w:szCs w:val="22"/>
        </w:rPr>
        <w:t xml:space="preserve">The dual-channel FES-based system presented in this report addresses that gap directly, replacing mechanical actuation with targeted muscle stimulation to achieve a sub-150 g, sub-€200, fully portable wrist rehabilitation device. The behavioural simulation in Section 6 validated the grip-then-rotate control logic and the escalating FES force profile across a spectrum of five simulated patients, successfully reproducing the intended voluntary-first, FES-as-needed behaviour for patients with adequate voluntary movement while also surfacing a concrete controller refinement — correcting the voluntary-term leak that let assisted grip and rotation drift below target for the most FES-dependent patients — before any hardware was built. Planned clinical validation, adaptive stimulation, improved electrodes, and a companion mobile app represent the next steps toward translating this proof-of-concept into a practical home rehabilitation tool.</w:t>
      </w:r>
    </w:p>
    <w:p>
      <w:pPr>
        <w:pStyle w:val="Heading1"/>
        <w:spacing w:after="200" w:before="400"/>
      </w:pPr>
      <w:r>
        <w:t xml:space="preserve">References</w:t>
      </w:r>
    </w:p>
    <w:p>
      <w:pPr>
        <w:spacing w:after="180" w:line="276"/>
        <w:jc w:val="left"/>
      </w:pPr>
      <w:r>
        <w:rPr>
          <w:b w:val="false"/>
          <w:bCs w:val="false"/>
          <w:i w:val="false"/>
          <w:iCs w:val="false"/>
          <w:sz w:val="22"/>
          <w:szCs w:val="22"/>
        </w:rPr>
        <w:t xml:space="preserve">[1] D. Fernández-Vázquez, R. Cano-de-la-Cuerda, and V. Navarro-López, “Haptic Glove Systems in Combination with Semi-Immersive Virtual Reality for Upper Extremity Motor Rehabilitation after Stroke: A Systematic Review and Meta-Analysis,” Int. J. Environ. Res. Public Health, vol. 19, no. 16, p. 10378, Aug. 2022, doi: 10.3390/ijerph191610378.</w:t>
      </w:r>
    </w:p>
    <w:p>
      <w:pPr>
        <w:spacing w:after="180" w:line="276"/>
        <w:jc w:val="left"/>
      </w:pPr>
      <w:r>
        <w:rPr>
          <w:b w:val="false"/>
          <w:bCs w:val="false"/>
          <w:i w:val="false"/>
          <w:iCs w:val="false"/>
          <w:sz w:val="22"/>
          <w:szCs w:val="22"/>
        </w:rPr>
        <w:t xml:space="preserve">[2] P. Polygerinos, S. Lyne, Z. Wang, L. F. Nicolini, B. Mosadegh, G. M. Whitesides, and C. J. Walsh, “Towards a soft pneumatic glove for hand rehabilitation,” in Proc. 2013 IEEE/RSJ Int. Conf. Intelligent Robots and Systems (IROS), Tokyo, Japan, Nov. 2013, pp. 1512–1517, doi: 10.1109/IROS.2013.6696549.</w:t>
      </w:r>
    </w:p>
    <w:p>
      <w:pPr>
        <w:spacing w:after="180" w:line="276"/>
        <w:jc w:val="left"/>
      </w:pPr>
      <w:r>
        <w:rPr>
          <w:b w:val="false"/>
          <w:bCs w:val="false"/>
          <w:i w:val="false"/>
          <w:iCs w:val="false"/>
          <w:sz w:val="22"/>
          <w:szCs w:val="22"/>
        </w:rPr>
        <w:t xml:space="preserve">[4] F. Li, J. Chen, G. Ye, S. Dong, Z. Gao, and Y. Zhou, “Soft Robotic Glove with Sensing and Force Feedback for Rehabilitation in Virtual Reality,” Biomimetics, vol. 8, no. 1, p. 83, Feb. 2023, doi: 10.3390/biomimetics8010083.</w:t>
      </w:r>
    </w:p>
    <w:p>
      <w:pPr>
        <w:spacing w:after="180" w:line="276"/>
        <w:jc w:val="left"/>
      </w:pPr>
      <w:r>
        <w:rPr>
          <w:b w:val="false"/>
          <w:bCs w:val="false"/>
          <w:i w:val="false"/>
          <w:iCs w:val="false"/>
          <w:sz w:val="22"/>
          <w:szCs w:val="22"/>
        </w:rPr>
        <w:t xml:space="preserve">[5] C.-Y. Lin, C.-M. Tsai, P.-C. Shih, and H.-C. Wu, “Development of a novel haptic glove for improving finger dexterity in poststroke rehabilitation,” Technol. Health Care, vol. 24, no. 1_suppl, pp. S97–S103, 2016, doi: 10.3233/THC-151056.</w:t>
      </w:r>
    </w:p>
    <w:p>
      <w:pPr>
        <w:spacing w:after="180" w:line="276"/>
        <w:jc w:val="left"/>
      </w:pPr>
      <w:r>
        <w:rPr>
          <w:b w:val="false"/>
          <w:bCs w:val="false"/>
          <w:i w:val="false"/>
          <w:iCs w:val="false"/>
          <w:sz w:val="22"/>
          <w:szCs w:val="22"/>
        </w:rPr>
        <w:t xml:space="preserve">[6] M. Hoda, B. Hafidh, and A. El Saddik, “Haptic glove for finger rehabilitation,” in Proc. 2015 IEEE Int. Conf. Multimedia &amp; Expo Workshops (ICMEW), Turin, Italy, Jun. 2015, pp. 1–6, doi: 10.1109/ICMEW.2015.7169803.</w:t>
      </w:r>
    </w:p>
    <w:p>
      <w:pPr>
        <w:spacing w:after="180" w:line="276"/>
        <w:jc w:val="left"/>
      </w:pPr>
      <w:r>
        <w:rPr>
          <w:b w:val="false"/>
          <w:bCs w:val="false"/>
          <w:i w:val="false"/>
          <w:iCs w:val="false"/>
          <w:sz w:val="22"/>
          <w:szCs w:val="22"/>
        </w:rPr>
        <w:t xml:space="preserve">[7] A. Alamri, M. Eid, R. Iglesias, S. Shirmohammadi, and A. El Saddik, “Haptic virtual rehabilitation exercises for poststroke diagnosis,” IEEE Trans. Instrum. Meas., vol. 57, no. 9, pp. 1876–1884, Sep. 2008, doi: 10.1109/TIM.2008.919878.</w:t>
      </w:r>
    </w:p>
    <w:p>
      <w:pPr>
        <w:spacing w:after="180" w:line="276"/>
        <w:jc w:val="left"/>
      </w:pPr>
      <w:r>
        <w:rPr>
          <w:b w:val="false"/>
          <w:bCs w:val="false"/>
          <w:i w:val="false"/>
          <w:iCs w:val="false"/>
          <w:sz w:val="22"/>
          <w:szCs w:val="22"/>
        </w:rPr>
        <w:t xml:space="preserve">[8] I. Herrera-Luna, E. J. Rechy-Ramirez, H. V. Rios-Figueroa, and A. Marin-Hernandez, “Sensor Fusion Used in Applications for Hand Rehabilitation: A Systematic Review,” IEEE Sensors J., vol. 19, no. 10, pp. 3581–3592, May 2019, doi: 10.1109/JSEN.2019.2897083.</w:t>
      </w:r>
    </w:p>
    <w:p>
      <w:pPr>
        <w:spacing w:before="200"/>
      </w:pPr>
      <w:r>
        <w:rPr>
          <w:i/>
          <w:iCs/>
          <w:sz w:val="20"/>
          <w:szCs w:val="20"/>
        </w:rPr>
        <w:t xml:space="preserve">Note: Reference [3] was not provided in the source list supplied for this review and is therefore intentionally omitted.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Wearable Wrist Rehabilitation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e5169c55ba28dfb3ec53865e61a89e959f4fe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2026-07-10T12:18:25.982Z</dcterms:created>
  <dcterms:modified xsi:type="dcterms:W3CDTF">2026-07-10T12:18:25.996Z</dcterms:modified>
</cp:coreProperties>
</file>

<file path=docProps/custom.xml><?xml version="1.0" encoding="utf-8"?>
<Properties xmlns="http://schemas.openxmlformats.org/officeDocument/2006/custom-properties" xmlns:vt="http://schemas.openxmlformats.org/officeDocument/2006/docPropsVTypes"/>
</file>