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8"/>
          <w:szCs w:val="48"/>
        </w:rPr>
        <w:t xml:space="preserve">Business Requirements Document</w:t>
      </w:r>
    </w:p>
    <w:p>
      <w:pPr>
        <w:spacing w:after="100" w:before="200"/>
        <w:jc w:val="center"/>
      </w:pPr>
      <w:r>
        <w:rPr>
          <w:b/>
          <w:bCs/>
          <w:color w:val="2E5395"/>
          <w:sz w:val="32"/>
          <w:szCs w:val="32"/>
        </w:rPr>
        <w:t xml:space="preserve">Transportation Setup Module</w:t>
      </w:r>
    </w:p>
    <w:p>
      <w:pPr>
        <w:spacing w:after="100"/>
        <w:jc w:val="center"/>
      </w:pPr>
      <w:r>
        <w:rPr>
          <w:i/>
          <w:iCs/>
          <w:sz w:val="24"/>
          <w:szCs w:val="24"/>
        </w:rPr>
        <w:t xml:space="preserve">Vehicle Distribution System (VDS) — Carrier Setup &amp; Location Index</w:t>
      </w:r>
    </w:p>
    <w:p>
      <w:pPr>
        <w:spacing w:before="800"/>
        <w:jc w:val="center"/>
      </w:pPr>
      <w:r>
        <w:rPr>
          <w:color w:val="808080"/>
          <w:sz w:val="20"/>
          <w:szCs w:val="20"/>
        </w:rPr>
        <w:t xml:space="preserve">Prepared from analysis of the existing application source code</w:t>
      </w:r>
    </w:p>
    <w:p>
      <w:pPr>
        <w:spacing w:before="100"/>
        <w:jc w:val="center"/>
      </w:pPr>
      <w:r>
        <w:rPr>
          <w:color w:val="808080"/>
          <w:sz w:val="20"/>
          <w:szCs w:val="20"/>
        </w:rPr>
        <w:t xml:space="preserve">Version 1.0 (Draft — Reverse-Engineered)</w:t>
      </w:r>
    </w:p>
    <w:p>
      <w:r>
        <w:br w:type="page"/>
      </w:r>
    </w:p>
    <w:p>
      <w:pPr>
        <w:pStyle w:val="Heading1"/>
        <w:spacing w:after="160" w:before="320"/>
      </w:pPr>
      <w:r>
        <w:t xml:space="preserve">Document Control</w:t>
      </w:r>
    </w:p>
    <w:p>
      <w:pPr>
        <w:pStyle w:val="Heading2"/>
        <w:spacing w:after="120" w:before="24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4200"/>
      </w:tblGrid>
      <w:tr>
        <w:trPr>
          <w:tblHeader/>
        </w:trPr>
        <w:tc>
          <w:tcPr>
            <w:tcW w:type="dxa" w:w="1500"/>
            <w:shd w:fill="1F3864" w:val="clear"/>
            <w:tcMar>
              <w:top w:type="dxa" w:w="60"/>
              <w:left w:type="dxa" w:w="100"/>
              <w:bottom w:type="dxa" w:w="60"/>
              <w:right w:type="dxa" w:w="100"/>
            </w:tcMar>
          </w:tcPr>
          <w:p>
            <w:r>
              <w:rPr>
                <w:b/>
                <w:bCs/>
                <w:color w:val="FFFFFF"/>
                <w:sz w:val="20"/>
                <w:szCs w:val="20"/>
              </w:rPr>
              <w:t xml:space="preserve">Version</w:t>
            </w:r>
          </w:p>
        </w:tc>
        <w:tc>
          <w:tcPr>
            <w:tcW w:type="dxa" w:w="1800"/>
            <w:shd w:fill="1F3864" w:val="clear"/>
            <w:tcMar>
              <w:top w:type="dxa" w:w="60"/>
              <w:left w:type="dxa" w:w="100"/>
              <w:bottom w:type="dxa" w:w="60"/>
              <w:right w:type="dxa" w:w="100"/>
            </w:tcMar>
          </w:tcPr>
          <w:p>
            <w:r>
              <w:rPr>
                <w:b/>
                <w:bCs/>
                <w:color w:val="FFFFFF"/>
                <w:sz w:val="20"/>
                <w:szCs w:val="20"/>
              </w:rPr>
              <w:t xml:space="preserve">Date</w:t>
            </w:r>
          </w:p>
        </w:tc>
        <w:tc>
          <w:tcPr>
            <w:tcW w:type="dxa" w:w="3000"/>
            <w:shd w:fill="1F3864" w:val="clear"/>
            <w:tcMar>
              <w:top w:type="dxa" w:w="60"/>
              <w:left w:type="dxa" w:w="100"/>
              <w:bottom w:type="dxa" w:w="60"/>
              <w:right w:type="dxa" w:w="100"/>
            </w:tcMar>
          </w:tcPr>
          <w:p>
            <w:r>
              <w:rPr>
                <w:b/>
                <w:bCs/>
                <w:color w:val="FFFFFF"/>
                <w:sz w:val="20"/>
                <w:szCs w:val="20"/>
              </w:rPr>
              <w:t xml:space="preserve">Author</w:t>
            </w:r>
          </w:p>
        </w:tc>
        <w:tc>
          <w:tcPr>
            <w:tcW w:type="dxa" w:w="4200"/>
            <w:shd w:fill="1F3864" w:val="clear"/>
            <w:tcMar>
              <w:top w:type="dxa" w:w="60"/>
              <w:left w:type="dxa" w:w="100"/>
              <w:bottom w:type="dxa" w:w="60"/>
              <w:right w:type="dxa" w:w="100"/>
            </w:tcMar>
          </w:tcPr>
          <w:p>
            <w:r>
              <w:rPr>
                <w:b/>
                <w:bCs/>
                <w:color w:val="FFFFFF"/>
                <w:sz w:val="20"/>
                <w:szCs w:val="20"/>
              </w:rPr>
              <w:t xml:space="preserve">Description</w:t>
            </w:r>
          </w:p>
        </w:tc>
      </w:tr>
      <w:tr>
        <w:tc>
          <w:tcPr>
            <w:tcW w:type="dxa" w:w="1500"/>
            <w:tcMar>
              <w:top w:type="dxa" w:w="60"/>
              <w:left w:type="dxa" w:w="100"/>
              <w:bottom w:type="dxa" w:w="60"/>
              <w:right w:type="dxa" w:w="100"/>
            </w:tcMar>
          </w:tcPr>
          <w:p>
            <w:r>
              <w:rPr>
                <w:b w:val="false"/>
                <w:bCs w:val="false"/>
                <w:sz w:val="20"/>
                <w:szCs w:val="20"/>
              </w:rPr>
              <w:t xml:space="preserve">1.0</w:t>
            </w:r>
          </w:p>
        </w:tc>
        <w:tc>
          <w:tcPr>
            <w:tcW w:type="dxa" w:w="1800"/>
            <w:tcMar>
              <w:top w:type="dxa" w:w="60"/>
              <w:left w:type="dxa" w:w="100"/>
              <w:bottom w:type="dxa" w:w="60"/>
              <w:right w:type="dxa" w:w="100"/>
            </w:tcMar>
          </w:tcPr>
          <w:p>
            <w:r>
              <w:rPr>
                <w:b w:val="false"/>
                <w:bCs w:val="false"/>
                <w:sz w:val="20"/>
                <w:szCs w:val="20"/>
              </w:rPr>
              <w:t xml:space="preserve">TBD</w:t>
            </w:r>
          </w:p>
        </w:tc>
        <w:tc>
          <w:tcPr>
            <w:tcW w:type="dxa" w:w="3000"/>
            <w:tcMar>
              <w:top w:type="dxa" w:w="60"/>
              <w:left w:type="dxa" w:w="100"/>
              <w:bottom w:type="dxa" w:w="60"/>
              <w:right w:type="dxa" w:w="100"/>
            </w:tcMar>
          </w:tcPr>
          <w:p>
            <w:r>
              <w:rPr>
                <w:b w:val="false"/>
                <w:bCs w:val="false"/>
                <w:sz w:val="20"/>
                <w:szCs w:val="20"/>
              </w:rPr>
              <w:t xml:space="preserve">TechM — Business Analysis</w:t>
            </w:r>
          </w:p>
        </w:tc>
        <w:tc>
          <w:tcPr>
            <w:tcW w:type="dxa" w:w="4200"/>
            <w:tcMar>
              <w:top w:type="dxa" w:w="60"/>
              <w:left w:type="dxa" w:w="100"/>
              <w:bottom w:type="dxa" w:w="60"/>
              <w:right w:type="dxa" w:w="100"/>
            </w:tcMar>
          </w:tcPr>
          <w:p>
            <w:r>
              <w:rPr>
                <w:b w:val="false"/>
                <w:bCs w:val="false"/>
                <w:sz w:val="20"/>
                <w:szCs w:val="20"/>
              </w:rPr>
              <w:t xml:space="preserve">Initial draft, reverse-engineered from source code (TransportationSetup application) as no existing BRD was supplied.</w:t>
            </w:r>
          </w:p>
        </w:tc>
      </w:tr>
    </w:tbl>
    <w:p>
      <w:pPr>
        <w:spacing w:after="200"/>
      </w:pPr>
    </w:p>
    <w:p>
      <w:pPr>
        <w:pStyle w:val="Heading2"/>
        <w:spacing w:after="120" w:before="240"/>
      </w:pPr>
      <w:r>
        <w:t xml:space="preserve">Distribution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5000"/>
      </w:tblGrid>
      <w:tr>
        <w:trPr>
          <w:tblHeader/>
        </w:trPr>
        <w:tc>
          <w:tcPr>
            <w:tcW w:type="dxa" w:w="5500"/>
            <w:shd w:fill="1F3864" w:val="clear"/>
            <w:tcMar>
              <w:top w:type="dxa" w:w="60"/>
              <w:left w:type="dxa" w:w="100"/>
              <w:bottom w:type="dxa" w:w="60"/>
              <w:right w:type="dxa" w:w="100"/>
            </w:tcMar>
          </w:tcPr>
          <w:p>
            <w:r>
              <w:rPr>
                <w:b/>
                <w:bCs/>
                <w:color w:val="FFFFFF"/>
                <w:sz w:val="20"/>
                <w:szCs w:val="20"/>
              </w:rPr>
              <w:t xml:space="preserve">Name / Role</w:t>
            </w:r>
          </w:p>
        </w:tc>
        <w:tc>
          <w:tcPr>
            <w:tcW w:type="dxa" w:w="5000"/>
            <w:shd w:fill="1F3864" w:val="clear"/>
            <w:tcMar>
              <w:top w:type="dxa" w:w="60"/>
              <w:left w:type="dxa" w:w="100"/>
              <w:bottom w:type="dxa" w:w="60"/>
              <w:right w:type="dxa" w:w="100"/>
            </w:tcMar>
          </w:tcPr>
          <w:p>
            <w:r>
              <w:rPr>
                <w:b/>
                <w:bCs/>
                <w:color w:val="FFFFFF"/>
                <w:sz w:val="20"/>
                <w:szCs w:val="20"/>
              </w:rPr>
              <w:t xml:space="preserve">Organization</w:t>
            </w:r>
          </w:p>
        </w:tc>
      </w:tr>
      <w:tr>
        <w:tc>
          <w:tcPr>
            <w:tcW w:type="dxa" w:w="5500"/>
            <w:tcMar>
              <w:top w:type="dxa" w:w="60"/>
              <w:left w:type="dxa" w:w="100"/>
              <w:bottom w:type="dxa" w:w="60"/>
              <w:right w:type="dxa" w:w="100"/>
            </w:tcMar>
          </w:tcPr>
          <w:p>
            <w:r>
              <w:rPr>
                <w:b w:val="false"/>
                <w:bCs w:val="false"/>
                <w:sz w:val="20"/>
                <w:szCs w:val="20"/>
              </w:rPr>
              <w:t xml:space="preserve">Product Owner / Business Sponsor</w:t>
            </w:r>
          </w:p>
        </w:tc>
        <w:tc>
          <w:tcPr>
            <w:tcW w:type="dxa" w:w="5000"/>
            <w:tcMar>
              <w:top w:type="dxa" w:w="60"/>
              <w:left w:type="dxa" w:w="100"/>
              <w:bottom w:type="dxa" w:w="60"/>
              <w:right w:type="dxa" w:w="100"/>
            </w:tcMar>
          </w:tcPr>
          <w:p>
            <w:r>
              <w:rPr>
                <w:b w:val="false"/>
                <w:bCs w:val="false"/>
                <w:sz w:val="20"/>
                <w:szCs w:val="20"/>
              </w:rPr>
              <w:t xml:space="preserve">Client (Vehicle Distribution / Logistics)</w:t>
            </w:r>
          </w:p>
        </w:tc>
      </w:tr>
      <w:tr>
        <w:tc>
          <w:tcPr>
            <w:tcW w:type="dxa" w:w="5500"/>
            <w:tcMar>
              <w:top w:type="dxa" w:w="60"/>
              <w:left w:type="dxa" w:w="100"/>
              <w:bottom w:type="dxa" w:w="60"/>
              <w:right w:type="dxa" w:w="100"/>
            </w:tcMar>
          </w:tcPr>
          <w:p>
            <w:r>
              <w:rPr>
                <w:b w:val="false"/>
                <w:bCs w:val="false"/>
                <w:sz w:val="20"/>
                <w:szCs w:val="20"/>
              </w:rPr>
              <w:t xml:space="preserve">IT Delivery Lead</w:t>
            </w:r>
          </w:p>
        </w:tc>
        <w:tc>
          <w:tcPr>
            <w:tcW w:type="dxa" w:w="5000"/>
            <w:tcMar>
              <w:top w:type="dxa" w:w="60"/>
              <w:left w:type="dxa" w:w="100"/>
              <w:bottom w:type="dxa" w:w="60"/>
              <w:right w:type="dxa" w:w="100"/>
            </w:tcMar>
          </w:tcPr>
          <w:p>
            <w:r>
              <w:rPr>
                <w:b w:val="false"/>
                <w:bCs w:val="false"/>
                <w:sz w:val="20"/>
                <w:szCs w:val="20"/>
              </w:rPr>
              <w:t xml:space="preserve">Tech Mahindra</w:t>
            </w:r>
          </w:p>
        </w:tc>
      </w:tr>
      <w:tr>
        <w:tc>
          <w:tcPr>
            <w:tcW w:type="dxa" w:w="5500"/>
            <w:tcMar>
              <w:top w:type="dxa" w:w="60"/>
              <w:left w:type="dxa" w:w="100"/>
              <w:bottom w:type="dxa" w:w="60"/>
              <w:right w:type="dxa" w:w="100"/>
            </w:tcMar>
          </w:tcPr>
          <w:p>
            <w:r>
              <w:rPr>
                <w:b w:val="false"/>
                <w:bCs w:val="false"/>
                <w:sz w:val="20"/>
                <w:szCs w:val="20"/>
              </w:rPr>
              <w:t xml:space="preserve">QA Lead</w:t>
            </w:r>
          </w:p>
        </w:tc>
        <w:tc>
          <w:tcPr>
            <w:tcW w:type="dxa" w:w="5000"/>
            <w:tcMar>
              <w:top w:type="dxa" w:w="60"/>
              <w:left w:type="dxa" w:w="100"/>
              <w:bottom w:type="dxa" w:w="60"/>
              <w:right w:type="dxa" w:w="100"/>
            </w:tcMar>
          </w:tcPr>
          <w:p>
            <w:r>
              <w:rPr>
                <w:b w:val="false"/>
                <w:bCs w:val="false"/>
                <w:sz w:val="20"/>
                <w:szCs w:val="20"/>
              </w:rPr>
              <w:t xml:space="preserve">Tech Mahindra</w:t>
            </w:r>
          </w:p>
        </w:tc>
      </w:tr>
    </w:tbl>
    <w:p>
      <w:r>
        <w:br w:type="page"/>
      </w:r>
    </w:p>
    <w:p>
      <w:pPr>
        <w:pStyle w:val="Heading1"/>
        <w:spacing w:after="160" w:before="320"/>
      </w:pPr>
      <w:r>
        <w:t xml:space="preserve">1. Introduction</w:t>
      </w:r>
    </w:p>
    <w:p>
      <w:pPr>
        <w:pStyle w:val="Heading2"/>
        <w:spacing w:after="120" w:before="240"/>
      </w:pPr>
      <w:r>
        <w:t xml:space="preserve">1.1 Purpose</w:t>
      </w:r>
    </w:p>
    <w:p>
      <w:pPr>
        <w:spacing w:after="140"/>
      </w:pPr>
      <w:r>
        <w:t xml:space="preserve">This Business Requirements Document (BRD) defines the business needs, objectives, and functional requirements that the Transportation Setup module of the Vehicle Distribution System (VDS) is expected to satisfy. The requirements captured here were derived from an as-is analysis of the existing application source code, as no prior BRD or requirements artifact was available. The document is intended to serve as the baseline of record for future enhancement, re-platforming, or modernization of this module.</w:t>
      </w:r>
    </w:p>
    <w:p>
      <w:pPr>
        <w:pStyle w:val="Heading2"/>
        <w:spacing w:after="120" w:before="240"/>
      </w:pPr>
      <w:r>
        <w:t xml:space="preserve">1.2 Background</w:t>
      </w:r>
    </w:p>
    <w:p>
      <w:pPr>
        <w:spacing w:after="140"/>
      </w:pPr>
      <w:r>
        <w:t xml:space="preserve">The Transportation Setup module is a web-based sub-system of the corporate Vehicle Distribution System used to maintain two categories of master data that are foundational to inbound and outbound vehicle logistics:</w:t>
      </w:r>
    </w:p>
    <w:p>
      <w:pPr>
        <w:pStyle w:val="ListParagraph"/>
        <w:numPr>
          <w:ilvl w:val="0"/>
          <w:numId w:val="1"/>
        </w:numPr>
        <w:spacing w:after="60"/>
      </w:pPr>
      <w:r>
        <w:t xml:space="preserve">Carrier Setup — the transportation companies (truck, rail, air, sea) engaged to move vehicles and related shipments, along with their commercial and contact details.</w:t>
      </w:r>
    </w:p>
    <w:p>
      <w:pPr>
        <w:pStyle w:val="ListParagraph"/>
        <w:numPr>
          <w:ilvl w:val="0"/>
          <w:numId w:val="1"/>
        </w:numPr>
        <w:spacing w:after="60"/>
      </w:pPr>
      <w:r>
        <w:t xml:space="preserve">Location Index / Setup — the physical distribution locations (e.g., ports, regional distribution centers, dealer-adjacent hubs) used as origins, destinations, or intermediate points in the vehicle distribution network.</w:t>
      </w:r>
    </w:p>
    <w:p>
      <w:pPr>
        <w:spacing w:after="140"/>
      </w:pPr>
      <w:r>
        <w:t xml:space="preserve">Carrier and location records maintained here are consumed by downstream logistics processes such as route and transit-time management, transit-rate management, and carrier transit scheduling, all of which depend on accurate, current, and uniquely identified carrier and location codes.</w:t>
      </w:r>
    </w:p>
    <w:p>
      <w:pPr>
        <w:pStyle w:val="Heading2"/>
        <w:spacing w:after="120" w:before="240"/>
      </w:pPr>
      <w:r>
        <w:t xml:space="preserve">1.3 Business Objectives</w:t>
      </w:r>
    </w:p>
    <w:p>
      <w:pPr>
        <w:pStyle w:val="ListParagraph"/>
        <w:numPr>
          <w:ilvl w:val="0"/>
          <w:numId w:val="1"/>
        </w:numPr>
        <w:spacing w:after="60"/>
      </w:pPr>
      <w:r>
        <w:t xml:space="preserve">Provide a single, authoritative system of record for carrier and transportation-location master data used across the Vehicle Distribution System.</w:t>
      </w:r>
    </w:p>
    <w:p>
      <w:pPr>
        <w:pStyle w:val="ListParagraph"/>
        <w:numPr>
          <w:ilvl w:val="0"/>
          <w:numId w:val="1"/>
        </w:numPr>
        <w:spacing w:after="60"/>
      </w:pPr>
      <w:r>
        <w:t xml:space="preserve">Enable business users to search, add, update, and retire carrier and location records without requiring direct database access or IT intervention.</w:t>
      </w:r>
    </w:p>
    <w:p>
      <w:pPr>
        <w:pStyle w:val="ListParagraph"/>
        <w:numPr>
          <w:ilvl w:val="0"/>
          <w:numId w:val="1"/>
        </w:numPr>
        <w:spacing w:after="60"/>
      </w:pPr>
      <w:r>
        <w:t xml:space="preserve">Enforce data quality and referential consistency (e.g., valid country/region/state combinations, valid status codes) at the point of data entry.</w:t>
      </w:r>
    </w:p>
    <w:p>
      <w:pPr>
        <w:pStyle w:val="ListParagraph"/>
        <w:numPr>
          <w:ilvl w:val="0"/>
          <w:numId w:val="1"/>
        </w:numPr>
        <w:spacing w:after="60"/>
      </w:pPr>
      <w:r>
        <w:t xml:space="preserve">Restrict data-modification capability to authorized personnel while allowing broader read/inquiry access to the wider logistics organization.</w:t>
      </w:r>
    </w:p>
    <w:p>
      <w:pPr>
        <w:pStyle w:val="ListParagraph"/>
        <w:numPr>
          <w:ilvl w:val="0"/>
          <w:numId w:val="1"/>
        </w:numPr>
        <w:spacing w:after="60"/>
      </w:pPr>
      <w:r>
        <w:t xml:space="preserve">Provide offline, shareable extracts (Excel) of carrier and location data for reporting, audits, and business reviews.</w:t>
      </w:r>
    </w:p>
    <w:p>
      <w:pPr>
        <w:pStyle w:val="Heading2"/>
        <w:spacing w:after="120" w:before="240"/>
      </w:pPr>
      <w:r>
        <w:t xml:space="preserve">1.4 Scope</w:t>
      </w:r>
    </w:p>
    <w:p>
      <w:pPr>
        <w:pStyle w:val="Heading3"/>
        <w:spacing w:after="100" w:before="180"/>
      </w:pPr>
      <w:r>
        <w:t xml:space="preserve">1.4.1 In Scope</w:t>
      </w:r>
    </w:p>
    <w:p>
      <w:pPr>
        <w:pStyle w:val="ListParagraph"/>
        <w:numPr>
          <w:ilvl w:val="0"/>
          <w:numId w:val="1"/>
        </w:numPr>
        <w:spacing w:after="60"/>
      </w:pPr>
      <w:r>
        <w:t xml:space="preserve">Carrier Setup: search, create, update, and Excel export of carrier records.</w:t>
      </w:r>
    </w:p>
    <w:p>
      <w:pPr>
        <w:pStyle w:val="ListParagraph"/>
        <w:numPr>
          <w:ilvl w:val="0"/>
          <w:numId w:val="1"/>
        </w:numPr>
        <w:spacing w:after="60"/>
      </w:pPr>
      <w:r>
        <w:t xml:space="preserve">Location Index/Setup: search, create, update, delete, and Excel export of location records, including mailing and shipping address details.</w:t>
      </w:r>
    </w:p>
    <w:p>
      <w:pPr>
        <w:pStyle w:val="ListParagraph"/>
        <w:numPr>
          <w:ilvl w:val="0"/>
          <w:numId w:val="1"/>
        </w:numPr>
        <w:spacing w:after="60"/>
      </w:pPr>
      <w:r>
        <w:t xml:space="preserve">Cascading country → region → state selection for address entry on both carrier and location records.</w:t>
      </w:r>
    </w:p>
    <w:p>
      <w:pPr>
        <w:pStyle w:val="ListParagraph"/>
        <w:numPr>
          <w:ilvl w:val="0"/>
          <w:numId w:val="1"/>
        </w:numPr>
        <w:spacing w:after="60"/>
      </w:pPr>
      <w:r>
        <w:t xml:space="preserve">Role-based access distinguishing administrative (full maintenance) users from inquiry-only users.</w:t>
      </w:r>
    </w:p>
    <w:p>
      <w:pPr>
        <w:pStyle w:val="Heading3"/>
        <w:spacing w:after="100" w:before="180"/>
      </w:pPr>
      <w:r>
        <w:t xml:space="preserve">1.4.2 Out of Scope</w:t>
      </w:r>
    </w:p>
    <w:p>
      <w:pPr>
        <w:pStyle w:val="ListParagraph"/>
        <w:numPr>
          <w:ilvl w:val="0"/>
          <w:numId w:val="1"/>
        </w:numPr>
        <w:spacing w:after="60"/>
      </w:pPr>
      <w:r>
        <w:t xml:space="preserve">Route and route-segment management, transit-time management, and transit-rate management (separate modules within the broader VDS suite that consume, but do not maintain, carrier/location master data).</w:t>
      </w:r>
    </w:p>
    <w:p>
      <w:pPr>
        <w:pStyle w:val="ListParagraph"/>
        <w:numPr>
          <w:ilvl w:val="0"/>
          <w:numId w:val="1"/>
        </w:numPr>
        <w:spacing w:after="60"/>
      </w:pPr>
      <w:r>
        <w:t xml:space="preserve">User provisioning and enterprise security-group administration (handled by the corporate identity/security platform).</w:t>
      </w:r>
    </w:p>
    <w:p>
      <w:pPr>
        <w:pStyle w:val="ListParagraph"/>
        <w:numPr>
          <w:ilvl w:val="0"/>
          <w:numId w:val="1"/>
        </w:numPr>
        <w:spacing w:after="60"/>
      </w:pPr>
      <w:r>
        <w:t xml:space="preserve">Mainframe/DB2 stored procedure logic itself (treated as an existing backend interface, not as a requirement of this module).</w:t>
      </w:r>
    </w:p>
    <w:p>
      <w:pPr>
        <w:pStyle w:val="Heading2"/>
        <w:spacing w:after="120" w:before="240"/>
      </w:pPr>
      <w:r>
        <w:t xml:space="preserve">1.5 Assumptions</w:t>
      </w:r>
    </w:p>
    <w:p>
      <w:pPr>
        <w:pStyle w:val="ListParagraph"/>
        <w:numPr>
          <w:ilvl w:val="0"/>
          <w:numId w:val="1"/>
        </w:numPr>
        <w:spacing w:after="60"/>
      </w:pPr>
      <w:r>
        <w:t xml:space="preserve">Carrier and location codes are assigned/validated by the backend stored procedures and are unique system-wide.</w:t>
      </w:r>
    </w:p>
    <w:p>
      <w:pPr>
        <w:pStyle w:val="ListParagraph"/>
        <w:numPr>
          <w:ilvl w:val="0"/>
          <w:numId w:val="1"/>
        </w:numPr>
        <w:spacing w:after="60"/>
      </w:pPr>
      <w:r>
        <w:t xml:space="preserve">Users are already authenticated through the corporate single sign-on / session framework before reaching this module; this document does not re-specify authentication.</w:t>
      </w:r>
    </w:p>
    <w:p>
      <w:pPr>
        <w:pStyle w:val="ListParagraph"/>
        <w:numPr>
          <w:ilvl w:val="0"/>
          <w:numId w:val="1"/>
        </w:numPr>
        <w:spacing w:after="60"/>
      </w:pPr>
      <w:r>
        <w:t xml:space="preserve">Reference data (countries, regions/states, status codes, location and carrier types) is sourced from existing backend reference tables and does not need to be independently defined here.</w:t>
      </w:r>
    </w:p>
    <w:p>
      <w:pPr>
        <w:pStyle w:val="Heading2"/>
        <w:spacing w:after="120" w:before="240"/>
      </w:pPr>
      <w:r>
        <w:t xml:space="preserve">1.6 Constraints</w:t>
      </w:r>
    </w:p>
    <w:p>
      <w:pPr>
        <w:pStyle w:val="ListParagraph"/>
        <w:numPr>
          <w:ilvl w:val="0"/>
          <w:numId w:val="1"/>
        </w:numPr>
        <w:spacing w:after="60"/>
      </w:pPr>
      <w:r>
        <w:t xml:space="preserve">The current implementation integrates with a mainframe DB2 backend through fixed-format stored-procedure calls; any change to business rules that alters record layout must be coordinated with the corresponding backend stored procedure.</w:t>
      </w:r>
    </w:p>
    <w:p>
      <w:pPr>
        <w:pStyle w:val="ListParagraph"/>
        <w:numPr>
          <w:ilvl w:val="0"/>
          <w:numId w:val="1"/>
        </w:numPr>
        <w:spacing w:after="60"/>
      </w:pPr>
      <w:r>
        <w:t xml:space="preserve">Excel export uses the legacy .xls (Excel 97-2003) binary format.</w:t>
      </w:r>
    </w:p>
    <w:p>
      <w:pPr>
        <w:pStyle w:val="Heading1"/>
        <w:spacing w:after="160" w:before="320"/>
      </w:pPr>
      <w:r>
        <w:t xml:space="preserve">2.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500"/>
      </w:tblGrid>
      <w:tr>
        <w:trPr>
          <w:tblHeader/>
        </w:trPr>
        <w:tc>
          <w:tcPr>
            <w:tcW w:type="dxa" w:w="4000"/>
            <w:shd w:fill="1F3864" w:val="clear"/>
            <w:tcMar>
              <w:top w:type="dxa" w:w="60"/>
              <w:left w:type="dxa" w:w="100"/>
              <w:bottom w:type="dxa" w:w="60"/>
              <w:right w:type="dxa" w:w="100"/>
            </w:tcMar>
          </w:tcPr>
          <w:p>
            <w:r>
              <w:rPr>
                <w:b/>
                <w:bCs/>
                <w:color w:val="FFFFFF"/>
                <w:sz w:val="20"/>
                <w:szCs w:val="20"/>
              </w:rPr>
              <w:t xml:space="preserve">Stakeholder</w:t>
            </w:r>
          </w:p>
        </w:tc>
        <w:tc>
          <w:tcPr>
            <w:tcW w:type="dxa" w:w="6500"/>
            <w:shd w:fill="1F3864" w:val="clear"/>
            <w:tcMar>
              <w:top w:type="dxa" w:w="60"/>
              <w:left w:type="dxa" w:w="100"/>
              <w:bottom w:type="dxa" w:w="60"/>
              <w:right w:type="dxa" w:w="100"/>
            </w:tcMar>
          </w:tcPr>
          <w:p>
            <w:r>
              <w:rPr>
                <w:b/>
                <w:bCs/>
                <w:color w:val="FFFFFF"/>
                <w:sz w:val="20"/>
                <w:szCs w:val="20"/>
              </w:rPr>
              <w:t xml:space="preserve">Interest / Role</w:t>
            </w:r>
          </w:p>
        </w:tc>
      </w:tr>
      <w:tr>
        <w:tc>
          <w:tcPr>
            <w:tcW w:type="dxa" w:w="4000"/>
            <w:tcMar>
              <w:top w:type="dxa" w:w="60"/>
              <w:left w:type="dxa" w:w="100"/>
              <w:bottom w:type="dxa" w:w="60"/>
              <w:right w:type="dxa" w:w="100"/>
            </w:tcMar>
          </w:tcPr>
          <w:p>
            <w:r>
              <w:rPr>
                <w:b w:val="false"/>
                <w:bCs w:val="false"/>
                <w:sz w:val="20"/>
                <w:szCs w:val="20"/>
              </w:rPr>
              <w:t xml:space="preserve">Corporate Logistics / Transportation Team</w:t>
            </w:r>
          </w:p>
        </w:tc>
        <w:tc>
          <w:tcPr>
            <w:tcW w:type="dxa" w:w="6500"/>
            <w:tcMar>
              <w:top w:type="dxa" w:w="60"/>
              <w:left w:type="dxa" w:w="100"/>
              <w:bottom w:type="dxa" w:w="60"/>
              <w:right w:type="dxa" w:w="100"/>
            </w:tcMar>
          </w:tcPr>
          <w:p>
            <w:r>
              <w:rPr>
                <w:b w:val="false"/>
                <w:bCs w:val="false"/>
                <w:sz w:val="20"/>
                <w:szCs w:val="20"/>
              </w:rPr>
              <w:t xml:space="preserve">Primary business owner; maintains carrier and location data used to plan vehicle distribution.</w:t>
            </w:r>
          </w:p>
        </w:tc>
      </w:tr>
      <w:tr>
        <w:tc>
          <w:tcPr>
            <w:tcW w:type="dxa" w:w="4000"/>
            <w:tcMar>
              <w:top w:type="dxa" w:w="60"/>
              <w:left w:type="dxa" w:w="100"/>
              <w:bottom w:type="dxa" w:w="60"/>
              <w:right w:type="dxa" w:w="100"/>
            </w:tcMar>
          </w:tcPr>
          <w:p>
            <w:r>
              <w:rPr>
                <w:b w:val="false"/>
                <w:bCs w:val="false"/>
                <w:sz w:val="20"/>
                <w:szCs w:val="20"/>
              </w:rPr>
              <w:t xml:space="preserve">Regional &amp; District Users</w:t>
            </w:r>
          </w:p>
        </w:tc>
        <w:tc>
          <w:tcPr>
            <w:tcW w:type="dxa" w:w="6500"/>
            <w:tcMar>
              <w:top w:type="dxa" w:w="60"/>
              <w:left w:type="dxa" w:w="100"/>
              <w:bottom w:type="dxa" w:w="60"/>
              <w:right w:type="dxa" w:w="100"/>
            </w:tcMar>
          </w:tcPr>
          <w:p>
            <w:r>
              <w:rPr>
                <w:b w:val="false"/>
                <w:bCs w:val="false"/>
                <w:sz w:val="20"/>
                <w:szCs w:val="20"/>
              </w:rPr>
              <w:t xml:space="preserve">Search and reference carrier/location data relevant to their region; typically inquiry-only access.</w:t>
            </w:r>
          </w:p>
        </w:tc>
      </w:tr>
      <w:tr>
        <w:tc>
          <w:tcPr>
            <w:tcW w:type="dxa" w:w="4000"/>
            <w:tcMar>
              <w:top w:type="dxa" w:w="60"/>
              <w:left w:type="dxa" w:w="100"/>
              <w:bottom w:type="dxa" w:w="60"/>
              <w:right w:type="dxa" w:w="100"/>
            </w:tcMar>
          </w:tcPr>
          <w:p>
            <w:r>
              <w:rPr>
                <w:b w:val="false"/>
                <w:bCs w:val="false"/>
                <w:sz w:val="20"/>
                <w:szCs w:val="20"/>
              </w:rPr>
              <w:t xml:space="preserve">Finance</w:t>
            </w:r>
          </w:p>
        </w:tc>
        <w:tc>
          <w:tcPr>
            <w:tcW w:type="dxa" w:w="6500"/>
            <w:tcMar>
              <w:top w:type="dxa" w:w="60"/>
              <w:left w:type="dxa" w:w="100"/>
              <w:bottom w:type="dxa" w:w="60"/>
              <w:right w:type="dxa" w:w="100"/>
            </w:tcMar>
          </w:tcPr>
          <w:p>
            <w:r>
              <w:rPr>
                <w:b w:val="false"/>
                <w:bCs w:val="false"/>
                <w:sz w:val="20"/>
                <w:szCs w:val="20"/>
              </w:rPr>
              <w:t xml:space="preserve">Relies on carrier currency and payment-type data for settlement and invoicing processes.</w:t>
            </w:r>
          </w:p>
        </w:tc>
      </w:tr>
      <w:tr>
        <w:tc>
          <w:tcPr>
            <w:tcW w:type="dxa" w:w="4000"/>
            <w:tcMar>
              <w:top w:type="dxa" w:w="60"/>
              <w:left w:type="dxa" w:w="100"/>
              <w:bottom w:type="dxa" w:w="60"/>
              <w:right w:type="dxa" w:w="100"/>
            </w:tcMar>
          </w:tcPr>
          <w:p>
            <w:r>
              <w:rPr>
                <w:b w:val="false"/>
                <w:bCs w:val="false"/>
                <w:sz w:val="20"/>
                <w:szCs w:val="20"/>
              </w:rPr>
              <w:t xml:space="preserve">IT / Application Support (Tech Mahindra)</w:t>
            </w:r>
          </w:p>
        </w:tc>
        <w:tc>
          <w:tcPr>
            <w:tcW w:type="dxa" w:w="6500"/>
            <w:tcMar>
              <w:top w:type="dxa" w:w="60"/>
              <w:left w:type="dxa" w:w="100"/>
              <w:bottom w:type="dxa" w:w="60"/>
              <w:right w:type="dxa" w:w="100"/>
            </w:tcMar>
          </w:tcPr>
          <w:p>
            <w:r>
              <w:rPr>
                <w:b w:val="false"/>
                <w:bCs w:val="false"/>
                <w:sz w:val="20"/>
                <w:szCs w:val="20"/>
              </w:rPr>
              <w:t xml:space="preserve">Builds, maintains, and supports the application and its integration with backend systems.</w:t>
            </w:r>
          </w:p>
        </w:tc>
      </w:tr>
      <w:tr>
        <w:tc>
          <w:tcPr>
            <w:tcW w:type="dxa" w:w="4000"/>
            <w:tcMar>
              <w:top w:type="dxa" w:w="60"/>
              <w:left w:type="dxa" w:w="100"/>
              <w:bottom w:type="dxa" w:w="60"/>
              <w:right w:type="dxa" w:w="100"/>
            </w:tcMar>
          </w:tcPr>
          <w:p>
            <w:r>
              <w:rPr>
                <w:b w:val="false"/>
                <w:bCs w:val="false"/>
                <w:sz w:val="20"/>
                <w:szCs w:val="20"/>
              </w:rPr>
              <w:t xml:space="preserve">Downstream VDS Modules (Route, Transit Time, Transit Rate)</w:t>
            </w:r>
          </w:p>
        </w:tc>
        <w:tc>
          <w:tcPr>
            <w:tcW w:type="dxa" w:w="6500"/>
            <w:tcMar>
              <w:top w:type="dxa" w:w="60"/>
              <w:left w:type="dxa" w:w="100"/>
              <w:bottom w:type="dxa" w:w="60"/>
              <w:right w:type="dxa" w:w="100"/>
            </w:tcMar>
          </w:tcPr>
          <w:p>
            <w:r>
              <w:rPr>
                <w:b w:val="false"/>
                <w:bCs w:val="false"/>
                <w:sz w:val="20"/>
                <w:szCs w:val="20"/>
              </w:rPr>
              <w:t xml:space="preserve">Consume validated carrier and location codes maintained by this module.</w:t>
            </w:r>
          </w:p>
        </w:tc>
      </w:tr>
    </w:tbl>
    <w:p>
      <w:pPr>
        <w:pStyle w:val="Heading1"/>
        <w:spacing w:after="160" w:before="320"/>
      </w:pPr>
      <w:r>
        <w:t xml:space="preserve">3. Business Requirements</w:t>
      </w:r>
    </w:p>
    <w:p>
      <w:pPr>
        <w:spacing w:after="140"/>
      </w:pPr>
      <w:r>
        <w:t xml:space="preserve">The table below consolidates the business requirements identified from the current system behavior. Each requirement is tagged with a unique ID and a relative priority to support future backlog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200"/>
        <w:gridCol w:w="1300"/>
      </w:tblGrid>
      <w:tr>
        <w:trPr>
          <w:tblHeader/>
        </w:trPr>
        <w:tc>
          <w:tcPr>
            <w:tcW w:type="dxa" w:w="900"/>
            <w:shd w:fill="1F3864" w:val="clear"/>
            <w:tcMar>
              <w:top w:type="dxa" w:w="60"/>
              <w:left w:type="dxa" w:w="100"/>
              <w:bottom w:type="dxa" w:w="60"/>
              <w:right w:type="dxa" w:w="100"/>
            </w:tcMar>
          </w:tcPr>
          <w:p>
            <w:r>
              <w:rPr>
                <w:b/>
                <w:bCs/>
                <w:color w:val="FFFFFF"/>
                <w:sz w:val="20"/>
                <w:szCs w:val="20"/>
              </w:rPr>
              <w:t xml:space="preserve">ID</w:t>
            </w:r>
          </w:p>
        </w:tc>
        <w:tc>
          <w:tcPr>
            <w:tcW w:type="dxa" w:w="2100"/>
            <w:shd w:fill="1F3864" w:val="clear"/>
            <w:tcMar>
              <w:top w:type="dxa" w:w="60"/>
              <w:left w:type="dxa" w:w="100"/>
              <w:bottom w:type="dxa" w:w="60"/>
              <w:right w:type="dxa" w:w="100"/>
            </w:tcMar>
          </w:tcPr>
          <w:p>
            <w:r>
              <w:rPr>
                <w:b/>
                <w:bCs/>
                <w:color w:val="FFFFFF"/>
                <w:sz w:val="20"/>
                <w:szCs w:val="20"/>
              </w:rPr>
              <w:t xml:space="preserve">Requirement Name</w:t>
            </w:r>
          </w:p>
        </w:tc>
        <w:tc>
          <w:tcPr>
            <w:tcW w:type="dxa" w:w="6200"/>
            <w:shd w:fill="1F3864" w:val="clear"/>
            <w:tcMar>
              <w:top w:type="dxa" w:w="60"/>
              <w:left w:type="dxa" w:w="100"/>
              <w:bottom w:type="dxa" w:w="60"/>
              <w:right w:type="dxa" w:w="100"/>
            </w:tcMar>
          </w:tcPr>
          <w:p>
            <w:r>
              <w:rPr>
                <w:b/>
                <w:bCs/>
                <w:color w:val="FFFFFF"/>
                <w:sz w:val="20"/>
                <w:szCs w:val="20"/>
              </w:rPr>
              <w:t xml:space="preserve">Description</w:t>
            </w:r>
          </w:p>
        </w:tc>
        <w:tc>
          <w:tcPr>
            <w:tcW w:type="dxa" w:w="1300"/>
            <w:shd w:fill="1F3864" w:val="clear"/>
            <w:tcMar>
              <w:top w:type="dxa" w:w="60"/>
              <w:left w:type="dxa" w:w="100"/>
              <w:bottom w:type="dxa" w:w="60"/>
              <w:right w:type="dxa" w:w="100"/>
            </w:tcMar>
          </w:tcPr>
          <w:p>
            <w:r>
              <w:rPr>
                <w:b/>
                <w:bCs/>
                <w:color w:val="FFFFFF"/>
                <w:sz w:val="20"/>
                <w:szCs w:val="20"/>
              </w:rPr>
              <w:t xml:space="preserve">Priority</w:t>
            </w:r>
          </w:p>
        </w:tc>
      </w:tr>
      <w:tr>
        <w:tc>
          <w:tcPr>
            <w:tcW w:type="dxa" w:w="900"/>
            <w:tcMar>
              <w:top w:type="dxa" w:w="60"/>
              <w:left w:type="dxa" w:w="100"/>
              <w:bottom w:type="dxa" w:w="60"/>
              <w:right w:type="dxa" w:w="100"/>
            </w:tcMar>
          </w:tcPr>
          <w:p>
            <w:r>
              <w:rPr>
                <w:b w:val="false"/>
                <w:bCs w:val="false"/>
                <w:sz w:val="20"/>
                <w:szCs w:val="20"/>
              </w:rPr>
              <w:t xml:space="preserve">BR-01</w:t>
            </w:r>
          </w:p>
        </w:tc>
        <w:tc>
          <w:tcPr>
            <w:tcW w:type="dxa" w:w="2100"/>
            <w:tcMar>
              <w:top w:type="dxa" w:w="60"/>
              <w:left w:type="dxa" w:w="100"/>
              <w:bottom w:type="dxa" w:w="60"/>
              <w:right w:type="dxa" w:w="100"/>
            </w:tcMar>
          </w:tcPr>
          <w:p>
            <w:r>
              <w:rPr>
                <w:b w:val="false"/>
                <w:bCs w:val="false"/>
                <w:sz w:val="20"/>
                <w:szCs w:val="20"/>
              </w:rPr>
              <w:t xml:space="preserve">Carrier Search</w:t>
            </w:r>
          </w:p>
        </w:tc>
        <w:tc>
          <w:tcPr>
            <w:tcW w:type="dxa" w:w="6200"/>
            <w:tcMar>
              <w:top w:type="dxa" w:w="60"/>
              <w:left w:type="dxa" w:w="100"/>
              <w:bottom w:type="dxa" w:w="60"/>
              <w:right w:type="dxa" w:w="100"/>
            </w:tcMar>
          </w:tcPr>
          <w:p>
            <w:r>
              <w:rPr>
                <w:b w:val="false"/>
                <w:bCs w:val="false"/>
                <w:sz w:val="20"/>
                <w:szCs w:val="20"/>
              </w:rPr>
              <w:t xml:space="preserve">Users shall be able to search existing carriers by carrier code, carrier name, status, carrier type and currency, individually or in combination, and view a result list.</w:t>
            </w:r>
          </w:p>
        </w:tc>
        <w:tc>
          <w:tcPr>
            <w:tcW w:type="dxa" w:w="1300"/>
            <w:tcMar>
              <w:top w:type="dxa" w:w="60"/>
              <w:left w:type="dxa" w:w="100"/>
              <w:bottom w:type="dxa" w:w="60"/>
              <w:right w:type="dxa" w:w="100"/>
            </w:tcMar>
          </w:tcPr>
          <w:p>
            <w:r>
              <w:rPr>
                <w:b w:val="false"/>
                <w:bCs w:val="false"/>
                <w:sz w:val="20"/>
                <w:szCs w:val="20"/>
              </w:rPr>
              <w:t xml:space="preserve">High</w:t>
            </w:r>
          </w:p>
        </w:tc>
      </w:tr>
      <w:tr>
        <w:tc>
          <w:tcPr>
            <w:tcW w:type="dxa" w:w="900"/>
            <w:tcMar>
              <w:top w:type="dxa" w:w="60"/>
              <w:left w:type="dxa" w:w="100"/>
              <w:bottom w:type="dxa" w:w="60"/>
              <w:right w:type="dxa" w:w="100"/>
            </w:tcMar>
          </w:tcPr>
          <w:p>
            <w:r>
              <w:rPr>
                <w:b w:val="false"/>
                <w:bCs w:val="false"/>
                <w:sz w:val="20"/>
                <w:szCs w:val="20"/>
              </w:rPr>
              <w:t xml:space="preserve">BR-02</w:t>
            </w:r>
          </w:p>
        </w:tc>
        <w:tc>
          <w:tcPr>
            <w:tcW w:type="dxa" w:w="2100"/>
            <w:tcMar>
              <w:top w:type="dxa" w:w="60"/>
              <w:left w:type="dxa" w:w="100"/>
              <w:bottom w:type="dxa" w:w="60"/>
              <w:right w:type="dxa" w:w="100"/>
            </w:tcMar>
          </w:tcPr>
          <w:p>
            <w:r>
              <w:rPr>
                <w:b w:val="false"/>
                <w:bCs w:val="false"/>
                <w:sz w:val="20"/>
                <w:szCs w:val="20"/>
              </w:rPr>
              <w:t xml:space="preserve">Carrier Maintenance</w:t>
            </w:r>
          </w:p>
        </w:tc>
        <w:tc>
          <w:tcPr>
            <w:tcW w:type="dxa" w:w="6200"/>
            <w:tcMar>
              <w:top w:type="dxa" w:w="60"/>
              <w:left w:type="dxa" w:w="100"/>
              <w:bottom w:type="dxa" w:w="60"/>
              <w:right w:type="dxa" w:w="100"/>
            </w:tcMar>
          </w:tcPr>
          <w:p>
            <w:r>
              <w:rPr>
                <w:b w:val="false"/>
                <w:bCs w:val="false"/>
                <w:sz w:val="20"/>
                <w:szCs w:val="20"/>
              </w:rPr>
              <w:t xml:space="preserve">Authorized users shall be able to add a new carrier and update an existing carrier, capturing carrier identity, type, payment terms, currency, contract numbers, mailing/shipping addresses and primary contact details.</w:t>
            </w:r>
          </w:p>
        </w:tc>
        <w:tc>
          <w:tcPr>
            <w:tcW w:type="dxa" w:w="1300"/>
            <w:tcMar>
              <w:top w:type="dxa" w:w="60"/>
              <w:left w:type="dxa" w:w="100"/>
              <w:bottom w:type="dxa" w:w="60"/>
              <w:right w:type="dxa" w:w="100"/>
            </w:tcMar>
          </w:tcPr>
          <w:p>
            <w:r>
              <w:rPr>
                <w:b w:val="false"/>
                <w:bCs w:val="false"/>
                <w:sz w:val="20"/>
                <w:szCs w:val="20"/>
              </w:rPr>
              <w:t xml:space="preserve">High</w:t>
            </w:r>
          </w:p>
        </w:tc>
      </w:tr>
      <w:tr>
        <w:tc>
          <w:tcPr>
            <w:tcW w:type="dxa" w:w="900"/>
            <w:tcMar>
              <w:top w:type="dxa" w:w="60"/>
              <w:left w:type="dxa" w:w="100"/>
              <w:bottom w:type="dxa" w:w="60"/>
              <w:right w:type="dxa" w:w="100"/>
            </w:tcMar>
          </w:tcPr>
          <w:p>
            <w:r>
              <w:rPr>
                <w:b w:val="false"/>
                <w:bCs w:val="false"/>
                <w:sz w:val="20"/>
                <w:szCs w:val="20"/>
              </w:rPr>
              <w:t xml:space="preserve">BR-03</w:t>
            </w:r>
          </w:p>
        </w:tc>
        <w:tc>
          <w:tcPr>
            <w:tcW w:type="dxa" w:w="2100"/>
            <w:tcMar>
              <w:top w:type="dxa" w:w="60"/>
              <w:left w:type="dxa" w:w="100"/>
              <w:bottom w:type="dxa" w:w="60"/>
              <w:right w:type="dxa" w:w="100"/>
            </w:tcMar>
          </w:tcPr>
          <w:p>
            <w:r>
              <w:rPr>
                <w:b w:val="false"/>
                <w:bCs w:val="false"/>
                <w:sz w:val="20"/>
                <w:szCs w:val="20"/>
              </w:rPr>
              <w:t xml:space="preserve">Carrier Status Management</w:t>
            </w:r>
          </w:p>
        </w:tc>
        <w:tc>
          <w:tcPr>
            <w:tcW w:type="dxa" w:w="6200"/>
            <w:tcMar>
              <w:top w:type="dxa" w:w="60"/>
              <w:left w:type="dxa" w:w="100"/>
              <w:bottom w:type="dxa" w:w="60"/>
              <w:right w:type="dxa" w:w="100"/>
            </w:tcMar>
          </w:tcPr>
          <w:p>
            <w:r>
              <w:rPr>
                <w:b w:val="false"/>
                <w:bCs w:val="false"/>
                <w:sz w:val="20"/>
                <w:szCs w:val="20"/>
              </w:rPr>
              <w:t xml:space="preserve">The system shall track a carrier's lifecycle status (Active, Inactive, Blocked, Pending, Terminated-Report, Terminated-Complete, Deleted) together with the date the status was set.</w:t>
            </w:r>
          </w:p>
        </w:tc>
        <w:tc>
          <w:tcPr>
            <w:tcW w:type="dxa" w:w="1300"/>
            <w:tcMar>
              <w:top w:type="dxa" w:w="60"/>
              <w:left w:type="dxa" w:w="100"/>
              <w:bottom w:type="dxa" w:w="60"/>
              <w:right w:type="dxa" w:w="100"/>
            </w:tcMar>
          </w:tcPr>
          <w:p>
            <w:r>
              <w:rPr>
                <w:b w:val="false"/>
                <w:bCs w:val="false"/>
                <w:sz w:val="20"/>
                <w:szCs w:val="20"/>
              </w:rPr>
              <w:t xml:space="preserve">High</w:t>
            </w:r>
          </w:p>
        </w:tc>
      </w:tr>
      <w:tr>
        <w:tc>
          <w:tcPr>
            <w:tcW w:type="dxa" w:w="900"/>
            <w:tcMar>
              <w:top w:type="dxa" w:w="60"/>
              <w:left w:type="dxa" w:w="100"/>
              <w:bottom w:type="dxa" w:w="60"/>
              <w:right w:type="dxa" w:w="100"/>
            </w:tcMar>
          </w:tcPr>
          <w:p>
            <w:r>
              <w:rPr>
                <w:b w:val="false"/>
                <w:bCs w:val="false"/>
                <w:sz w:val="20"/>
                <w:szCs w:val="20"/>
              </w:rPr>
              <w:t xml:space="preserve">BR-04</w:t>
            </w:r>
          </w:p>
        </w:tc>
        <w:tc>
          <w:tcPr>
            <w:tcW w:type="dxa" w:w="2100"/>
            <w:tcMar>
              <w:top w:type="dxa" w:w="60"/>
              <w:left w:type="dxa" w:w="100"/>
              <w:bottom w:type="dxa" w:w="60"/>
              <w:right w:type="dxa" w:w="100"/>
            </w:tcMar>
          </w:tcPr>
          <w:p>
            <w:r>
              <w:rPr>
                <w:b w:val="false"/>
                <w:bCs w:val="false"/>
                <w:sz w:val="20"/>
                <w:szCs w:val="20"/>
              </w:rPr>
              <w:t xml:space="preserve">Carrier Export</w:t>
            </w:r>
          </w:p>
        </w:tc>
        <w:tc>
          <w:tcPr>
            <w:tcW w:type="dxa" w:w="6200"/>
            <w:tcMar>
              <w:top w:type="dxa" w:w="60"/>
              <w:left w:type="dxa" w:w="100"/>
              <w:bottom w:type="dxa" w:w="60"/>
              <w:right w:type="dxa" w:w="100"/>
            </w:tcMar>
          </w:tcPr>
          <w:p>
            <w:r>
              <w:rPr>
                <w:b w:val="false"/>
                <w:bCs w:val="false"/>
                <w:sz w:val="20"/>
                <w:szCs w:val="20"/>
              </w:rPr>
              <w:t xml:space="preserve">Users shall be able to export the current carrier search results to a Microsoft Excel workbook for offline review and distribution.</w:t>
            </w:r>
          </w:p>
        </w:tc>
        <w:tc>
          <w:tcPr>
            <w:tcW w:type="dxa" w:w="1300"/>
            <w:tcMar>
              <w:top w:type="dxa" w:w="60"/>
              <w:left w:type="dxa" w:w="100"/>
              <w:bottom w:type="dxa" w:w="60"/>
              <w:right w:type="dxa" w:w="100"/>
            </w:tcMar>
          </w:tcPr>
          <w:p>
            <w:r>
              <w:rPr>
                <w:b w:val="false"/>
                <w:bCs w:val="false"/>
                <w:sz w:val="20"/>
                <w:szCs w:val="20"/>
              </w:rPr>
              <w:t xml:space="preserve">Medium</w:t>
            </w:r>
          </w:p>
        </w:tc>
      </w:tr>
      <w:tr>
        <w:tc>
          <w:tcPr>
            <w:tcW w:type="dxa" w:w="900"/>
            <w:tcMar>
              <w:top w:type="dxa" w:w="60"/>
              <w:left w:type="dxa" w:w="100"/>
              <w:bottom w:type="dxa" w:w="60"/>
              <w:right w:type="dxa" w:w="100"/>
            </w:tcMar>
          </w:tcPr>
          <w:p>
            <w:r>
              <w:rPr>
                <w:b w:val="false"/>
                <w:bCs w:val="false"/>
                <w:sz w:val="20"/>
                <w:szCs w:val="20"/>
              </w:rPr>
              <w:t xml:space="preserve">BR-05</w:t>
            </w:r>
          </w:p>
        </w:tc>
        <w:tc>
          <w:tcPr>
            <w:tcW w:type="dxa" w:w="2100"/>
            <w:tcMar>
              <w:top w:type="dxa" w:w="60"/>
              <w:left w:type="dxa" w:w="100"/>
              <w:bottom w:type="dxa" w:w="60"/>
              <w:right w:type="dxa" w:w="100"/>
            </w:tcMar>
          </w:tcPr>
          <w:p>
            <w:r>
              <w:rPr>
                <w:b w:val="false"/>
                <w:bCs w:val="false"/>
                <w:sz w:val="20"/>
                <w:szCs w:val="20"/>
              </w:rPr>
              <w:t xml:space="preserve">Location Search</w:t>
            </w:r>
          </w:p>
        </w:tc>
        <w:tc>
          <w:tcPr>
            <w:tcW w:type="dxa" w:w="6200"/>
            <w:tcMar>
              <w:top w:type="dxa" w:w="60"/>
              <w:left w:type="dxa" w:w="100"/>
              <w:bottom w:type="dxa" w:w="60"/>
              <w:right w:type="dxa" w:w="100"/>
            </w:tcMar>
          </w:tcPr>
          <w:p>
            <w:r>
              <w:rPr>
                <w:b w:val="false"/>
                <w:bCs w:val="false"/>
                <w:sz w:val="20"/>
                <w:szCs w:val="20"/>
              </w:rPr>
              <w:t xml:space="preserve">Users shall be able to search transportation locations by location name, location code, country, region, state, zip code, city, status and location type, individually or in combination.</w:t>
            </w:r>
          </w:p>
        </w:tc>
        <w:tc>
          <w:tcPr>
            <w:tcW w:type="dxa" w:w="1300"/>
            <w:tcMar>
              <w:top w:type="dxa" w:w="60"/>
              <w:left w:type="dxa" w:w="100"/>
              <w:bottom w:type="dxa" w:w="60"/>
              <w:right w:type="dxa" w:w="100"/>
            </w:tcMar>
          </w:tcPr>
          <w:p>
            <w:r>
              <w:rPr>
                <w:b w:val="false"/>
                <w:bCs w:val="false"/>
                <w:sz w:val="20"/>
                <w:szCs w:val="20"/>
              </w:rPr>
              <w:t xml:space="preserve">High</w:t>
            </w:r>
          </w:p>
        </w:tc>
      </w:tr>
      <w:tr>
        <w:tc>
          <w:tcPr>
            <w:tcW w:type="dxa" w:w="900"/>
            <w:tcMar>
              <w:top w:type="dxa" w:w="60"/>
              <w:left w:type="dxa" w:w="100"/>
              <w:bottom w:type="dxa" w:w="60"/>
              <w:right w:type="dxa" w:w="100"/>
            </w:tcMar>
          </w:tcPr>
          <w:p>
            <w:r>
              <w:rPr>
                <w:b w:val="false"/>
                <w:bCs w:val="false"/>
                <w:sz w:val="20"/>
                <w:szCs w:val="20"/>
              </w:rPr>
              <w:t xml:space="preserve">BR-06</w:t>
            </w:r>
          </w:p>
        </w:tc>
        <w:tc>
          <w:tcPr>
            <w:tcW w:type="dxa" w:w="2100"/>
            <w:tcMar>
              <w:top w:type="dxa" w:w="60"/>
              <w:left w:type="dxa" w:w="100"/>
              <w:bottom w:type="dxa" w:w="60"/>
              <w:right w:type="dxa" w:w="100"/>
            </w:tcMar>
          </w:tcPr>
          <w:p>
            <w:r>
              <w:rPr>
                <w:b w:val="false"/>
                <w:bCs w:val="false"/>
                <w:sz w:val="20"/>
                <w:szCs w:val="20"/>
              </w:rPr>
              <w:t xml:space="preserve">Location Maintenance</w:t>
            </w:r>
          </w:p>
        </w:tc>
        <w:tc>
          <w:tcPr>
            <w:tcW w:type="dxa" w:w="6200"/>
            <w:tcMar>
              <w:top w:type="dxa" w:w="60"/>
              <w:left w:type="dxa" w:w="100"/>
              <w:bottom w:type="dxa" w:w="60"/>
              <w:right w:type="dxa" w:w="100"/>
            </w:tcMar>
          </w:tcPr>
          <w:p>
            <w:r>
              <w:rPr>
                <w:b w:val="false"/>
                <w:bCs w:val="false"/>
                <w:sz w:val="20"/>
                <w:szCs w:val="20"/>
              </w:rPr>
              <w:t xml:space="preserve">Authorized users shall be able to add a new location and update an existing location, capturing the location's mailing address, up to three location-type classifications, region/district, contact and communication details.</w:t>
            </w:r>
          </w:p>
        </w:tc>
        <w:tc>
          <w:tcPr>
            <w:tcW w:type="dxa" w:w="1300"/>
            <w:tcMar>
              <w:top w:type="dxa" w:w="60"/>
              <w:left w:type="dxa" w:w="100"/>
              <w:bottom w:type="dxa" w:w="60"/>
              <w:right w:type="dxa" w:w="100"/>
            </w:tcMar>
          </w:tcPr>
          <w:p>
            <w:r>
              <w:rPr>
                <w:b w:val="false"/>
                <w:bCs w:val="false"/>
                <w:sz w:val="20"/>
                <w:szCs w:val="20"/>
              </w:rPr>
              <w:t xml:space="preserve">High</w:t>
            </w:r>
          </w:p>
        </w:tc>
      </w:tr>
      <w:tr>
        <w:tc>
          <w:tcPr>
            <w:tcW w:type="dxa" w:w="900"/>
            <w:tcMar>
              <w:top w:type="dxa" w:w="60"/>
              <w:left w:type="dxa" w:w="100"/>
              <w:bottom w:type="dxa" w:w="60"/>
              <w:right w:type="dxa" w:w="100"/>
            </w:tcMar>
          </w:tcPr>
          <w:p>
            <w:r>
              <w:rPr>
                <w:b w:val="false"/>
                <w:bCs w:val="false"/>
                <w:sz w:val="20"/>
                <w:szCs w:val="20"/>
              </w:rPr>
              <w:t xml:space="preserve">BR-07</w:t>
            </w:r>
          </w:p>
        </w:tc>
        <w:tc>
          <w:tcPr>
            <w:tcW w:type="dxa" w:w="2100"/>
            <w:tcMar>
              <w:top w:type="dxa" w:w="60"/>
              <w:left w:type="dxa" w:w="100"/>
              <w:bottom w:type="dxa" w:w="60"/>
              <w:right w:type="dxa" w:w="100"/>
            </w:tcMar>
          </w:tcPr>
          <w:p>
            <w:r>
              <w:rPr>
                <w:b w:val="false"/>
                <w:bCs w:val="false"/>
                <w:sz w:val="20"/>
                <w:szCs w:val="20"/>
              </w:rPr>
              <w:t xml:space="preserve">Shipping Address Support</w:t>
            </w:r>
          </w:p>
        </w:tc>
        <w:tc>
          <w:tcPr>
            <w:tcW w:type="dxa" w:w="6200"/>
            <w:tcMar>
              <w:top w:type="dxa" w:w="60"/>
              <w:left w:type="dxa" w:w="100"/>
              <w:bottom w:type="dxa" w:w="60"/>
              <w:right w:type="dxa" w:w="100"/>
            </w:tcMar>
          </w:tcPr>
          <w:p>
            <w:r>
              <w:rPr>
                <w:b w:val="false"/>
                <w:bCs w:val="false"/>
                <w:sz w:val="20"/>
                <w:szCs w:val="20"/>
              </w:rPr>
              <w:t xml:space="preserve">The system shall support an independent shipping address per location, distinct from the primary/mailing address, and both shall be presented when a location is searched or displayed.</w:t>
            </w:r>
          </w:p>
        </w:tc>
        <w:tc>
          <w:tcPr>
            <w:tcW w:type="dxa" w:w="1300"/>
            <w:tcMar>
              <w:top w:type="dxa" w:w="60"/>
              <w:left w:type="dxa" w:w="100"/>
              <w:bottom w:type="dxa" w:w="60"/>
              <w:right w:type="dxa" w:w="100"/>
            </w:tcMar>
          </w:tcPr>
          <w:p>
            <w:r>
              <w:rPr>
                <w:b w:val="false"/>
                <w:bCs w:val="false"/>
                <w:sz w:val="20"/>
                <w:szCs w:val="20"/>
              </w:rPr>
              <w:t xml:space="preserve">Medium</w:t>
            </w:r>
          </w:p>
        </w:tc>
      </w:tr>
      <w:tr>
        <w:tc>
          <w:tcPr>
            <w:tcW w:type="dxa" w:w="900"/>
            <w:tcMar>
              <w:top w:type="dxa" w:w="60"/>
              <w:left w:type="dxa" w:w="100"/>
              <w:bottom w:type="dxa" w:w="60"/>
              <w:right w:type="dxa" w:w="100"/>
            </w:tcMar>
          </w:tcPr>
          <w:p>
            <w:r>
              <w:rPr>
                <w:b w:val="false"/>
                <w:bCs w:val="false"/>
                <w:sz w:val="20"/>
                <w:szCs w:val="20"/>
              </w:rPr>
              <w:t xml:space="preserve">BR-08</w:t>
            </w:r>
          </w:p>
        </w:tc>
        <w:tc>
          <w:tcPr>
            <w:tcW w:type="dxa" w:w="2100"/>
            <w:tcMar>
              <w:top w:type="dxa" w:w="60"/>
              <w:left w:type="dxa" w:w="100"/>
              <w:bottom w:type="dxa" w:w="60"/>
              <w:right w:type="dxa" w:w="100"/>
            </w:tcMar>
          </w:tcPr>
          <w:p>
            <w:r>
              <w:rPr>
                <w:b w:val="false"/>
                <w:bCs w:val="false"/>
                <w:sz w:val="20"/>
                <w:szCs w:val="20"/>
              </w:rPr>
              <w:t xml:space="preserve">Location Deletion</w:t>
            </w:r>
          </w:p>
        </w:tc>
        <w:tc>
          <w:tcPr>
            <w:tcW w:type="dxa" w:w="6200"/>
            <w:tcMar>
              <w:top w:type="dxa" w:w="60"/>
              <w:left w:type="dxa" w:w="100"/>
              <w:bottom w:type="dxa" w:w="60"/>
              <w:right w:type="dxa" w:w="100"/>
            </w:tcMar>
          </w:tcPr>
          <w:p>
            <w:r>
              <w:rPr>
                <w:b w:val="false"/>
                <w:bCs w:val="false"/>
                <w:sz w:val="20"/>
                <w:szCs w:val="20"/>
              </w:rPr>
              <w:t xml:space="preserve">Authorized users shall be able to remove (logically delete) an existing location.</w:t>
            </w:r>
          </w:p>
        </w:tc>
        <w:tc>
          <w:tcPr>
            <w:tcW w:type="dxa" w:w="1300"/>
            <w:tcMar>
              <w:top w:type="dxa" w:w="60"/>
              <w:left w:type="dxa" w:w="100"/>
              <w:bottom w:type="dxa" w:w="60"/>
              <w:right w:type="dxa" w:w="100"/>
            </w:tcMar>
          </w:tcPr>
          <w:p>
            <w:r>
              <w:rPr>
                <w:b w:val="false"/>
                <w:bCs w:val="false"/>
                <w:sz w:val="20"/>
                <w:szCs w:val="20"/>
              </w:rPr>
              <w:t xml:space="preserve">Medium</w:t>
            </w:r>
          </w:p>
        </w:tc>
      </w:tr>
      <w:tr>
        <w:tc>
          <w:tcPr>
            <w:tcW w:type="dxa" w:w="900"/>
            <w:tcMar>
              <w:top w:type="dxa" w:w="60"/>
              <w:left w:type="dxa" w:w="100"/>
              <w:bottom w:type="dxa" w:w="60"/>
              <w:right w:type="dxa" w:w="100"/>
            </w:tcMar>
          </w:tcPr>
          <w:p>
            <w:r>
              <w:rPr>
                <w:b w:val="false"/>
                <w:bCs w:val="false"/>
                <w:sz w:val="20"/>
                <w:szCs w:val="20"/>
              </w:rPr>
              <w:t xml:space="preserve">BR-09</w:t>
            </w:r>
          </w:p>
        </w:tc>
        <w:tc>
          <w:tcPr>
            <w:tcW w:type="dxa" w:w="2100"/>
            <w:tcMar>
              <w:top w:type="dxa" w:w="60"/>
              <w:left w:type="dxa" w:w="100"/>
              <w:bottom w:type="dxa" w:w="60"/>
              <w:right w:type="dxa" w:w="100"/>
            </w:tcMar>
          </w:tcPr>
          <w:p>
            <w:r>
              <w:rPr>
                <w:b w:val="false"/>
                <w:bCs w:val="false"/>
                <w:sz w:val="20"/>
                <w:szCs w:val="20"/>
              </w:rPr>
              <w:t xml:space="preserve">Cascading Reference Lists</w:t>
            </w:r>
          </w:p>
        </w:tc>
        <w:tc>
          <w:tcPr>
            <w:tcW w:type="dxa" w:w="6200"/>
            <w:tcMar>
              <w:top w:type="dxa" w:w="60"/>
              <w:left w:type="dxa" w:w="100"/>
              <w:bottom w:type="dxa" w:w="60"/>
              <w:right w:type="dxa" w:w="100"/>
            </w:tcMar>
          </w:tcPr>
          <w:p>
            <w:r>
              <w:rPr>
                <w:b w:val="false"/>
                <w:bCs w:val="false"/>
                <w:sz w:val="20"/>
                <w:szCs w:val="20"/>
              </w:rPr>
              <w:t xml:space="preserve">When a user selects a country, the system shall refresh the dependent region and state lists so only valid regions/states for that country are offered, for both mailing and shipping addresses.</w:t>
            </w:r>
          </w:p>
        </w:tc>
        <w:tc>
          <w:tcPr>
            <w:tcW w:type="dxa" w:w="1300"/>
            <w:tcMar>
              <w:top w:type="dxa" w:w="60"/>
              <w:left w:type="dxa" w:w="100"/>
              <w:bottom w:type="dxa" w:w="60"/>
              <w:right w:type="dxa" w:w="100"/>
            </w:tcMar>
          </w:tcPr>
          <w:p>
            <w:r>
              <w:rPr>
                <w:b w:val="false"/>
                <w:bCs w:val="false"/>
                <w:sz w:val="20"/>
                <w:szCs w:val="20"/>
              </w:rPr>
              <w:t xml:space="preserve">High</w:t>
            </w:r>
          </w:p>
        </w:tc>
      </w:tr>
      <w:tr>
        <w:tc>
          <w:tcPr>
            <w:tcW w:type="dxa" w:w="900"/>
            <w:tcMar>
              <w:top w:type="dxa" w:w="60"/>
              <w:left w:type="dxa" w:w="100"/>
              <w:bottom w:type="dxa" w:w="60"/>
              <w:right w:type="dxa" w:w="100"/>
            </w:tcMar>
          </w:tcPr>
          <w:p>
            <w:r>
              <w:rPr>
                <w:b w:val="false"/>
                <w:bCs w:val="false"/>
                <w:sz w:val="20"/>
                <w:szCs w:val="20"/>
              </w:rPr>
              <w:t xml:space="preserve">BR-10</w:t>
            </w:r>
          </w:p>
        </w:tc>
        <w:tc>
          <w:tcPr>
            <w:tcW w:type="dxa" w:w="2100"/>
            <w:tcMar>
              <w:top w:type="dxa" w:w="60"/>
              <w:left w:type="dxa" w:w="100"/>
              <w:bottom w:type="dxa" w:w="60"/>
              <w:right w:type="dxa" w:w="100"/>
            </w:tcMar>
          </w:tcPr>
          <w:p>
            <w:r>
              <w:rPr>
                <w:b w:val="false"/>
                <w:bCs w:val="false"/>
                <w:sz w:val="20"/>
                <w:szCs w:val="20"/>
              </w:rPr>
              <w:t xml:space="preserve">Location Export</w:t>
            </w:r>
          </w:p>
        </w:tc>
        <w:tc>
          <w:tcPr>
            <w:tcW w:type="dxa" w:w="6200"/>
            <w:tcMar>
              <w:top w:type="dxa" w:w="60"/>
              <w:left w:type="dxa" w:w="100"/>
              <w:bottom w:type="dxa" w:w="60"/>
              <w:right w:type="dxa" w:w="100"/>
            </w:tcMar>
          </w:tcPr>
          <w:p>
            <w:r>
              <w:rPr>
                <w:b w:val="false"/>
                <w:bCs w:val="false"/>
                <w:sz w:val="20"/>
                <w:szCs w:val="20"/>
              </w:rPr>
              <w:t xml:space="preserve">Users shall be able to export the current location search results to a Microsoft Excel workbook.</w:t>
            </w:r>
          </w:p>
        </w:tc>
        <w:tc>
          <w:tcPr>
            <w:tcW w:type="dxa" w:w="1300"/>
            <w:tcMar>
              <w:top w:type="dxa" w:w="60"/>
              <w:left w:type="dxa" w:w="100"/>
              <w:bottom w:type="dxa" w:w="60"/>
              <w:right w:type="dxa" w:w="100"/>
            </w:tcMar>
          </w:tcPr>
          <w:p>
            <w:r>
              <w:rPr>
                <w:b w:val="false"/>
                <w:bCs w:val="false"/>
                <w:sz w:val="20"/>
                <w:szCs w:val="20"/>
              </w:rPr>
              <w:t xml:space="preserve">Medium</w:t>
            </w:r>
          </w:p>
        </w:tc>
      </w:tr>
      <w:tr>
        <w:tc>
          <w:tcPr>
            <w:tcW w:type="dxa" w:w="900"/>
            <w:tcMar>
              <w:top w:type="dxa" w:w="60"/>
              <w:left w:type="dxa" w:w="100"/>
              <w:bottom w:type="dxa" w:w="60"/>
              <w:right w:type="dxa" w:w="100"/>
            </w:tcMar>
          </w:tcPr>
          <w:p>
            <w:r>
              <w:rPr>
                <w:b w:val="false"/>
                <w:bCs w:val="false"/>
                <w:sz w:val="20"/>
                <w:szCs w:val="20"/>
              </w:rPr>
              <w:t xml:space="preserve">BR-11</w:t>
            </w:r>
          </w:p>
        </w:tc>
        <w:tc>
          <w:tcPr>
            <w:tcW w:type="dxa" w:w="2100"/>
            <w:tcMar>
              <w:top w:type="dxa" w:w="60"/>
              <w:left w:type="dxa" w:w="100"/>
              <w:bottom w:type="dxa" w:w="60"/>
              <w:right w:type="dxa" w:w="100"/>
            </w:tcMar>
          </w:tcPr>
          <w:p>
            <w:r>
              <w:rPr>
                <w:b w:val="false"/>
                <w:bCs w:val="false"/>
                <w:sz w:val="20"/>
                <w:szCs w:val="20"/>
              </w:rPr>
              <w:t xml:space="preserve">Role-Based Access</w:t>
            </w:r>
          </w:p>
        </w:tc>
        <w:tc>
          <w:tcPr>
            <w:tcW w:type="dxa" w:w="6200"/>
            <w:tcMar>
              <w:top w:type="dxa" w:w="60"/>
              <w:left w:type="dxa" w:w="100"/>
              <w:bottom w:type="dxa" w:w="60"/>
              <w:right w:type="dxa" w:w="100"/>
            </w:tcMar>
          </w:tcPr>
          <w:p>
            <w:r>
              <w:rPr>
                <w:b w:val="false"/>
                <w:bCs w:val="false"/>
                <w:sz w:val="20"/>
                <w:szCs w:val="20"/>
              </w:rPr>
              <w:t xml:space="preserve">The system shall distinguish between administrative users (full add/update/delete rights) and inquiry-only users (search/view/export rights only), based on the user's assigned security group.</w:t>
            </w:r>
          </w:p>
        </w:tc>
        <w:tc>
          <w:tcPr>
            <w:tcW w:type="dxa" w:w="1300"/>
            <w:tcMar>
              <w:top w:type="dxa" w:w="60"/>
              <w:left w:type="dxa" w:w="100"/>
              <w:bottom w:type="dxa" w:w="60"/>
              <w:right w:type="dxa" w:w="100"/>
            </w:tcMar>
          </w:tcPr>
          <w:p>
            <w:r>
              <w:rPr>
                <w:b w:val="false"/>
                <w:bCs w:val="false"/>
                <w:sz w:val="20"/>
                <w:szCs w:val="20"/>
              </w:rPr>
              <w:t xml:space="preserve">High</w:t>
            </w:r>
          </w:p>
        </w:tc>
      </w:tr>
      <w:tr>
        <w:tc>
          <w:tcPr>
            <w:tcW w:type="dxa" w:w="900"/>
            <w:tcMar>
              <w:top w:type="dxa" w:w="60"/>
              <w:left w:type="dxa" w:w="100"/>
              <w:bottom w:type="dxa" w:w="60"/>
              <w:right w:type="dxa" w:w="100"/>
            </w:tcMar>
          </w:tcPr>
          <w:p>
            <w:r>
              <w:rPr>
                <w:b w:val="false"/>
                <w:bCs w:val="false"/>
                <w:sz w:val="20"/>
                <w:szCs w:val="20"/>
              </w:rPr>
              <w:t xml:space="preserve">BR-12</w:t>
            </w:r>
          </w:p>
        </w:tc>
        <w:tc>
          <w:tcPr>
            <w:tcW w:type="dxa" w:w="2100"/>
            <w:tcMar>
              <w:top w:type="dxa" w:w="60"/>
              <w:left w:type="dxa" w:w="100"/>
              <w:bottom w:type="dxa" w:w="60"/>
              <w:right w:type="dxa" w:w="100"/>
            </w:tcMar>
          </w:tcPr>
          <w:p>
            <w:r>
              <w:rPr>
                <w:b w:val="false"/>
                <w:bCs w:val="false"/>
                <w:sz w:val="20"/>
                <w:szCs w:val="20"/>
              </w:rPr>
              <w:t xml:space="preserve">Result Set Governance</w:t>
            </w:r>
          </w:p>
        </w:tc>
        <w:tc>
          <w:tcPr>
            <w:tcW w:type="dxa" w:w="6200"/>
            <w:tcMar>
              <w:top w:type="dxa" w:w="60"/>
              <w:left w:type="dxa" w:w="100"/>
              <w:bottom w:type="dxa" w:w="60"/>
              <w:right w:type="dxa" w:w="100"/>
            </w:tcMar>
          </w:tcPr>
          <w:p>
            <w:r>
              <w:rPr>
                <w:b w:val="false"/>
                <w:bCs w:val="false"/>
                <w:sz w:val="20"/>
                <w:szCs w:val="20"/>
              </w:rPr>
              <w:t xml:space="preserve">When a search would return an excessive number of records, the system shall warn the user and require the search criteria to be narrowed rather than returning an unbounded result set.</w:t>
            </w:r>
          </w:p>
        </w:tc>
        <w:tc>
          <w:tcPr>
            <w:tcW w:type="dxa" w:w="1300"/>
            <w:tcMar>
              <w:top w:type="dxa" w:w="60"/>
              <w:left w:type="dxa" w:w="100"/>
              <w:bottom w:type="dxa" w:w="60"/>
              <w:right w:type="dxa" w:w="100"/>
            </w:tcMar>
          </w:tcPr>
          <w:p>
            <w:r>
              <w:rPr>
                <w:b w:val="false"/>
                <w:bCs w:val="false"/>
                <w:sz w:val="20"/>
                <w:szCs w:val="20"/>
              </w:rPr>
              <w:t xml:space="preserve">Medium</w:t>
            </w:r>
          </w:p>
        </w:tc>
      </w:tr>
      <w:tr>
        <w:tc>
          <w:tcPr>
            <w:tcW w:type="dxa" w:w="900"/>
            <w:tcMar>
              <w:top w:type="dxa" w:w="60"/>
              <w:left w:type="dxa" w:w="100"/>
              <w:bottom w:type="dxa" w:w="60"/>
              <w:right w:type="dxa" w:w="100"/>
            </w:tcMar>
          </w:tcPr>
          <w:p>
            <w:r>
              <w:rPr>
                <w:b w:val="false"/>
                <w:bCs w:val="false"/>
                <w:sz w:val="20"/>
                <w:szCs w:val="20"/>
              </w:rPr>
              <w:t xml:space="preserve">BR-13</w:t>
            </w:r>
          </w:p>
        </w:tc>
        <w:tc>
          <w:tcPr>
            <w:tcW w:type="dxa" w:w="2100"/>
            <w:tcMar>
              <w:top w:type="dxa" w:w="60"/>
              <w:left w:type="dxa" w:w="100"/>
              <w:bottom w:type="dxa" w:w="60"/>
              <w:right w:type="dxa" w:w="100"/>
            </w:tcMar>
          </w:tcPr>
          <w:p>
            <w:r>
              <w:rPr>
                <w:b w:val="false"/>
                <w:bCs w:val="false"/>
                <w:sz w:val="20"/>
                <w:szCs w:val="20"/>
              </w:rPr>
              <w:t xml:space="preserve">Auditability</w:t>
            </w:r>
          </w:p>
        </w:tc>
        <w:tc>
          <w:tcPr>
            <w:tcW w:type="dxa" w:w="6200"/>
            <w:tcMar>
              <w:top w:type="dxa" w:w="60"/>
              <w:left w:type="dxa" w:w="100"/>
              <w:bottom w:type="dxa" w:w="60"/>
              <w:right w:type="dxa" w:w="100"/>
            </w:tcMar>
          </w:tcPr>
          <w:p>
            <w:r>
              <w:rPr>
                <w:b w:val="false"/>
                <w:bCs w:val="false"/>
                <w:sz w:val="20"/>
                <w:szCs w:val="20"/>
              </w:rPr>
              <w:t xml:space="preserve">The system shall retain the identifier of the last user who updated a carrier or location record and the timestamp of that update, for traceability.</w:t>
            </w:r>
          </w:p>
        </w:tc>
        <w:tc>
          <w:tcPr>
            <w:tcW w:type="dxa" w:w="1300"/>
            <w:tcMar>
              <w:top w:type="dxa" w:w="60"/>
              <w:left w:type="dxa" w:w="100"/>
              <w:bottom w:type="dxa" w:w="60"/>
              <w:right w:type="dxa" w:w="100"/>
            </w:tcMar>
          </w:tcPr>
          <w:p>
            <w:r>
              <w:rPr>
                <w:b w:val="false"/>
                <w:bCs w:val="false"/>
                <w:sz w:val="20"/>
                <w:szCs w:val="20"/>
              </w:rPr>
              <w:t xml:space="preserve">Medium</w:t>
            </w:r>
          </w:p>
        </w:tc>
      </w:tr>
      <w:tr>
        <w:tc>
          <w:tcPr>
            <w:tcW w:type="dxa" w:w="900"/>
            <w:tcMar>
              <w:top w:type="dxa" w:w="60"/>
              <w:left w:type="dxa" w:w="100"/>
              <w:bottom w:type="dxa" w:w="60"/>
              <w:right w:type="dxa" w:w="100"/>
            </w:tcMar>
          </w:tcPr>
          <w:p>
            <w:r>
              <w:rPr>
                <w:b w:val="false"/>
                <w:bCs w:val="false"/>
                <w:sz w:val="20"/>
                <w:szCs w:val="20"/>
              </w:rPr>
              <w:t xml:space="preserve">BR-14</w:t>
            </w:r>
          </w:p>
        </w:tc>
        <w:tc>
          <w:tcPr>
            <w:tcW w:type="dxa" w:w="2100"/>
            <w:tcMar>
              <w:top w:type="dxa" w:w="60"/>
              <w:left w:type="dxa" w:w="100"/>
              <w:bottom w:type="dxa" w:w="60"/>
              <w:right w:type="dxa" w:w="100"/>
            </w:tcMar>
          </w:tcPr>
          <w:p>
            <w:r>
              <w:rPr>
                <w:b w:val="false"/>
                <w:bCs w:val="false"/>
                <w:sz w:val="20"/>
                <w:szCs w:val="20"/>
              </w:rPr>
              <w:t xml:space="preserve">Consistent Master Data</w:t>
            </w:r>
          </w:p>
        </w:tc>
        <w:tc>
          <w:tcPr>
            <w:tcW w:type="dxa" w:w="6200"/>
            <w:tcMar>
              <w:top w:type="dxa" w:w="60"/>
              <w:left w:type="dxa" w:w="100"/>
              <w:bottom w:type="dxa" w:w="60"/>
              <w:right w:type="dxa" w:w="100"/>
            </w:tcMar>
          </w:tcPr>
          <w:p>
            <w:r>
              <w:rPr>
                <w:b w:val="false"/>
                <w:bCs w:val="false"/>
                <w:sz w:val="20"/>
                <w:szCs w:val="20"/>
              </w:rPr>
              <w:t xml:space="preserve">Carrier and location master data maintained in this module shall be available to downstream Vehicle Distribution System (VDS) processes (e.g., routing, transit-time and transit-rate calculations) that depend on valid carrier and location codes.</w:t>
            </w:r>
          </w:p>
        </w:tc>
        <w:tc>
          <w:tcPr>
            <w:tcW w:type="dxa" w:w="1300"/>
            <w:tcMar>
              <w:top w:type="dxa" w:w="60"/>
              <w:left w:type="dxa" w:w="100"/>
              <w:bottom w:type="dxa" w:w="60"/>
              <w:right w:type="dxa" w:w="100"/>
            </w:tcMar>
          </w:tcPr>
          <w:p>
            <w:r>
              <w:rPr>
                <w:b w:val="false"/>
                <w:bCs w:val="false"/>
                <w:sz w:val="20"/>
                <w:szCs w:val="20"/>
              </w:rPr>
              <w:t xml:space="preserve">High</w:t>
            </w:r>
          </w:p>
        </w:tc>
      </w:tr>
    </w:tbl>
    <w:p>
      <w:pPr>
        <w:pStyle w:val="Heading1"/>
        <w:spacing w:after="160" w:before="320"/>
      </w:pPr>
      <w:r>
        <w:t xml:space="preserve">4. Business Rules</w:t>
      </w:r>
    </w:p>
    <w:p>
      <w:pPr>
        <w:pStyle w:val="Heading2"/>
        <w:spacing w:after="120" w:before="240"/>
      </w:pPr>
      <w:r>
        <w:t xml:space="preserve">4.1 Carrier Setup</w:t>
      </w:r>
    </w:p>
    <w:p>
      <w:pPr>
        <w:pStyle w:val="ListParagraph"/>
        <w:numPr>
          <w:ilvl w:val="0"/>
          <w:numId w:val="1"/>
        </w:numPr>
        <w:spacing w:after="60"/>
      </w:pPr>
      <w:r>
        <w:t xml:space="preserve">A carrier is uniquely identified by a Carrier Code; carrier records support four types: Truck, Rail, Air, and Sea (or “All” for carriers not restricted to a single mode).</w:t>
      </w:r>
    </w:p>
    <w:p>
      <w:pPr>
        <w:pStyle w:val="ListParagraph"/>
        <w:numPr>
          <w:ilvl w:val="0"/>
          <w:numId w:val="1"/>
        </w:numPr>
        <w:spacing w:after="60"/>
      </w:pPr>
      <w:r>
        <w:t xml:space="preserve">Each carrier carries a currency indicator restricting settlement to USD or Peso.</w:t>
      </w:r>
    </w:p>
    <w:p>
      <w:pPr>
        <w:pStyle w:val="ListParagraph"/>
        <w:numPr>
          <w:ilvl w:val="0"/>
          <w:numId w:val="1"/>
        </w:numPr>
        <w:spacing w:after="60"/>
      </w:pPr>
      <w:r>
        <w:t xml:space="preserve">Up to six contract number / contract description pairs may be recorded against a single carrier.</w:t>
      </w:r>
    </w:p>
    <w:p>
      <w:pPr>
        <w:pStyle w:val="ListParagraph"/>
        <w:numPr>
          <w:ilvl w:val="0"/>
          <w:numId w:val="1"/>
        </w:numPr>
        <w:spacing w:after="60"/>
      </w:pPr>
      <w:r>
        <w:t xml:space="preserve">A carrier record captures separate mailing and shipping addresses, each with country, state and postal-code detail.</w:t>
      </w:r>
    </w:p>
    <w:p>
      <w:pPr>
        <w:pStyle w:val="ListParagraph"/>
        <w:numPr>
          <w:ilvl w:val="0"/>
          <w:numId w:val="1"/>
        </w:numPr>
        <w:spacing w:after="60"/>
      </w:pPr>
      <w:r>
        <w:t xml:space="preserve">Carrier status values include Active, Inactive, Blocked, Pending, Deleted, Terminated (Report) and Terminated (Complete); each status change records the effective status date.</w:t>
      </w:r>
    </w:p>
    <w:p>
      <w:pPr>
        <w:pStyle w:val="Heading2"/>
        <w:spacing w:after="120" w:before="240"/>
      </w:pPr>
      <w:r>
        <w:t xml:space="preserve">4.2 Location Setup</w:t>
      </w:r>
    </w:p>
    <w:p>
      <w:pPr>
        <w:pStyle w:val="ListParagraph"/>
        <w:numPr>
          <w:ilvl w:val="0"/>
          <w:numId w:val="1"/>
        </w:numPr>
        <w:spacing w:after="60"/>
      </w:pPr>
      <w:r>
        <w:t xml:space="preserve">A location is uniquely identified by a Location Code and belongs to a Region and, indirectly, a Country/State.</w:t>
      </w:r>
    </w:p>
    <w:p>
      <w:pPr>
        <w:pStyle w:val="ListParagraph"/>
        <w:numPr>
          <w:ilvl w:val="0"/>
          <w:numId w:val="1"/>
        </w:numPr>
        <w:spacing w:after="60"/>
      </w:pPr>
      <w:r>
        <w:t xml:space="preserve">A location may be classified against up to three location-type codes simultaneously (e.g., combinations of distribution roles).</w:t>
      </w:r>
    </w:p>
    <w:p>
      <w:pPr>
        <w:pStyle w:val="ListParagraph"/>
        <w:numPr>
          <w:ilvl w:val="0"/>
          <w:numId w:val="1"/>
        </w:numPr>
        <w:spacing w:after="60"/>
      </w:pPr>
      <w:r>
        <w:t xml:space="preserve">A location supports an independent Shipping address in addition to its primary (mailing) address; the two are tracked and displayed separately.</w:t>
      </w:r>
    </w:p>
    <w:p>
      <w:pPr>
        <w:pStyle w:val="ListParagraph"/>
        <w:numPr>
          <w:ilvl w:val="0"/>
          <w:numId w:val="1"/>
        </w:numPr>
        <w:spacing w:after="60"/>
      </w:pPr>
      <w:r>
        <w:t xml:space="preserve">Region and State selection lists are dependent on the selected Country; State selection is further dependent on the selected Region where applicable.</w:t>
      </w:r>
    </w:p>
    <w:p>
      <w:pPr>
        <w:pStyle w:val="ListParagraph"/>
        <w:numPr>
          <w:ilvl w:val="0"/>
          <w:numId w:val="1"/>
        </w:numPr>
        <w:spacing w:after="60"/>
      </w:pPr>
      <w:r>
        <w:t xml:space="preserve">Location status values mirror the carrier status set (Active, Inactive, Blocked, Pending, Deleted, Terminated-Report, Terminated-Complete) plus an “All” filter option for search.</w:t>
      </w:r>
    </w:p>
    <w:p>
      <w:pPr>
        <w:pStyle w:val="Heading2"/>
        <w:spacing w:after="120" w:before="240"/>
      </w:pPr>
      <w:r>
        <w:t xml:space="preserve">4.3 Access Control</w:t>
      </w:r>
    </w:p>
    <w:p>
      <w:pPr>
        <w:pStyle w:val="ListParagraph"/>
        <w:numPr>
          <w:ilvl w:val="0"/>
          <w:numId w:val="1"/>
        </w:numPr>
        <w:spacing w:after="60"/>
      </w:pPr>
      <w:r>
        <w:t xml:space="preserve">Users mapped to the administrative security group have full add/update/delete rights on carrier and location data.</w:t>
      </w:r>
    </w:p>
    <w:p>
      <w:pPr>
        <w:pStyle w:val="ListParagraph"/>
        <w:numPr>
          <w:ilvl w:val="0"/>
          <w:numId w:val="1"/>
        </w:numPr>
        <w:spacing w:after="60"/>
      </w:pPr>
      <w:r>
        <w:t xml:space="preserve">Users mapped to the inquiry security group are limited to search, view, and Excel export; maintenance actions are not available to them.</w:t>
      </w:r>
    </w:p>
    <w:p>
      <w:pPr>
        <w:pStyle w:val="ListParagraph"/>
        <w:numPr>
          <w:ilvl w:val="0"/>
          <w:numId w:val="1"/>
        </w:numPr>
        <w:spacing w:after="60"/>
      </w:pPr>
      <w:r>
        <w:t xml:space="preserve">Users with neither group assigned have no functional access to the module.</w:t>
      </w:r>
    </w:p>
    <w:p>
      <w:pPr>
        <w:pStyle w:val="Heading2"/>
        <w:spacing w:after="120" w:before="240"/>
      </w:pPr>
      <w:r>
        <w:t xml:space="preserve">4.4 Search Governance</w:t>
      </w:r>
    </w:p>
    <w:p>
      <w:pPr>
        <w:pStyle w:val="ListParagraph"/>
        <w:numPr>
          <w:ilvl w:val="0"/>
          <w:numId w:val="1"/>
        </w:numPr>
        <w:spacing w:after="60"/>
      </w:pPr>
      <w:r>
        <w:t xml:space="preserve">Both Carrier Search and Location Search warn the user and require narrower search criteria when the result set would exceed the system's supported record threshold (approximately 1,000 records for locations).</w:t>
      </w:r>
    </w:p>
    <w:p>
      <w:pPr>
        <w:pStyle w:val="Heading1"/>
        <w:spacing w:after="160" w:before="320"/>
      </w:pPr>
      <w:r>
        <w:t xml:space="preserve">5. Success Criteria / Acceptance Measures</w:t>
      </w:r>
    </w:p>
    <w:p>
      <w:pPr>
        <w:pStyle w:val="ListParagraph"/>
        <w:numPr>
          <w:ilvl w:val="0"/>
          <w:numId w:val="1"/>
        </w:numPr>
        <w:spacing w:after="60"/>
      </w:pPr>
      <w:r>
        <w:t xml:space="preserve">Authorized users can create, update, and retrieve carrier and location records without requiring IT or database intervention.</w:t>
      </w:r>
    </w:p>
    <w:p>
      <w:pPr>
        <w:pStyle w:val="ListParagraph"/>
        <w:numPr>
          <w:ilvl w:val="0"/>
          <w:numId w:val="1"/>
        </w:numPr>
        <w:spacing w:after="60"/>
      </w:pPr>
      <w:r>
        <w:t xml:space="preserve">Country/region/state selections presented to the user are always mutually consistent (no orphaned or invalid combinations).</w:t>
      </w:r>
    </w:p>
    <w:p>
      <w:pPr>
        <w:pStyle w:val="ListParagraph"/>
        <w:numPr>
          <w:ilvl w:val="0"/>
          <w:numId w:val="1"/>
        </w:numPr>
        <w:spacing w:after="60"/>
      </w:pPr>
      <w:r>
        <w:t xml:space="preserve">Inquiry-only users are prevented from performing create, update, or delete actions at the application layer.</w:t>
      </w:r>
    </w:p>
    <w:p>
      <w:pPr>
        <w:pStyle w:val="ListParagraph"/>
        <w:numPr>
          <w:ilvl w:val="0"/>
          <w:numId w:val="1"/>
        </w:numPr>
        <w:spacing w:after="60"/>
      </w:pPr>
      <w:r>
        <w:t xml:space="preserve">Excel exports accurately reflect the on-screen search results at the time of export.</w:t>
      </w:r>
    </w:p>
    <w:p>
      <w:pPr>
        <w:pStyle w:val="ListParagraph"/>
        <w:numPr>
          <w:ilvl w:val="0"/>
          <w:numId w:val="1"/>
        </w:numPr>
        <w:spacing w:after="60"/>
      </w:pPr>
      <w:r>
        <w:t xml:space="preserve">Downstream VDS modules (routing, transit time, transit rate) can reliably resolve carrier and location codes maintained through this module.</w:t>
      </w:r>
    </w:p>
    <w:p>
      <w:pPr>
        <w:pStyle w:val="Heading1"/>
        <w:spacing w:after="160" w:before="320"/>
      </w:pPr>
      <w:r>
        <w:t xml:space="preserve">6.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Term</w:t>
            </w:r>
          </w:p>
        </w:tc>
        <w:tc>
          <w:tcPr>
            <w:tcW w:type="dxa" w:w="7900"/>
            <w:shd w:fill="1F3864" w:val="clear"/>
            <w:tcMar>
              <w:top w:type="dxa" w:w="60"/>
              <w:left w:type="dxa" w:w="100"/>
              <w:bottom w:type="dxa" w:w="60"/>
              <w:right w:type="dxa" w:w="100"/>
            </w:tcMar>
          </w:tcPr>
          <w:p>
            <w:r>
              <w:rPr>
                <w:b/>
                <w:bCs/>
                <w:color w:val="FFFFFF"/>
                <w:sz w:val="20"/>
                <w:szCs w:val="20"/>
              </w:rPr>
              <w:t xml:space="preserve">Definition</w:t>
            </w:r>
          </w:p>
        </w:tc>
      </w:tr>
      <w:tr>
        <w:tc>
          <w:tcPr>
            <w:tcW w:type="dxa" w:w="2600"/>
            <w:tcMar>
              <w:top w:type="dxa" w:w="60"/>
              <w:left w:type="dxa" w:w="100"/>
              <w:bottom w:type="dxa" w:w="60"/>
              <w:right w:type="dxa" w:w="100"/>
            </w:tcMar>
          </w:tcPr>
          <w:p>
            <w:r>
              <w:rPr>
                <w:b w:val="false"/>
                <w:bCs w:val="false"/>
                <w:sz w:val="20"/>
                <w:szCs w:val="20"/>
              </w:rPr>
              <w:t xml:space="preserve">VDS</w:t>
            </w:r>
          </w:p>
        </w:tc>
        <w:tc>
          <w:tcPr>
            <w:tcW w:type="dxa" w:w="7900"/>
            <w:tcMar>
              <w:top w:type="dxa" w:w="60"/>
              <w:left w:type="dxa" w:w="100"/>
              <w:bottom w:type="dxa" w:w="60"/>
              <w:right w:type="dxa" w:w="100"/>
            </w:tcMar>
          </w:tcPr>
          <w:p>
            <w:r>
              <w:rPr>
                <w:b w:val="false"/>
                <w:bCs w:val="false"/>
                <w:sz w:val="20"/>
                <w:szCs w:val="20"/>
              </w:rPr>
              <w:t xml:space="preserve">Vehicle Distribution System — the broader logistics application suite of which this module is a part.</w:t>
            </w:r>
          </w:p>
        </w:tc>
      </w:tr>
      <w:tr>
        <w:tc>
          <w:tcPr>
            <w:tcW w:type="dxa" w:w="2600"/>
            <w:tcMar>
              <w:top w:type="dxa" w:w="60"/>
              <w:left w:type="dxa" w:w="100"/>
              <w:bottom w:type="dxa" w:w="60"/>
              <w:right w:type="dxa" w:w="100"/>
            </w:tcMar>
          </w:tcPr>
          <w:p>
            <w:r>
              <w:rPr>
                <w:b w:val="false"/>
                <w:bCs w:val="false"/>
                <w:sz w:val="20"/>
                <w:szCs w:val="20"/>
              </w:rPr>
              <w:t xml:space="preserve">Carrier</w:t>
            </w:r>
          </w:p>
        </w:tc>
        <w:tc>
          <w:tcPr>
            <w:tcW w:type="dxa" w:w="7900"/>
            <w:tcMar>
              <w:top w:type="dxa" w:w="60"/>
              <w:left w:type="dxa" w:w="100"/>
              <w:bottom w:type="dxa" w:w="60"/>
              <w:right w:type="dxa" w:w="100"/>
            </w:tcMar>
          </w:tcPr>
          <w:p>
            <w:r>
              <w:rPr>
                <w:b w:val="false"/>
                <w:bCs w:val="false"/>
                <w:sz w:val="20"/>
                <w:szCs w:val="20"/>
              </w:rPr>
              <w:t xml:space="preserve">A transportation provider (truck, rail, air, or sea) engaged to move vehicles or shipments.</w:t>
            </w:r>
          </w:p>
        </w:tc>
      </w:tr>
      <w:tr>
        <w:tc>
          <w:tcPr>
            <w:tcW w:type="dxa" w:w="2600"/>
            <w:tcMar>
              <w:top w:type="dxa" w:w="60"/>
              <w:left w:type="dxa" w:w="100"/>
              <w:bottom w:type="dxa" w:w="60"/>
              <w:right w:type="dxa" w:w="100"/>
            </w:tcMar>
          </w:tcPr>
          <w:p>
            <w:r>
              <w:rPr>
                <w:b w:val="false"/>
                <w:bCs w:val="false"/>
                <w:sz w:val="20"/>
                <w:szCs w:val="20"/>
              </w:rPr>
              <w:t xml:space="preserve">Location</w:t>
            </w:r>
          </w:p>
        </w:tc>
        <w:tc>
          <w:tcPr>
            <w:tcW w:type="dxa" w:w="7900"/>
            <w:tcMar>
              <w:top w:type="dxa" w:w="60"/>
              <w:left w:type="dxa" w:w="100"/>
              <w:bottom w:type="dxa" w:w="60"/>
              <w:right w:type="dxa" w:w="100"/>
            </w:tcMar>
          </w:tcPr>
          <w:p>
            <w:r>
              <w:rPr>
                <w:b w:val="false"/>
                <w:bCs w:val="false"/>
                <w:sz w:val="20"/>
                <w:szCs w:val="20"/>
              </w:rPr>
              <w:t xml:space="preserve">A physical point in the distribution network (e.g., port, regional hub) used as an origin, destination, or waypoint.</w:t>
            </w:r>
          </w:p>
        </w:tc>
      </w:tr>
      <w:tr>
        <w:tc>
          <w:tcPr>
            <w:tcW w:type="dxa" w:w="2600"/>
            <w:tcMar>
              <w:top w:type="dxa" w:w="60"/>
              <w:left w:type="dxa" w:w="100"/>
              <w:bottom w:type="dxa" w:w="60"/>
              <w:right w:type="dxa" w:w="100"/>
            </w:tcMar>
          </w:tcPr>
          <w:p>
            <w:r>
              <w:rPr>
                <w:b w:val="false"/>
                <w:bCs w:val="false"/>
                <w:sz w:val="20"/>
                <w:szCs w:val="20"/>
              </w:rPr>
              <w:t xml:space="preserve">District / Region</w:t>
            </w:r>
          </w:p>
        </w:tc>
        <w:tc>
          <w:tcPr>
            <w:tcW w:type="dxa" w:w="7900"/>
            <w:tcMar>
              <w:top w:type="dxa" w:w="60"/>
              <w:left w:type="dxa" w:w="100"/>
              <w:bottom w:type="dxa" w:w="60"/>
              <w:right w:type="dxa" w:w="100"/>
            </w:tcMar>
          </w:tcPr>
          <w:p>
            <w:r>
              <w:rPr>
                <w:b w:val="false"/>
                <w:bCs w:val="false"/>
                <w:sz w:val="20"/>
                <w:szCs w:val="20"/>
              </w:rPr>
              <w:t xml:space="preserve">Geographic groupings used to organize locations and to scope certain user roles.</w:t>
            </w:r>
          </w:p>
        </w:tc>
      </w:tr>
      <w:tr>
        <w:tc>
          <w:tcPr>
            <w:tcW w:type="dxa" w:w="2600"/>
            <w:tcMar>
              <w:top w:type="dxa" w:w="60"/>
              <w:left w:type="dxa" w:w="100"/>
              <w:bottom w:type="dxa" w:w="60"/>
              <w:right w:type="dxa" w:w="100"/>
            </w:tcMar>
          </w:tcPr>
          <w:p>
            <w:r>
              <w:rPr>
                <w:b w:val="false"/>
                <w:bCs w:val="false"/>
                <w:sz w:val="20"/>
                <w:szCs w:val="20"/>
              </w:rPr>
              <w:t xml:space="preserve">Inquiry User</w:t>
            </w:r>
          </w:p>
        </w:tc>
        <w:tc>
          <w:tcPr>
            <w:tcW w:type="dxa" w:w="7900"/>
            <w:tcMar>
              <w:top w:type="dxa" w:w="60"/>
              <w:left w:type="dxa" w:w="100"/>
              <w:bottom w:type="dxa" w:w="60"/>
              <w:right w:type="dxa" w:w="100"/>
            </w:tcMar>
          </w:tcPr>
          <w:p>
            <w:r>
              <w:rPr>
                <w:b w:val="false"/>
                <w:bCs w:val="false"/>
                <w:sz w:val="20"/>
                <w:szCs w:val="20"/>
              </w:rPr>
              <w:t xml:space="preserve">A user with read-only (search/view/export) access to the module.</w:t>
            </w:r>
          </w:p>
        </w:tc>
      </w:tr>
      <w:tr>
        <w:tc>
          <w:tcPr>
            <w:tcW w:type="dxa" w:w="2600"/>
            <w:tcMar>
              <w:top w:type="dxa" w:w="60"/>
              <w:left w:type="dxa" w:w="100"/>
              <w:bottom w:type="dxa" w:w="60"/>
              <w:right w:type="dxa" w:w="100"/>
            </w:tcMar>
          </w:tcPr>
          <w:p>
            <w:r>
              <w:rPr>
                <w:b w:val="false"/>
                <w:bCs w:val="false"/>
                <w:sz w:val="20"/>
                <w:szCs w:val="20"/>
              </w:rPr>
              <w:t xml:space="preserve">Admin User</w:t>
            </w:r>
          </w:p>
        </w:tc>
        <w:tc>
          <w:tcPr>
            <w:tcW w:type="dxa" w:w="7900"/>
            <w:tcMar>
              <w:top w:type="dxa" w:w="60"/>
              <w:left w:type="dxa" w:w="100"/>
              <w:bottom w:type="dxa" w:w="60"/>
              <w:right w:type="dxa" w:w="100"/>
            </w:tcMar>
          </w:tcPr>
          <w:p>
            <w:r>
              <w:rPr>
                <w:b w:val="false"/>
                <w:bCs w:val="false"/>
                <w:sz w:val="20"/>
                <w:szCs w:val="20"/>
              </w:rPr>
              <w:t xml:space="preserve">A user with full create/update/delete access to carrier and location 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Transportation Setup Module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6"/>
      <w:szCs w:val="26"/>
    </w:rPr>
  </w:style>
  <w:style w:type="paragraph" w:styleId="Heading3">
    <w:name w:val="Heading 3"/>
    <w:basedOn w:val="Normal"/>
    <w:next w:val="Normal"/>
    <w:qFormat/>
    <w:pPr>
      <w:spacing w:after="100" w:before="180"/>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2026-08-26T09:52:16.106Z</dcterms:created>
  <dcterms:modified xsi:type="dcterms:W3CDTF">2026-08-26T09:52:16.122Z</dcterms:modified>
</cp:coreProperties>
</file>

<file path=docProps/custom.xml><?xml version="1.0" encoding="utf-8"?>
<Properties xmlns="http://schemas.openxmlformats.org/officeDocument/2006/custom-properties" xmlns:vt="http://schemas.openxmlformats.org/officeDocument/2006/docPropsVTypes"/>
</file>