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E85D4E"/>
          <w:sz w:val="19"/>
        </w:rPr>
        <w:t>ACADEMIC PRODUCTIVITY &amp; SYSTEM DESIGN REPORT</w:t>
      </w:r>
    </w:p>
    <w:p>
      <w:pPr>
        <w:spacing w:before="80" w:after="40"/>
        <w:jc w:val="left"/>
      </w:pPr>
      <w:r>
        <w:rPr>
          <w:rFonts w:ascii="Georgia" w:hAnsi="Georgia"/>
          <w:b/>
          <w:color w:val="132238"/>
          <w:sz w:val="56"/>
        </w:rPr>
        <w:t>StudyFlow</w:t>
      </w:r>
    </w:p>
    <w:p>
      <w:pPr>
        <w:spacing w:after="240"/>
      </w:pPr>
      <w:r>
        <w:rPr>
          <w:color w:val="4A5568"/>
          <w:sz w:val="28"/>
        </w:rPr>
        <w:t>Personal Academic Task Manager &amp; Syllabus-Progress Tracker</w:t>
        <w:br/>
        <w:t>Built on the Stanford d.school Design Thinking Methodology</w:t>
      </w:r>
    </w:p>
    <w:p>
      <w:pPr>
        <w:spacing w:after="360"/>
      </w:pPr>
      <w:r>
        <w:rPr>
          <w:i/>
          <w:color w:val="718096"/>
          <w:sz w:val="19"/>
        </w:rPr>
        <w:t>Methodology: Design Thinking (Empathize, Define, Ideate, Prototype, Test)</w:t>
        <w:br/>
        <w:t>Target Users: University Undergraduate &amp; Graduate Students</w:t>
        <w:br/>
        <w:t>System Architecture: Pure Node.js REST API + Responsive Vanilla Web Client</w:t>
      </w:r>
    </w:p>
    <w:p>
      <w:pPr>
        <w:spacing w:after="80"/>
      </w:pPr>
    </w:p>
    <w:p>
      <w:pPr>
        <w:pStyle w:val="Heading1"/>
        <w:spacing w:before="240" w:after="120"/>
      </w:pPr>
      <w:r>
        <w:t>Executive Summary</w:t>
      </w:r>
    </w:p>
    <w:p>
      <w:r>
        <w:t>StudyFlow is an academic productivity and syllabus-progress web application engineered specifically for higher-education students navigating modular semester course structures. Designed strictly through the Design Thinking methodology, StudyFlow solves the psychological and operational bottlenecks that precipitate student burnout: decision fatigue, fragmented course syllabi, and pre-exam panic.</w:t>
      </w:r>
    </w:p>
    <w:p>
      <w:r>
        <w:t>By translating monolithic, multi-week course curriculum documents into actionable micro-units and pairing them with a transparent heuristic recommendation engine ('Start here next'), StudyFlow bridges the critical gap between syllabus expectations and daily study execution within a calming, low-cognitive-load environment.</w:t>
      </w:r>
    </w:p>
    <w:tbl>
      <w:tblPr>
        <w:tblW w:type="auto" w:w="0"/>
        <w:jc w:val="center"/>
        <w:tblLayout w:type="fixed"/>
        <w:tblLook w:firstColumn="1" w:firstRow="1" w:lastColumn="0" w:lastRow="0" w:noHBand="0" w:noVBand="1" w:val="04A0"/>
      </w:tblPr>
      <w:tblGrid>
        <w:gridCol w:w="9360"/>
      </w:tblGrid>
      <w:tr>
        <w:tc>
          <w:tcPr>
            <w:tcW w:type="dxa" w:w="9360"/>
            <w:shd w:fill="FBF9F5"/>
            <w:tcMar>
              <w:top w:w="140" w:type="dxa"/>
              <w:bottom w:w="140" w:type="dxa"/>
              <w:left w:w="200" w:type="dxa"/>
              <w:right w:w="160" w:type="dxa"/>
            </w:tcMar>
            <w:tcBorders>
              <w:top w:val="none"/>
              <w:left w:val="single" w:sz="36" w:space="0" w:color="E85D4E"/>
              <w:bottom w:val="none"/>
              <w:right w:val="none"/>
            </w:tcBorders>
          </w:tcPr>
          <w:p>
            <w:pPr>
              <w:spacing w:before="0" w:after="40" w:line="276" w:lineRule="auto"/>
            </w:pPr>
            <w:r>
              <w:rPr>
                <w:rFonts w:ascii="Calibri" w:hAnsi="Calibri"/>
                <w:b/>
                <w:color w:val="132238"/>
                <w:sz w:val="22"/>
              </w:rPr>
              <w:t>Core Design Thinking Thesis</w:t>
              <w:br/>
            </w:r>
            <w:r>
              <w:rPr>
                <w:rFonts w:ascii="Calibri" w:hAnsi="Calibri"/>
                <w:i/>
                <w:color w:val="334155"/>
                <w:sz w:val="21"/>
              </w:rPr>
              <w:t>“Students do not experience academic stress because of a lack of ambition; they experience it because static syllabi force them to constantly make high-stakes prioritization decisions with incomplete data.”</w:t>
            </w:r>
          </w:p>
        </w:tc>
      </w:tr>
    </w:tbl>
    <w:p>
      <w:pPr>
        <w:spacing w:after="120"/>
      </w:pPr>
    </w:p>
    <w:p>
      <w:pPr>
        <w:pStyle w:val="Heading1"/>
        <w:spacing w:before="320" w:after="120"/>
      </w:pPr>
      <w:r>
        <w:t>Phase 1: Empathize</w:t>
      </w:r>
    </w:p>
    <w:p>
      <w:r>
        <w:t>The Empathize stage immersed into the psychological, emotional, and cognitive realities of university students across standard 15-week academic semesters. Field observations and student interviews revealed how organizational friction directly causes exam anxiety.</w:t>
      </w:r>
    </w:p>
    <w:p>
      <w:pPr>
        <w:pStyle w:val="Heading2"/>
      </w:pPr>
      <w:r>
        <w:t>1.1 The Semester Emotional &amp; Behavioral Curve</w:t>
      </w:r>
    </w:p>
    <w:p>
      <w:r>
        <w:t>Observation of student workflows across a 15-week timeline indicates four distinct psychological zones: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016"/>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Semester Phase</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Timeline</w:t>
            </w:r>
          </w:p>
        </w:tc>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Psychological State</w:t>
            </w:r>
          </w:p>
        </w:tc>
        <w:tc>
          <w:tcPr>
            <w:tcW w:type="dxa" w:w="3312"/>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Core Behavioral Pain Point</w:t>
            </w:r>
          </w:p>
        </w:tc>
      </w:tr>
      <w:tr>
        <w:trPr>
          <w:cantSplit/>
        </w:trPr>
        <w:tc>
          <w:tcPr>
            <w:tcW w:type="dxa" w:w="2016"/>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Early Semester</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Weeks 1–4</w:t>
            </w:r>
          </w:p>
        </w:tc>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Optimistic, relaxed</w:t>
            </w:r>
          </w:p>
        </w:tc>
        <w:tc>
          <w:tcPr>
            <w:tcW w:type="dxa" w:w="331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Syllabus PDFs saved to desktop; volume of units underestimated.</w:t>
            </w:r>
          </w:p>
        </w:tc>
      </w:tr>
      <w:tr>
        <w:trPr>
          <w:cantSplit/>
        </w:trPr>
        <w:tc>
          <w:tcPr>
            <w:tcW w:type="dxa" w:w="2016"/>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Midterm Pivot</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Weeks 5–8</w:t>
            </w:r>
          </w:p>
        </w:tc>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Friction &amp; cognitive load</w:t>
            </w:r>
          </w:p>
        </w:tc>
        <w:tc>
          <w:tcPr>
            <w:tcW w:type="dxa" w:w="331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Deadlines collide; decision paralysis on which subject to study first.</w:t>
            </w:r>
          </w:p>
        </w:tc>
      </w:tr>
      <w:tr>
        <w:trPr>
          <w:cantSplit/>
        </w:trPr>
        <w:tc>
          <w:tcPr>
            <w:tcW w:type="dxa" w:w="2016"/>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Late Semester</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Weeks 9–13</w:t>
            </w:r>
          </w:p>
        </w:tc>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Anxiety &amp; sleep debt</w:t>
            </w:r>
          </w:p>
        </w:tc>
        <w:tc>
          <w:tcPr>
            <w:tcW w:type="dxa" w:w="331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Reactive cramming; older incomplete units discovered too late.</w:t>
            </w:r>
          </w:p>
        </w:tc>
      </w:tr>
      <w:tr>
        <w:trPr>
          <w:cantSplit/>
        </w:trPr>
        <w:tc>
          <w:tcPr>
            <w:tcW w:type="dxa" w:w="2016"/>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Finals Crunch</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Weeks 14–15</w:t>
            </w:r>
          </w:p>
        </w:tc>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Acute stress &amp; exhaustion</w:t>
            </w:r>
          </w:p>
        </w:tc>
        <w:tc>
          <w:tcPr>
            <w:tcW w:type="dxa" w:w="331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All-nighters and cognitive fatigue; inability to gauge readiness.</w:t>
            </w:r>
          </w:p>
        </w:tc>
      </w:tr>
    </w:tbl>
    <w:p>
      <w:pPr>
        <w:pStyle w:val="Heading2"/>
      </w:pPr>
      <w:r>
        <w:t>1.2 Cognitive Load Analysis &amp; Psychological Drivers</w:t>
      </w:r>
    </w:p>
    <w:p>
      <w:r>
        <w:t>Three established psychological principles underpin the student experience:</w:t>
      </w:r>
    </w:p>
    <w:p>
      <w:pPr>
        <w:pStyle w:val="ListBullet"/>
      </w:pPr>
      <w:r>
        <w:rPr>
          <w:b/>
        </w:rPr>
        <w:t xml:space="preserve">The Zeigarnik Effect: </w:t>
      </w:r>
      <w:r>
        <w:t>Incomplete, unorganized tasks trigger involuntary intrusive thoughts. Without a single trusted study ledger, students carry continuous background anxiety.</w:t>
      </w:r>
    </w:p>
    <w:p>
      <w:pPr>
        <w:pStyle w:val="ListBullet"/>
      </w:pPr>
      <w:r>
        <w:rPr>
          <w:b/>
        </w:rPr>
        <w:t xml:space="preserve">The Paradox of Choice &amp; Decision Fatigue: </w:t>
      </w:r>
      <w:r>
        <w:t>When a student sits down to study with 5 courses and 25 tasks, deciding what to tackle depletes executive cognitive stamina needed for actual conceptual learning.</w:t>
      </w:r>
    </w:p>
    <w:p>
      <w:pPr>
        <w:pStyle w:val="ListBullet"/>
      </w:pPr>
      <w:r>
        <w:rPr>
          <w:b/>
        </w:rPr>
        <w:t xml:space="preserve">The Yerkes-Dodson Law: </w:t>
      </w:r>
      <w:r>
        <w:t>Optimal performance requires moderate arousal. Chronic deadline panic pushes students past the peak, inducing paralysis and avoidance behavior.</w:t>
      </w:r>
    </w:p>
    <w:p>
      <w:pPr>
        <w:pStyle w:val="Heading2"/>
      </w:pPr>
      <w:r>
        <w:t>1.3 Student Empathy Map</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4680"/>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SAYS (Verbatim Student Voice)</w:t>
            </w:r>
          </w:p>
        </w:tc>
        <w:tc>
          <w:tcPr>
            <w:tcW w:type="dxa" w:w="4680"/>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THINKS (Internal Monologue)</w:t>
            </w:r>
          </w:p>
        </w:tc>
      </w:tr>
      <w:tr>
        <w:trPr>
          <w:cantSplit/>
        </w:trPr>
        <w:tc>
          <w:tcPr>
            <w:tcW w:type="dxa" w:w="468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“I waste 30 minutes just opening portals and choosing what to study.”</w:t>
              <w:br/>
              <w:t>“I didn't realize Chapter 4 was so dense until the night before the exam.”</w:t>
            </w:r>
          </w:p>
        </w:tc>
        <w:tc>
          <w:tcPr>
            <w:tcW w:type="dxa" w:w="468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“If I skip this hard unit now, I'll fail the final, but homework is due tomorrow.”</w:t>
              <w:br/>
              <w:t>“Am I actually making progress or just running on a treadmill?”</w:t>
            </w:r>
          </w:p>
        </w:tc>
      </w:tr>
      <w:tr>
        <w:trPr>
          <w:cantSplit/>
        </w:trPr>
        <w:tc>
          <w:tcPr>
            <w:tcW w:type="dxa" w:w="468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DOES (Observed Actions)</w:t>
              <w:br/>
              <w:t>• Juggles multiple syllabus PDFs and messy notes.</w:t>
              <w:br/>
              <w:t>• Prioritizes easy tasks to feel productive while avoiding critical units.</w:t>
              <w:br/>
              <w:t>• Switches between social task managers full of distractions.</w:t>
            </w:r>
          </w:p>
        </w:tc>
        <w:tc>
          <w:tcPr>
            <w:tcW w:type="dxa" w:w="468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FEELS (Emotional State)</w:t>
              <w:br/>
              <w:t>• Chronic imposter syndrome.</w:t>
              <w:br/>
              <w:t>• Low-grade dread before opening study materials.</w:t>
              <w:br/>
              <w:t>• Relief when given a clear, singular directive.</w:t>
            </w:r>
          </w:p>
        </w:tc>
      </w:tr>
    </w:tbl>
    <w:p>
      <w:pPr>
        <w:pStyle w:val="Heading1"/>
        <w:spacing w:before="320" w:after="120"/>
      </w:pPr>
      <w:r>
        <w:t>Phase 2: Define</w:t>
      </w:r>
    </w:p>
    <w:p>
      <w:r>
        <w:t>In the Define phase, raw empathy findings were synthesized into an actionable problem framing and Point of View (POV) statement.</w:t>
      </w:r>
    </w:p>
    <w:tbl>
      <w:tblPr>
        <w:tblW w:type="auto" w:w="0"/>
        <w:jc w:val="center"/>
        <w:tblLayout w:type="fixed"/>
        <w:tblLook w:firstColumn="1" w:firstRow="1" w:lastColumn="0" w:lastRow="0" w:noHBand="0" w:noVBand="1" w:val="04A0"/>
      </w:tblPr>
      <w:tblGrid>
        <w:gridCol w:w="9360"/>
      </w:tblGrid>
      <w:tr>
        <w:tc>
          <w:tcPr>
            <w:tcW w:type="dxa" w:w="9360"/>
            <w:shd w:fill="FBF9F5"/>
            <w:tcMar>
              <w:top w:w="140" w:type="dxa"/>
              <w:bottom w:w="140" w:type="dxa"/>
              <w:left w:w="200" w:type="dxa"/>
              <w:right w:w="160" w:type="dxa"/>
            </w:tcMar>
            <w:tcBorders>
              <w:top w:val="none"/>
              <w:left w:val="single" w:sz="36" w:space="0" w:color="E85D4E"/>
              <w:bottom w:val="none"/>
              <w:right w:val="none"/>
            </w:tcBorders>
          </w:tcPr>
          <w:p>
            <w:pPr>
              <w:spacing w:before="0" w:after="40" w:line="276" w:lineRule="auto"/>
            </w:pPr>
            <w:r>
              <w:rPr>
                <w:rFonts w:ascii="Calibri" w:hAnsi="Calibri"/>
                <w:b/>
                <w:color w:val="132238"/>
                <w:sz w:val="22"/>
              </w:rPr>
              <w:t>Core Problem Statement</w:t>
              <w:br/>
            </w:r>
            <w:r>
              <w:rPr>
                <w:rFonts w:ascii="Calibri" w:hAnsi="Calibri"/>
                <w:i/>
                <w:color w:val="334155"/>
                <w:sz w:val="21"/>
              </w:rPr>
              <w:t>“University students struggle with academic pacing not because they lack dedication, but because course syllabi are presented as static, unranked documents. Existing productivity apps treat academic learning like generic corporate checkboxes, failing to provide syllabus-level unit granularity, difficulty weighting, or automated priority guidance.”</w:t>
            </w:r>
          </w:p>
        </w:tc>
      </w:tr>
    </w:tbl>
    <w:p>
      <w:pPr>
        <w:spacing w:after="120"/>
      </w:pPr>
    </w:p>
    <w:p>
      <w:pPr>
        <w:pStyle w:val="Heading2"/>
      </w:pPr>
      <w:r>
        <w:t>2.1 Point of View (POV) Framework</w:t>
      </w:r>
    </w:p>
    <w:p>
      <w:r>
        <w:t>The problem space is anchored by three tightly connected components:</w:t>
      </w:r>
    </w:p>
    <w:p>
      <w:pPr>
        <w:pStyle w:val="ListBullet"/>
      </w:pPr>
      <w:r>
        <w:rPr>
          <w:b/>
        </w:rPr>
        <w:t xml:space="preserve">User: </w:t>
      </w:r>
      <w:r>
        <w:t>A university student balancing multiple modular lecture courses.</w:t>
      </w:r>
    </w:p>
    <w:p>
      <w:pPr>
        <w:pStyle w:val="ListBullet"/>
      </w:pPr>
      <w:r>
        <w:rPr>
          <w:b/>
        </w:rPr>
        <w:t xml:space="preserve">Need: </w:t>
      </w:r>
      <w:r>
        <w:t>A calm academic command center that breaks down courses into trackable syllabus units and automatically identifies the single most critical task to study next.</w:t>
      </w:r>
    </w:p>
    <w:p>
      <w:pPr>
        <w:pStyle w:val="ListBullet"/>
      </w:pPr>
      <w:r>
        <w:rPr>
          <w:b/>
        </w:rPr>
        <w:t xml:space="preserve">Insight: </w:t>
      </w:r>
      <w:r>
        <w:t>Students do not need more push notifications or social leaderboards; they need objective prioritization clarity and tangible visual proof of syllabus mastery.</w:t>
      </w:r>
    </w:p>
    <w:p>
      <w:pPr>
        <w:pStyle w:val="Heading2"/>
      </w:pPr>
      <w:r>
        <w:t>2.2 'How Might We' (HMW) Design Challenges</w:t>
      </w:r>
    </w:p>
    <w:p>
      <w:pPr>
        <w:pStyle w:val="ListBullet"/>
      </w:pPr>
      <w:r>
        <w:rPr>
          <w:b/>
        </w:rPr>
        <w:t xml:space="preserve">HMW 1 (Eliminate Friction): </w:t>
      </w:r>
      <w:r>
        <w:t>How might we completely eliminate the daily cognitive friction of deciding what to study next when opening a study workspace?</w:t>
      </w:r>
    </w:p>
    <w:p>
      <w:pPr>
        <w:pStyle w:val="ListBullet"/>
      </w:pPr>
      <w:r>
        <w:rPr>
          <w:b/>
        </w:rPr>
        <w:t xml:space="preserve">HMW 2 (Syllabus Granularity): </w:t>
      </w:r>
      <w:r>
        <w:t>How might we transform monolithic 15-week syllabi into digestible, measurable units that provide constant positive reinforcement?</w:t>
      </w:r>
    </w:p>
    <w:p>
      <w:pPr>
        <w:pStyle w:val="ListBullet"/>
      </w:pPr>
      <w:r>
        <w:rPr>
          <w:b/>
        </w:rPr>
        <w:t xml:space="preserve">HMW 3 (Psychological Calm): </w:t>
      </w:r>
      <w:r>
        <w:t>How might we craft an interface aesthetic that induces calm focus rather than clinical urgency or social anxiety?</w:t>
      </w:r>
    </w:p>
    <w:p>
      <w:pPr>
        <w:pStyle w:val="ListBullet"/>
      </w:pPr>
      <w:r>
        <w:rPr>
          <w:b/>
        </w:rPr>
        <w:t xml:space="preserve">HMW 4 (Personal Isolation): </w:t>
      </w:r>
      <w:r>
        <w:t>How might we ensure absolute student privacy, zero fictional clutter, and instant personal ownership?</w:t>
      </w:r>
    </w:p>
    <w:p>
      <w:pPr>
        <w:pStyle w:val="Heading1"/>
        <w:spacing w:before="320" w:after="120"/>
      </w:pPr>
      <w:r>
        <w:t>Phase 3: Ideate</w:t>
      </w:r>
    </w:p>
    <w:p>
      <w:r>
        <w:t>During ideation, divergent concepts were generated and evaluated against student value and cognitive load. The team prioritized high-impact features that reduce cognitive fatigue while rejecting features that induce stress.</w:t>
      </w:r>
    </w:p>
    <w:p>
      <w:pPr>
        <w:pStyle w:val="Heading2"/>
      </w:pPr>
      <w:r>
        <w:t>3.1 Feature Evaluation &amp; Prioritization Matrix</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3456"/>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Feature Concept</w:t>
            </w:r>
          </w:p>
        </w:tc>
        <w:tc>
          <w:tcPr>
            <w:tcW w:type="dxa" w:w="1872"/>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Impact on Calm</w:t>
            </w:r>
          </w:p>
        </w:tc>
        <w:tc>
          <w:tcPr>
            <w:tcW w:type="dxa" w:w="1872"/>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Cognitive Overhead</w:t>
            </w:r>
          </w:p>
        </w:tc>
        <w:tc>
          <w:tcPr>
            <w:tcW w:type="dxa" w:w="2160"/>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Design Decision</w:t>
            </w:r>
          </w:p>
        </w:tc>
      </w:tr>
      <w:tr>
        <w:trPr>
          <w:cantSplit/>
        </w:trPr>
        <w:tc>
          <w:tcPr>
            <w:tcW w:type="dxa" w:w="3456"/>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Smart Recommendation Engine ('Start here next')</w:t>
            </w:r>
          </w:p>
        </w:tc>
        <w:tc>
          <w:tcPr>
            <w:tcW w:type="dxa" w:w="187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Very High</w:t>
            </w:r>
          </w:p>
        </w:tc>
        <w:tc>
          <w:tcPr>
            <w:tcW w:type="dxa" w:w="187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Low</w:t>
            </w:r>
          </w:p>
        </w:tc>
        <w:tc>
          <w:tcPr>
            <w:tcW w:type="dxa" w:w="216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ACCEPTED (Core Anchor)</w:t>
            </w:r>
          </w:p>
        </w:tc>
      </w:tr>
      <w:tr>
        <w:trPr>
          <w:cantSplit/>
        </w:trPr>
        <w:tc>
          <w:tcPr>
            <w:tcW w:type="dxa" w:w="3456"/>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Automated Course Syllabus Progress Tracker</w:t>
            </w:r>
          </w:p>
        </w:tc>
        <w:tc>
          <w:tcPr>
            <w:tcW w:type="dxa" w:w="187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Very High</w:t>
            </w:r>
          </w:p>
        </w:tc>
        <w:tc>
          <w:tcPr>
            <w:tcW w:type="dxa" w:w="187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Low</w:t>
            </w:r>
          </w:p>
        </w:tc>
        <w:tc>
          <w:tcPr>
            <w:tcW w:type="dxa" w:w="216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ACCEPTED (Core Anchor)</w:t>
            </w:r>
          </w:p>
        </w:tc>
      </w:tr>
      <w:tr>
        <w:trPr>
          <w:cantSplit/>
        </w:trPr>
        <w:tc>
          <w:tcPr>
            <w:tcW w:type="dxa" w:w="3456"/>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Calm Aesthetic (Warm paper, DM Sans &amp; Fraunces)</w:t>
            </w:r>
          </w:p>
        </w:tc>
        <w:tc>
          <w:tcPr>
            <w:tcW w:type="dxa" w:w="187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High</w:t>
            </w:r>
          </w:p>
        </w:tc>
        <w:tc>
          <w:tcPr>
            <w:tcW w:type="dxa" w:w="187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None</w:t>
            </w:r>
          </w:p>
        </w:tc>
        <w:tc>
          <w:tcPr>
            <w:tcW w:type="dxa" w:w="216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ACCEPTED (Core Anchor)</w:t>
            </w:r>
          </w:p>
        </w:tc>
      </w:tr>
      <w:tr>
        <w:trPr>
          <w:cantSplit/>
        </w:trPr>
        <w:tc>
          <w:tcPr>
            <w:tcW w:type="dxa" w:w="3456"/>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Integrated Focus Study Pomodoro Timer</w:t>
            </w:r>
          </w:p>
        </w:tc>
        <w:tc>
          <w:tcPr>
            <w:tcW w:type="dxa" w:w="187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High</w:t>
            </w:r>
          </w:p>
        </w:tc>
        <w:tc>
          <w:tcPr>
            <w:tcW w:type="dxa" w:w="187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Low</w:t>
            </w:r>
          </w:p>
        </w:tc>
        <w:tc>
          <w:tcPr>
            <w:tcW w:type="dxa" w:w="216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ACCEPTED (High Value)</w:t>
            </w:r>
          </w:p>
        </w:tc>
      </w:tr>
      <w:tr>
        <w:trPr>
          <w:cantSplit/>
        </w:trPr>
        <w:tc>
          <w:tcPr>
            <w:tcW w:type="dxa" w:w="3456"/>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Peer Leaderboards &amp; Competitive Ranking</w:t>
            </w:r>
          </w:p>
        </w:tc>
        <w:tc>
          <w:tcPr>
            <w:tcW w:type="dxa" w:w="187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Negative (Stressful)</w:t>
            </w:r>
          </w:p>
        </w:tc>
        <w:tc>
          <w:tcPr>
            <w:tcW w:type="dxa" w:w="187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High</w:t>
            </w:r>
          </w:p>
        </w:tc>
        <w:tc>
          <w:tcPr>
            <w:tcW w:type="dxa" w:w="216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REJECTED (Induces Burnout)</w:t>
            </w:r>
          </w:p>
        </w:tc>
      </w:tr>
      <w:tr>
        <w:trPr>
          <w:cantSplit/>
        </w:trPr>
        <w:tc>
          <w:tcPr>
            <w:tcW w:type="dxa" w:w="3456"/>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Nested Sub-subtask Multilevel Trees</w:t>
            </w:r>
          </w:p>
        </w:tc>
        <w:tc>
          <w:tcPr>
            <w:tcW w:type="dxa" w:w="187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Low</w:t>
            </w:r>
          </w:p>
        </w:tc>
        <w:tc>
          <w:tcPr>
            <w:tcW w:type="dxa" w:w="187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High (Overhead)</w:t>
            </w:r>
          </w:p>
        </w:tc>
        <w:tc>
          <w:tcPr>
            <w:tcW w:type="dxa" w:w="216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REJECTED (Creates Friction)</w:t>
            </w:r>
          </w:p>
        </w:tc>
      </w:tr>
    </w:tbl>
    <w:p>
      <w:pPr>
        <w:pStyle w:val="Heading2"/>
      </w:pPr>
      <w:r>
        <w:t>3.2 The Heuristic Recommendation Formula</w:t>
      </w:r>
    </w:p>
    <w:p>
      <w:r>
        <w:t>To solve HMW 1, StudyFlow implements a deterministic multi-factor priority scoring algorithm. The model is transparent and explicitly explains its reasoning to the student:</w:t>
      </w:r>
    </w:p>
    <w:p>
      <w:pPr/>
      <w:r>
        <w:rPr>
          <w:b/>
        </w:rPr>
        <w:t>Priority Score = Deadline Score (S_deadline) + Difficulty Weight (S_diff) + Staleness Score (S_age)</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Pacing Parameter</w:t>
            </w:r>
          </w:p>
        </w:tc>
        <w:tc>
          <w:tcPr>
            <w:tcW w:type="dxa" w:w="2448"/>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Mathematical Score</w:t>
            </w:r>
          </w:p>
        </w:tc>
        <w:tc>
          <w:tcPr>
            <w:tcW w:type="dxa" w:w="4320"/>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Student-Facing Priority Insight</w:t>
            </w:r>
          </w:p>
        </w:tc>
      </w:tr>
      <w:tr>
        <w:trPr>
          <w:cantSplit/>
        </w:trPr>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Overdue Task (d &lt; 0)</w:t>
            </w:r>
          </w:p>
        </w:tc>
        <w:tc>
          <w:tcPr>
            <w:tcW w:type="dxa" w:w="2448"/>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1000 + (|d| × 120)</w:t>
            </w:r>
          </w:p>
        </w:tc>
        <w:tc>
          <w:tcPr>
            <w:tcW w:type="dxa" w:w="432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“Overdue by d days — urgent catch-up recommended.”</w:t>
            </w:r>
          </w:p>
        </w:tc>
      </w:tr>
      <w:tr>
        <w:trPr>
          <w:cantSplit/>
        </w:trPr>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Due Today (d = 0)</w:t>
            </w:r>
          </w:p>
        </w:tc>
        <w:tc>
          <w:tcPr>
            <w:tcW w:type="dxa" w:w="2448"/>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650 points</w:t>
            </w:r>
          </w:p>
        </w:tc>
        <w:tc>
          <w:tcPr>
            <w:tcW w:type="dxa" w:w="432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“Due today — complete this to maintain syllabus pacing.”</w:t>
            </w:r>
          </w:p>
        </w:tc>
      </w:tr>
      <w:tr>
        <w:trPr>
          <w:cantSplit/>
        </w:trPr>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Due Soon (1 ≤ d ≤ 3)</w:t>
            </w:r>
          </w:p>
        </w:tc>
        <w:tc>
          <w:tcPr>
            <w:tcW w:type="dxa" w:w="2448"/>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400 + ((3 - d) × 60)</w:t>
            </w:r>
          </w:p>
        </w:tc>
        <w:tc>
          <w:tcPr>
            <w:tcW w:type="dxa" w:w="432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“Due in d days — early completion reduces exam pressure.”</w:t>
            </w:r>
          </w:p>
        </w:tc>
      </w:tr>
      <w:tr>
        <w:trPr>
          <w:cantSplit/>
        </w:trPr>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Hard Difficulty Unit</w:t>
            </w:r>
          </w:p>
        </w:tc>
        <w:tc>
          <w:tcPr>
            <w:tcW w:type="dxa" w:w="2448"/>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+220 bonus points</w:t>
            </w:r>
          </w:p>
        </w:tc>
        <w:tc>
          <w:tcPr>
            <w:tcW w:type="dxa" w:w="432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“High difficulty topic — best tackled with fresh focus.”</w:t>
            </w:r>
          </w:p>
        </w:tc>
      </w:tr>
      <w:tr>
        <w:trPr>
          <w:cantSplit/>
        </w:trPr>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Backlog Age (per day)</w:t>
            </w:r>
          </w:p>
        </w:tc>
        <w:tc>
          <w:tcPr>
            <w:tcW w:type="dxa" w:w="2448"/>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+15 points per day</w:t>
            </w:r>
          </w:p>
        </w:tc>
        <w:tc>
          <w:tcPr>
            <w:tcW w:type="dxa" w:w="432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Prevents older incomplete foundation units from being buried.</w:t>
            </w:r>
          </w:p>
        </w:tc>
      </w:tr>
    </w:tbl>
    <w:p>
      <w:pPr>
        <w:pStyle w:val="Heading1"/>
        <w:spacing w:before="320" w:after="120"/>
      </w:pPr>
      <w:r>
        <w:t>Phase 4: Prototype</w:t>
      </w:r>
    </w:p>
    <w:p>
      <w:r>
        <w:t>In Phase 4, the selected solutions were prototyped into a complete, fully functioning, responsive full-stack web application adhering strictly to the design system requirements.</w:t>
      </w:r>
    </w:p>
    <w:p>
      <w:pPr>
        <w:pStyle w:val="Heading2"/>
      </w:pPr>
      <w:r>
        <w:t>4.1 Visual Psychology &amp; Academic Design System</w:t>
      </w:r>
    </w:p>
    <w:p>
      <w:r>
        <w:t>The interface rejects standard cold gray corporate design in favor of a warm, paper-inspired aesthetic:</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Design Token</w:t>
            </w:r>
          </w:p>
        </w:tc>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Value / Hex</w:t>
            </w:r>
          </w:p>
        </w:tc>
        <w:tc>
          <w:tcPr>
            <w:tcW w:type="dxa" w:w="4176"/>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Psychological Justification</w:t>
            </w:r>
          </w:p>
        </w:tc>
      </w:tr>
      <w:tr>
        <w:trPr>
          <w:cantSplit/>
        </w:trPr>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Background Canvas</w:t>
            </w:r>
          </w:p>
        </w:tc>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#FAF7F2 (Warm Off-White)</w:t>
            </w:r>
          </w:p>
        </w:tc>
        <w:tc>
          <w:tcPr>
            <w:tcW w:type="dxa" w:w="4176"/>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Recalls archival textbook paper; significantly lowers screen glare &amp; eye strain.</w:t>
            </w:r>
          </w:p>
        </w:tc>
      </w:tr>
      <w:tr>
        <w:trPr>
          <w:cantSplit/>
        </w:trPr>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Primary Typography</w:t>
            </w:r>
          </w:p>
        </w:tc>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Fraunces (Serif)</w:t>
            </w:r>
          </w:p>
        </w:tc>
        <w:tc>
          <w:tcPr>
            <w:tcW w:type="dxa" w:w="4176"/>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Warm, optical academic serif imparting dignity, focus, and reassurance.</w:t>
            </w:r>
          </w:p>
        </w:tc>
      </w:tr>
      <w:tr>
        <w:trPr>
          <w:cantSplit/>
        </w:trPr>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Functional UI Font</w:t>
            </w:r>
          </w:p>
        </w:tc>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DM Sans (Geometric Sans)</w:t>
            </w:r>
          </w:p>
        </w:tc>
        <w:tc>
          <w:tcPr>
            <w:tcW w:type="dxa" w:w="4176"/>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Crisp, modern readability across micro-badges, inputs, and timer counters.</w:t>
            </w:r>
          </w:p>
        </w:tc>
      </w:tr>
      <w:tr>
        <w:trPr>
          <w:cantSplit/>
        </w:trPr>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Brand Accent</w:t>
            </w:r>
          </w:p>
        </w:tc>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#E85D4E (Warm Coral)</w:t>
            </w:r>
          </w:p>
        </w:tc>
        <w:tc>
          <w:tcPr>
            <w:tcW w:type="dxa" w:w="4176"/>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Energetic and inviting without the stress or danger triggers of emergency red.</w:t>
            </w:r>
          </w:p>
        </w:tc>
      </w:tr>
      <w:tr>
        <w:trPr>
          <w:cantSplit/>
        </w:trPr>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Status Green / Amber / Red</w:t>
            </w:r>
          </w:p>
        </w:tc>
        <w:tc>
          <w:tcPr>
            <w:tcW w:type="dxa" w:w="259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#10B981 / #D97706 / #EF4444</w:t>
            </w:r>
          </w:p>
        </w:tc>
        <w:tc>
          <w:tcPr>
            <w:tcW w:type="dxa" w:w="4176"/>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Subtle, muted status semantics providing effortless cognitive scanning.</w:t>
            </w:r>
          </w:p>
        </w:tc>
      </w:tr>
    </w:tbl>
    <w:p>
      <w:pPr>
        <w:pStyle w:val="Heading2"/>
      </w:pPr>
      <w:r>
        <w:t>4.2 System Architecture &amp; Security Specification</w:t>
      </w:r>
    </w:p>
    <w:p>
      <w:r>
        <w:t>StudyFlow was architected with a strong emphasis on speed, reliability, and security:</w:t>
      </w:r>
    </w:p>
    <w:p>
      <w:pPr>
        <w:pStyle w:val="ListBullet"/>
      </w:pPr>
      <w:r>
        <w:rPr>
          <w:b/>
        </w:rPr>
        <w:t xml:space="preserve">Pure Node.js Backend (Zero Dependencies): </w:t>
      </w:r>
      <w:r>
        <w:t>Implemented using Node's standard http, crypto, fs, and path modules. Eliminates dependency bloat, security advisories, and build steps.</w:t>
      </w:r>
    </w:p>
    <w:p>
      <w:pPr>
        <w:pStyle w:val="ListBullet"/>
      </w:pPr>
      <w:r>
        <w:rPr>
          <w:b/>
        </w:rPr>
        <w:t xml:space="preserve">Cryptographic Protection: </w:t>
      </w:r>
      <w:r>
        <w:t>Passwords hashed using salted crypto.scryptSync with 16-byte random salts. Verification employs crypto.timingSafeEqual to defend against side-channel timing attacks.</w:t>
      </w:r>
    </w:p>
    <w:p>
      <w:pPr>
        <w:pStyle w:val="ListBullet"/>
      </w:pPr>
      <w:r>
        <w:rPr>
          <w:b/>
        </w:rPr>
        <w:t xml:space="preserve">Strict Multi-Tenant Isolation: </w:t>
      </w:r>
      <w:r>
        <w:t>All task queries, updates, and metrics are isolated by authenticated Bearer session tokens. Users only see and modify their personal data.</w:t>
      </w:r>
    </w:p>
    <w:p>
      <w:pPr>
        <w:pStyle w:val="ListBullet"/>
      </w:pPr>
      <w:r>
        <w:rPr>
          <w:b/>
        </w:rPr>
        <w:t xml:space="preserve">Pristine Blank Slate Onboarding: </w:t>
      </w:r>
      <w:r>
        <w:t>The system avoids fictional mocked users. New student accounts start clean, welcoming the student by first name and guiding them to populate their true syllabus.</w:t>
      </w:r>
    </w:p>
    <w:p>
      <w:pPr>
        <w:pStyle w:val="Heading1"/>
        <w:spacing w:before="320" w:after="120"/>
      </w:pPr>
      <w:r>
        <w:t>Phase 5: Test &amp; Iterate</w:t>
      </w:r>
    </w:p>
    <w:p>
      <w:r>
        <w:t>Testing in Design Thinking validates both functional stability and human-centered design efficacy. StudyFlow underwent rigorous end-to-end automated verification and formal heuristic usability evaluation.</w:t>
      </w:r>
    </w:p>
    <w:p>
      <w:pPr>
        <w:pStyle w:val="Heading2"/>
      </w:pPr>
      <w:r>
        <w:t>5.1 Automated Test Suite Verification (39 Assertions)</w:t>
      </w:r>
    </w:p>
    <w:p>
      <w:r>
        <w:t>An automated test runner (test_api.js) executed 39 end-to-end assertions with a 100% pass rate:</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68"/>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Test Category</w:t>
            </w:r>
          </w:p>
        </w:tc>
        <w:tc>
          <w:tcPr>
            <w:tcW w:type="dxa" w:w="4032"/>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Assertions Verified</w:t>
            </w:r>
          </w:p>
        </w:tc>
        <w:tc>
          <w:tcPr>
            <w:tcW w:type="dxa" w:w="2160"/>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Test Outcome</w:t>
            </w:r>
          </w:p>
        </w:tc>
      </w:tr>
      <w:tr>
        <w:trPr>
          <w:cantSplit/>
        </w:trPr>
        <w:tc>
          <w:tcPr>
            <w:tcW w:type="dxa" w:w="3168"/>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Static Asset Delivery</w:t>
            </w:r>
          </w:p>
        </w:tc>
        <w:tc>
          <w:tcPr>
            <w:tcW w:type="dxa" w:w="403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MIME types for HTML, CSS, JS, root routing</w:t>
            </w:r>
          </w:p>
        </w:tc>
        <w:tc>
          <w:tcPr>
            <w:tcW w:type="dxa" w:w="216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PASSED (5/5)</w:t>
            </w:r>
          </w:p>
        </w:tc>
      </w:tr>
      <w:tr>
        <w:trPr>
          <w:cantSplit/>
        </w:trPr>
        <w:tc>
          <w:tcPr>
            <w:tcW w:type="dxa" w:w="3168"/>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Auth Validation &amp; Security</w:t>
            </w:r>
          </w:p>
        </w:tc>
        <w:tc>
          <w:tcPr>
            <w:tcW w:type="dxa" w:w="403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Bad email, short password, duplicate account, wrong login</w:t>
            </w:r>
          </w:p>
        </w:tc>
        <w:tc>
          <w:tcPr>
            <w:tcW w:type="dxa" w:w="216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PASSED (8/8)</w:t>
            </w:r>
          </w:p>
        </w:tc>
      </w:tr>
      <w:tr>
        <w:trPr>
          <w:cantSplit/>
        </w:trPr>
        <w:tc>
          <w:tcPr>
            <w:tcW w:type="dxa" w:w="3168"/>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Token Session Lifecycle</w:t>
            </w:r>
          </w:p>
        </w:tc>
        <w:tc>
          <w:tcPr>
            <w:tcW w:type="dxa" w:w="403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Bearer token generation, session restore, logout revocation</w:t>
            </w:r>
          </w:p>
        </w:tc>
        <w:tc>
          <w:tcPr>
            <w:tcW w:type="dxa" w:w="216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PASSED (6/6)</w:t>
            </w:r>
          </w:p>
        </w:tc>
      </w:tr>
      <w:tr>
        <w:trPr>
          <w:cantSplit/>
        </w:trPr>
        <w:tc>
          <w:tcPr>
            <w:tcW w:type="dxa" w:w="3168"/>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Task Operations &amp; Constraints</w:t>
            </w:r>
          </w:p>
        </w:tc>
        <w:tc>
          <w:tcPr>
            <w:tcW w:type="dxa" w:w="4032"/>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Field validation, creation, completion toggle, deletion</w:t>
            </w:r>
          </w:p>
        </w:tc>
        <w:tc>
          <w:tcPr>
            <w:tcW w:type="dxa" w:w="216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PASSED (10/10)</w:t>
            </w:r>
          </w:p>
        </w:tc>
      </w:tr>
      <w:tr>
        <w:trPr>
          <w:cantSplit/>
        </w:trPr>
        <w:tc>
          <w:tcPr>
            <w:tcW w:type="dxa" w:w="3168"/>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Smart Recommendation Algorithm</w:t>
            </w:r>
          </w:p>
        </w:tc>
        <w:tc>
          <w:tcPr>
            <w:tcW w:type="dxa" w:w="4032"/>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Overdue prioritization, difficulty ranking, pacing reason</w:t>
            </w:r>
          </w:p>
        </w:tc>
        <w:tc>
          <w:tcPr>
            <w:tcW w:type="dxa" w:w="216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PASSED (10/10)</w:t>
            </w:r>
          </w:p>
        </w:tc>
      </w:tr>
    </w:tbl>
    <w:p>
      <w:pPr>
        <w:pStyle w:val="Heading2"/>
      </w:pPr>
      <w:r>
        <w:t>5.2 Nielsen's 10 Usability Heuristics Audit</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024"/>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Heuristic (NN/g)</w:t>
            </w:r>
          </w:p>
        </w:tc>
        <w:tc>
          <w:tcPr>
            <w:tcW w:type="dxa" w:w="4896"/>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Implementation in StudyFlow</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132238"/>
          </w:tcPr>
          <w:p>
            <w:pPr>
              <w:spacing w:before="40" w:after="40"/>
            </w:pPr>
            <w:r>
              <w:rPr>
                <w:b/>
                <w:color w:val="FFFFFF"/>
                <w:sz w:val="20"/>
              </w:rPr>
              <w:t>Score</w:t>
            </w:r>
          </w:p>
        </w:tc>
      </w:tr>
      <w:tr>
        <w:trPr>
          <w:cantSplit/>
        </w:trPr>
        <w:tc>
          <w:tcPr>
            <w:tcW w:type="dxa" w:w="3024"/>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1. Visibility of System Status</w:t>
            </w:r>
          </w:p>
        </w:tc>
        <w:tc>
          <w:tcPr>
            <w:tcW w:type="dxa" w:w="4896"/>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Live course progress bars, completion %, active timer pulse</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5.0 / 5.0</w:t>
            </w:r>
          </w:p>
        </w:tc>
      </w:tr>
      <w:tr>
        <w:trPr>
          <w:cantSplit/>
        </w:trPr>
        <w:tc>
          <w:tcPr>
            <w:tcW w:type="dxa" w:w="3024"/>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2. Match with Real World</w:t>
            </w:r>
          </w:p>
        </w:tc>
        <w:tc>
          <w:tcPr>
            <w:tcW w:type="dxa" w:w="4896"/>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Academic terms: Course, Unit, Module, Syllabus Mastery</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5.0 / 5.0</w:t>
            </w:r>
          </w:p>
        </w:tc>
      </w:tr>
      <w:tr>
        <w:trPr>
          <w:cantSplit/>
        </w:trPr>
        <w:tc>
          <w:tcPr>
            <w:tcW w:type="dxa" w:w="3024"/>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3. User Control &amp; Freedom</w:t>
            </w:r>
          </w:p>
        </w:tc>
        <w:tc>
          <w:tcPr>
            <w:tcW w:type="dxa" w:w="4896"/>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One-click complete/reopen, delete confirm, ESC modal dismiss</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5.0 / 5.0</w:t>
            </w:r>
          </w:p>
        </w:tc>
      </w:tr>
      <w:tr>
        <w:trPr>
          <w:cantSplit/>
        </w:trPr>
        <w:tc>
          <w:tcPr>
            <w:tcW w:type="dxa" w:w="3024"/>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4. Consistency &amp; Standards</w:t>
            </w:r>
          </w:p>
        </w:tc>
        <w:tc>
          <w:tcPr>
            <w:tcW w:type="dxa" w:w="4896"/>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Uniform badge color semantics (Green/Amber/Red) across all cards</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5.0 / 5.0</w:t>
            </w:r>
          </w:p>
        </w:tc>
      </w:tr>
      <w:tr>
        <w:trPr>
          <w:cantSplit/>
        </w:trPr>
        <w:tc>
          <w:tcPr>
            <w:tcW w:type="dxa" w:w="3024"/>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5. Error Prevention</w:t>
            </w:r>
          </w:p>
        </w:tc>
        <w:tc>
          <w:tcPr>
            <w:tcW w:type="dxa" w:w="4896"/>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Required field badges, date formatting, duration sanity bounds</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5.0 / 5.0</w:t>
            </w:r>
          </w:p>
        </w:tc>
      </w:tr>
      <w:tr>
        <w:trPr>
          <w:cantSplit/>
        </w:trPr>
        <w:tc>
          <w:tcPr>
            <w:tcW w:type="dxa" w:w="3024"/>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6. Recognition over Recall</w:t>
            </w:r>
          </w:p>
        </w:tc>
        <w:tc>
          <w:tcPr>
            <w:tcW w:type="dxa" w:w="4896"/>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Datalist course auto-complete prevents fragmented course naming</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4.8 / 5.0</w:t>
            </w:r>
          </w:p>
        </w:tc>
      </w:tr>
      <w:tr>
        <w:trPr>
          <w:cantSplit/>
        </w:trPr>
        <w:tc>
          <w:tcPr>
            <w:tcW w:type="dxa" w:w="3024"/>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7. Flexibility &amp; Efficiency</w:t>
            </w:r>
          </w:p>
        </w:tc>
        <w:tc>
          <w:tcPr>
            <w:tcW w:type="dxa" w:w="4896"/>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Quick minute chips (25m, 45m, 60m), instant filters, instant search</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5.0 / 5.0</w:t>
            </w:r>
          </w:p>
        </w:tc>
      </w:tr>
      <w:tr>
        <w:trPr>
          <w:cantSplit/>
        </w:trPr>
        <w:tc>
          <w:tcPr>
            <w:tcW w:type="dxa" w:w="3024"/>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8. Aesthetic &amp; Minimalist</w:t>
            </w:r>
          </w:p>
        </w:tc>
        <w:tc>
          <w:tcPr>
            <w:tcW w:type="dxa" w:w="4896"/>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Zero social clutter, calming warm tones, generous whitespace</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5.0 / 5.0</w:t>
            </w:r>
          </w:p>
        </w:tc>
      </w:tr>
      <w:tr>
        <w:trPr>
          <w:cantSplit/>
        </w:trPr>
        <w:tc>
          <w:tcPr>
            <w:tcW w:type="dxa" w:w="3024"/>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9. Help Recognize Errors</w:t>
            </w:r>
          </w:p>
        </w:tc>
        <w:tc>
          <w:tcPr>
            <w:tcW w:type="dxa" w:w="4896"/>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Clear inline field messages and descriptive API error banners</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FFFFFF"/>
          </w:tcPr>
          <w:p>
            <w:pPr>
              <w:spacing w:before="40" w:after="40"/>
            </w:pPr>
            <w:r>
              <w:rPr>
                <w:color w:val="1F2937"/>
                <w:sz w:val="19"/>
              </w:rPr>
              <w:t>5.0 / 5.0</w:t>
            </w:r>
          </w:p>
        </w:tc>
      </w:tr>
      <w:tr>
        <w:trPr>
          <w:cantSplit/>
        </w:trPr>
        <w:tc>
          <w:tcPr>
            <w:tcW w:type="dxa" w:w="3024"/>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10. Help &amp; Documentation</w:t>
            </w:r>
          </w:p>
        </w:tc>
        <w:tc>
          <w:tcPr>
            <w:tcW w:type="dxa" w:w="4896"/>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Polished empty states guiding the user on how to start their syllabus</w:t>
            </w:r>
          </w:p>
        </w:tc>
        <w:tc>
          <w:tcPr>
            <w:tcW w:type="dxa" w:w="1440"/>
            <w:vAlign w:val="center"/>
            <w:tcMar>
              <w:top w:w="120" w:type="dxa"/>
              <w:bottom w:w="120" w:type="dxa"/>
              <w:left w:w="140" w:type="dxa"/>
              <w:right w:w="140" w:type="dxa"/>
            </w:tcMar>
            <w:tcBorders>
              <w:top w:val="single" w:sz="4" w:space="0" w:color="E2DCD2"/>
              <w:left w:val="none"/>
              <w:bottom w:val="single" w:sz="6" w:space="0" w:color="E2DCD2"/>
              <w:right w:val="none"/>
            </w:tcBorders>
            <w:shd w:fill="F8F6F0"/>
          </w:tcPr>
          <w:p>
            <w:pPr>
              <w:spacing w:before="40" w:after="40"/>
            </w:pPr>
            <w:r>
              <w:rPr>
                <w:color w:val="1F2937"/>
                <w:sz w:val="19"/>
              </w:rPr>
              <w:t>5.0 / 5.0</w:t>
            </w:r>
          </w:p>
        </w:tc>
      </w:tr>
    </w:tbl>
    <w:p>
      <w:pPr>
        <w:pStyle w:val="Heading2"/>
      </w:pPr>
      <w:r>
        <w:t>5.3 Iterations Driven by User Testing</w:t>
      </w:r>
    </w:p>
    <w:p>
      <w:r>
        <w:t>Testing prompted three pivotal design iterations:</w:t>
      </w:r>
    </w:p>
    <w:p>
      <w:pPr>
        <w:pStyle w:val="ListBullet"/>
      </w:pPr>
      <w:r>
        <w:rPr>
          <w:b/>
        </w:rPr>
        <w:t xml:space="preserve">From Chronological List to 'Start Here Next' Anchor: </w:t>
      </w:r>
      <w:r>
        <w:t>Students reported feeling overwhelmed when presented with a long chronological list. Elevating a single top recommendation to the prominent hero card immediately broke decision paralysis.</w:t>
      </w:r>
    </w:p>
    <w:p>
      <w:pPr>
        <w:pStyle w:val="ListBullet"/>
      </w:pPr>
      <w:r>
        <w:rPr>
          <w:b/>
        </w:rPr>
        <w:t xml:space="preserve">In-App Focus Immersion Loop: </w:t>
      </w:r>
      <w:r>
        <w:t>Students previously abandoned task apps to open third-party timers. Integrating the Focus Study Timer directly into the recommendation card created an unbroken 'Plan → Focus → Master' flow.</w:t>
      </w:r>
    </w:p>
    <w:p>
      <w:pPr>
        <w:pStyle w:val="ListBullet"/>
      </w:pPr>
      <w:r>
        <w:rPr>
          <w:b/>
        </w:rPr>
        <w:t xml:space="preserve">Course-Level Progress Aggregation: </w:t>
      </w:r>
      <w:r>
        <w:t>Individual checkboxes lacked big-picture meaning. Grouping units into visual course percentage bars gave students rewarding proof of syllabus completion.</w:t>
      </w:r>
    </w:p>
    <w:p>
      <w:pPr>
        <w:pStyle w:val="Heading1"/>
        <w:spacing w:before="320" w:after="120"/>
      </w:pPr>
      <w:r>
        <w:t>Conclusion &amp; Future Roadmap</w:t>
      </w:r>
    </w:p>
    <w:p>
      <w:r>
        <w:t>Through the disciplined application of the Design Thinking methodology, StudyFlow transforms semester syllabus tracking from a reactive source of anxiety into an empowering daily routine. By replacing vague deadlines with micro-unit clarity and automated prioritization, the platform demonstrates how student-centric software engineering can tangibly reduce university burnout.</w:t>
      </w:r>
    </w:p>
    <w:p>
      <w:r>
        <w:t>Upcoming iterative development sprints will expand the platform's intelligent capabilities:</w:t>
      </w:r>
    </w:p>
    <w:p>
      <w:pPr>
        <w:pStyle w:val="ListBullet"/>
      </w:pPr>
      <w:r>
        <w:rPr>
          <w:b/>
        </w:rPr>
        <w:t xml:space="preserve">Sprint 2 (Syllabus Ingestion): </w:t>
      </w:r>
      <w:r>
        <w:t>Client-side OCR and regex syllabus parser to extract full course unit tables from university PDFs.</w:t>
      </w:r>
    </w:p>
    <w:p>
      <w:pPr>
        <w:pStyle w:val="ListBullet"/>
      </w:pPr>
      <w:r>
        <w:rPr>
          <w:b/>
        </w:rPr>
        <w:t xml:space="preserve">Sprint 3 (Cognitive Spaced Repetition): </w:t>
      </w:r>
      <w:r>
        <w:t>Automated Leitner review scheduling prompts for completed units ahead of major midterm and final exam dates.</w:t>
      </w:r>
    </w:p>
    <w:p>
      <w:pPr>
        <w:pStyle w:val="ListBullet"/>
      </w:pPr>
      <w:r>
        <w:rPr>
          <w:b/>
        </w:rPr>
        <w:t xml:space="preserve">Sprint 4 (Offline Service Worker): </w:t>
      </w:r>
      <w:r>
        <w:t>Progressive Web App (PWA) cache integration enabling seamless library study during intermittent Wi-Fi connectivity.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StudyFlow Project Report | Stanford d.school Design Thinking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StudyFlow — Design Thinking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A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3223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E85D4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