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 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HiL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</w: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2013 Sep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 Entwicklung von ISO26262 Funktions </w:t>
      </w:r>
      <w:r>
        <w:rPr>
          <w:rFonts w:eastAsia="SimSun;宋体" w:cs="Cambria" w:ascii="Cambria" w:hAnsi="Cambria"/>
          <w:sz w:val="24"/>
          <w:szCs w:val="20"/>
          <w:lang w:eastAsia="zh-CN"/>
        </w:rPr>
        <w:t>S</w:t>
      </w:r>
      <w:r>
        <w:rPr>
          <w:rFonts w:eastAsia="SimSun;宋体" w:cs="Cambria" w:ascii="Cambria" w:hAnsi="Cambria"/>
          <w:sz w:val="24"/>
          <w:szCs w:val="20"/>
          <w:lang w:eastAsia="zh-CN"/>
        </w:rPr>
        <w:t>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>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von Antriebsstrang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Technischer Leiter und Koordinator für das 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utomatisierungs </w:t>
      </w:r>
      <w:r>
        <w:rPr>
          <w:rFonts w:eastAsia="SimSun;宋体" w:cs="Cambria" w:ascii="Cambria" w:hAnsi="Cambria"/>
          <w:sz w:val="24"/>
          <w:szCs w:val="20"/>
          <w:lang w:eastAsia="zh-CN"/>
        </w:rPr>
        <w:t>T</w:t>
      </w:r>
      <w:r>
        <w:rPr>
          <w:rFonts w:eastAsia="SimSun;宋体" w:cs="Cambria" w:ascii="Cambria" w:hAnsi="Cambria"/>
          <w:sz w:val="24"/>
          <w:szCs w:val="20"/>
          <w:lang w:eastAsia="zh-CN"/>
        </w:rPr>
        <w:t>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Last, Leerlaufdrehzahlregelung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Daten zum Modell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E-Haken-Generator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Reifenkonfigurationsberechnungsalgorithmus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 Proficiency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Proficiency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Native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LibreOffice/6.1.2.1$Linux_X86_64 LibreOffice_project/10$Build-1</Application>
  <Pages>3</Pages>
  <Words>496</Words>
  <Characters>3408</Characters>
  <CharactersWithSpaces>3820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2018-10-27T12:17:16Z</dcterms:modified>
  <cp:revision>118</cp:revision>
  <dc:subject/>
  <dc:title>A</dc:title>
</cp:coreProperties>
</file>