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HiL-Validierungsingenieur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>HiL-Validierungsingenieur</w:t>
      </w:r>
      <w:r>
        <w:rPr>
          <w:rFonts w:cs="Cambria" w:ascii="Cambria" w:hAnsi="Cambria"/>
          <w:sz w:val="24"/>
        </w:rPr>
        <w:t xml:space="preserve"> mit über </w:t>
      </w:r>
      <w:r>
        <w:rPr>
          <w:rFonts w:cs="Cambria" w:ascii="Cambria" w:hAnsi="Cambria"/>
          <w:b/>
          <w:bCs/>
          <w:sz w:val="24"/>
        </w:rPr>
        <w:t>8,5 Jahren</w:t>
      </w:r>
      <w:r>
        <w:rPr>
          <w:rFonts w:cs="Cambria" w:ascii="Cambria" w:hAnsi="Cambria"/>
          <w:sz w:val="24"/>
        </w:rPr>
        <w:t xml:space="preserve"> Erfahrung in der Entwicklung von Steuergeräte-Software und -Modellen, Steuergeräte-Prüftechniken, Testautomatisierung, HiL-Tests und Projektkoordination. Umfangreiches Wissen und Erfahrung im Bereich Antriebsstrang über die Breite des SW-Entwicklungsprozesses.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>Fachgebiet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6"/>
        <w:gridCol w:w="3724"/>
        <w:gridCol w:w="3158"/>
      </w:tblGrid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b w:val="false"/>
                <w:bCs w:val="false"/>
                <w:i w:val="false"/>
                <w:iCs w:val="false"/>
                <w:spacing w:val="-4"/>
                <w:sz w:val="22"/>
                <w:szCs w:val="22"/>
                <w:lang w:val="en-AU"/>
              </w:rPr>
              <w:t>Echtzeit Testautomatisierung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Mathematische Modellierung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Technischer Experte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HiL-Prüfung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SW Entwicklung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Programmierer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Testautomatisierung Entwicklung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ECU-Prüfung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Projekt-Koordination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/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  <w:t>Berufserfahrung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 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2013 Sep – Heute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eastAsia="Times New Roman" w:cs="Cambria" w:ascii="Cambria" w:hAnsi="Cambria"/>
          <w:b w:val="false"/>
          <w:bCs w:val="false"/>
          <w:iCs/>
          <w:color w:val="000000"/>
          <w:sz w:val="24"/>
          <w:szCs w:val="20"/>
          <w:lang w:val="en-US" w:eastAsia="zh-CN" w:bidi="ar-SA"/>
        </w:rPr>
        <w:t xml:space="preserve">Vor-Ort-Aufgaben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Testautomatisierung Entwicklung von Sensor diagnose funktionen, Aggregierte Drehmoment koordinations funktionen für Motorsteuergeräte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Testautomatisierung Entwicklung von ISO26262 Funktions Sicherheits relevanten Tests für Getriebesteuergeräte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Testautomatisierung Entwicklung von T1 GLIWA über REST API für Multi-Core-Controller-Timing-Messung und maximale CPU-Last messung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Werkzeug entwicklung für HiL-Anlagenmodell Offline-Parametrierung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Domänenwissen über zwei Hauptkomponenten des Antriebsstrangs - Motor und Getriebe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Technischer Leiter und Koordinator für das Testautomatisierungs Team von 9 Ingenieuren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Mehrere Vor-Ort-Aufgaben für V-Cycle-Software-Validierung, Internationale Zusammenarbeit und Kundenkoordinierungs themen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Robert BOSCH  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von Motor-ECU-Funktionen - Aktuator-Selbsttest, Drehmomentverteilung / -reservierung bei maximaler belastung, Leerlaufdrehzahl regelung in MATLAB und ASCET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mehrerer Werkzeuge - hauptsächlich Data zum Model (D2M) - zur Umwandlung von Autosar-Schnittstellendaten in ASCET-Modelle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Involviert in die Integration von kundenspezifischen AUTOSAR-Funktionen in ECU-SW und entwickelte notwendige Adapter für die Schnittstelle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 verschiedenen Effizienzverbesserungen und Werkzeugentwicklungen wie A2L-Extraktor, A2L-Generator, E-Hooks-Generator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), Chennai,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2010 Mar – 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des Reifen konfigurations berechnungs algorithmus in LogiCAD-KIBES 32 für die intelligente Reifensystem-Anzeigeeinheit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SW Entwicklung des Tell Tale Moduls, Power On Self Test für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Box-Test für integrierte Body Control-Module und Instrumentencluster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verschiedener Screens und Integration von Screens mit logischen Modulen für ITS.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Kompetenzen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99"/>
        <w:gridCol w:w="1801"/>
        <w:gridCol w:w="1803"/>
        <w:gridCol w:w="1801"/>
        <w:gridCol w:w="1803"/>
        <w:gridCol w:w="1792"/>
      </w:tblGrid>
      <w:tr>
        <w:trPr>
          <w:tblHeader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Modelings 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Programmier Sprachen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Steuergeräte  Werkzeuge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 CANalyzer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Provetech:TA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T1 GLIWA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Process 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Betriebs  System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Sprachkompetenz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00"/>
        <w:gridCol w:w="1800"/>
        <w:gridCol w:w="1803"/>
        <w:gridCol w:w="1800"/>
        <w:gridCol w:w="1800"/>
        <w:gridCol w:w="179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Deutsch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Grundkenntnisse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bookmarkStart w:id="0" w:name="__DdeLink__781_3284285094"/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Englisch</w:t>
            </w:r>
            <w:bookmarkEnd w:id="0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Fließend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Tamilisch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Muttersprache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Bildung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Engineering, Electronics and Communication Engineering, 77%, 2004 - 2008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ANNA UNIVERSITY | Saranathan College of Engineering, Trichy, Tamil Nadu</w:t>
      </w:r>
    </w:p>
    <w:p>
      <w:pPr>
        <w:pStyle w:val="TextBody"/>
        <w:spacing w:lineRule="auto" w:line="240" w:before="0" w:after="0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Leistung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Star Performer of the Year Award @ Mercedes (2017) </w:t>
      </w:r>
      <w:r>
        <w:rPr>
          <w:rFonts w:eastAsia="SimSun;宋体" w:cs="Cambria" w:ascii="Cambria" w:hAnsi="Cambria"/>
          <w:sz w:val="24"/>
          <w:szCs w:val="20"/>
          <w:lang w:eastAsia="zh-CN"/>
        </w:rPr>
        <w:t>-  Getriebe Test Entwicklung Bereich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Above and Beyond Call of Duty (ABCD) Award @ Mercedes (2015)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Motorsensor Tests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One Time Achievement (OTA) Award @ BOSCH (2012) 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– Konzeption und Implementierung von Data zum Model (D2M) </w:t>
      </w:r>
      <w:r>
        <w:rPr>
          <w:rFonts w:eastAsia="SimSun;宋体" w:cs="Cambria" w:ascii="Cambria" w:hAnsi="Cambria"/>
          <w:sz w:val="24"/>
          <w:szCs w:val="20"/>
          <w:lang w:eastAsia="zh-CN"/>
        </w:rPr>
        <w:t>K</w:t>
      </w:r>
      <w:r>
        <w:rPr>
          <w:rFonts w:eastAsia="SimSun;宋体" w:cs="Cambria" w:ascii="Cambria" w:hAnsi="Cambria"/>
          <w:sz w:val="24"/>
          <w:szCs w:val="20"/>
          <w:lang w:eastAsia="zh-CN"/>
        </w:rPr>
        <w:t>onverter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10th Standard – 84% - </w:t>
      </w: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>Schule Erst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12th Standard – 93% </w:t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21">
    <w:name w:val="ListLabel 21"/>
    <w:qFormat/>
    <w:rPr>
      <w:rFonts w:ascii="Cambria" w:hAnsi="Cambria" w:cs="Wingdings"/>
      <w:sz w:val="22"/>
    </w:rPr>
  </w:style>
  <w:style w:type="character" w:styleId="ListLabel22">
    <w:name w:val="ListLabel 22"/>
    <w:qFormat/>
    <w:rPr>
      <w:rFonts w:ascii="Cambria" w:hAnsi="Cambria" w:cs="Symbol"/>
      <w:sz w:val="24"/>
    </w:rPr>
  </w:style>
  <w:style w:type="character" w:styleId="ListLabel23">
    <w:name w:val="ListLabel 23"/>
    <w:qFormat/>
    <w:rPr>
      <w:rFonts w:cs="Courier New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ascii="Cambria" w:hAnsi="Cambria" w:cs="Symbol"/>
      <w:sz w:val="24"/>
    </w:rPr>
  </w:style>
  <w:style w:type="character" w:styleId="ListLabel32">
    <w:name w:val="ListLabel 32"/>
    <w:qFormat/>
    <w:rPr>
      <w:rFonts w:cs="Courier New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Wingdings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41">
    <w:name w:val="ListLabel 41"/>
    <w:qFormat/>
    <w:rPr>
      <w:rFonts w:ascii="Cambria" w:hAnsi="Cambria" w:cs="Wingdings"/>
      <w:sz w:val="22"/>
    </w:rPr>
  </w:style>
  <w:style w:type="character" w:styleId="ListLabel42">
    <w:name w:val="ListLabel 42"/>
    <w:qFormat/>
    <w:rPr>
      <w:rFonts w:ascii="Cambria" w:hAnsi="Cambria" w:cs="Symbol"/>
      <w:sz w:val="24"/>
    </w:rPr>
  </w:style>
  <w:style w:type="character" w:styleId="ListLabel43">
    <w:name w:val="ListLabel 43"/>
    <w:qFormat/>
    <w:rPr>
      <w:rFonts w:cs="Courier New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ascii="Cambria" w:hAnsi="Cambria" w:cs="Symbol"/>
      <w:sz w:val="24"/>
    </w:rPr>
  </w:style>
  <w:style w:type="character" w:styleId="ListLabel52">
    <w:name w:val="ListLabel 52"/>
    <w:qFormat/>
    <w:rPr>
      <w:rFonts w:cs="Courier New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61">
    <w:name w:val="ListLabel 61"/>
    <w:qFormat/>
    <w:rPr>
      <w:rFonts w:ascii="Cambria" w:hAnsi="Cambria" w:cs="Wingdings"/>
      <w:sz w:val="22"/>
    </w:rPr>
  </w:style>
  <w:style w:type="character" w:styleId="ListLabel62">
    <w:name w:val="ListLabel 62"/>
    <w:qFormat/>
    <w:rPr>
      <w:rFonts w:ascii="Cambria" w:hAnsi="Cambria" w:cs="Symbol"/>
      <w:sz w:val="24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Cambria" w:hAnsi="Cambria" w:cs="Symbol"/>
      <w:sz w:val="24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cs="Wingdings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81">
    <w:name w:val="ListLabel 81"/>
    <w:qFormat/>
    <w:rPr>
      <w:rFonts w:cs="Wingdings"/>
      <w:sz w:val="22"/>
    </w:rPr>
  </w:style>
  <w:style w:type="character" w:styleId="ListLabel82">
    <w:name w:val="ListLabel 82"/>
    <w:qFormat/>
    <w:rPr>
      <w:rFonts w:cs="Symbol"/>
      <w:sz w:val="24"/>
    </w:rPr>
  </w:style>
  <w:style w:type="character" w:styleId="ListLabel83">
    <w:name w:val="ListLabel 83"/>
    <w:qFormat/>
    <w:rPr>
      <w:rFonts w:cs="Courier New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Symbol"/>
      <w:sz w:val="24"/>
    </w:rPr>
  </w:style>
  <w:style w:type="character" w:styleId="ListLabel92">
    <w:name w:val="ListLabel 92"/>
    <w:qFormat/>
    <w:rPr>
      <w:rFonts w:cs="Courier New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101">
    <w:name w:val="ListLabel 101"/>
    <w:qFormat/>
    <w:rPr>
      <w:rFonts w:cs="Wingdings"/>
      <w:sz w:val="22"/>
    </w:rPr>
  </w:style>
  <w:style w:type="character" w:styleId="ListLabel102">
    <w:name w:val="ListLabel 102"/>
    <w:qFormat/>
    <w:rPr>
      <w:rFonts w:cs="Symbol"/>
      <w:sz w:val="24"/>
    </w:rPr>
  </w:style>
  <w:style w:type="character" w:styleId="ListLabel103">
    <w:name w:val="ListLabel 103"/>
    <w:qFormat/>
    <w:rPr>
      <w:rFonts w:cs="Courier New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Wingdings"/>
      <w:sz w:val="20"/>
    </w:rPr>
  </w:style>
  <w:style w:type="character" w:styleId="ListLabel111">
    <w:name w:val="ListLabel 111"/>
    <w:qFormat/>
    <w:rPr>
      <w:rFonts w:cs="Symbol"/>
      <w:sz w:val="24"/>
    </w:rPr>
  </w:style>
  <w:style w:type="character" w:styleId="ListLabel112">
    <w:name w:val="ListLabel 112"/>
    <w:qFormat/>
    <w:rPr>
      <w:rFonts w:cs="Courier New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cs="Wingdings"/>
      <w:sz w:val="20"/>
    </w:rPr>
  </w:style>
  <w:style w:type="character" w:styleId="ListLabel119">
    <w:name w:val="ListLabel 119"/>
    <w:qFormat/>
    <w:rPr>
      <w:rFonts w:cs="Wingdings"/>
      <w:sz w:val="20"/>
    </w:rPr>
  </w:style>
  <w:style w:type="character" w:styleId="ListLabel120">
    <w:name w:val="ListLabel 12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121">
    <w:name w:val="ListLabel 121"/>
    <w:qFormat/>
    <w:rPr>
      <w:rFonts w:cs="Wingdings"/>
      <w:sz w:val="22"/>
    </w:rPr>
  </w:style>
  <w:style w:type="character" w:styleId="ListLabel122">
    <w:name w:val="ListLabel 122"/>
    <w:qFormat/>
    <w:rPr>
      <w:rFonts w:cs="Symbol"/>
      <w:sz w:val="24"/>
    </w:rPr>
  </w:style>
  <w:style w:type="character" w:styleId="ListLabel123">
    <w:name w:val="ListLabel 123"/>
    <w:qFormat/>
    <w:rPr>
      <w:rFonts w:cs="Courier New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Wingdings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Symbol"/>
      <w:sz w:val="24"/>
    </w:rPr>
  </w:style>
  <w:style w:type="character" w:styleId="ListLabel132">
    <w:name w:val="ListLabel 132"/>
    <w:qFormat/>
    <w:rPr>
      <w:rFonts w:cs="Courier New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Wingdings"/>
      <w:sz w:val="20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LibreOffice/6.1.2.1$Linux_X86_64 LibreOffice_project/10$Build-1</Application>
  <Pages>2</Pages>
  <Words>489</Words>
  <Characters>3438</Characters>
  <CharactersWithSpaces>3846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2018-10-27T13:11:41Z</dcterms:modified>
  <cp:revision>143</cp:revision>
  <dc:subject/>
  <dc:title>A</dc:title>
</cp:coreProperties>
</file>