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F172A"/>
          <w:sz w:val="44"/>
        </w:rPr>
        <w:t>Central Attendance Management System (CAMS)</w:t>
      </w:r>
    </w:p>
    <w:p>
      <w:pPr>
        <w:spacing w:after="200"/>
      </w:pPr>
      <w:r>
        <w:rPr>
          <w:color w:val="64748B"/>
          <w:sz w:val="26"/>
        </w:rPr>
        <w:t>Live Presentation &amp; Technical Demo Script</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50" w:type="dxa"/>
              <w:right w:w="120" w:type="dxa"/>
            </w:tcMar>
            <w:tcBorders>
              <w:top w:val="none"/>
              <w:left w:val="single" w:sz="24" w:space="0" w:color="3B82F6"/>
              <w:bottom w:val="none"/>
              <w:right w:val="none"/>
            </w:tcBorders>
          </w:tcPr>
          <w:p>
            <w:pPr>
              <w:spacing w:before="40" w:after="40"/>
            </w:pPr>
            <w:r>
              <w:rPr>
                <w:b/>
                <w:color w:val="0F172A"/>
                <w:sz w:val="20"/>
              </w:rPr>
              <w:t>PRESENTATION METADATA</w:t>
              <w:br/>
            </w:r>
            <w:r>
              <w:rPr>
                <w:i w:val="0"/>
                <w:color w:val="1E293B"/>
                <w:sz w:val="19"/>
              </w:rPr>
              <w:t>Target Audience: Technical Interviewers, Project Evaluators, Clients</w:t>
              <w:br/>
              <w:t>Estimated Duration: 8 to 12 Minutes</w:t>
              <w:br/>
              <w:t>Live Swagger URL: http://localhost:8000/docs</w:t>
              <w:br/>
              <w:t>Live Email Demo: Real Gmail Delivery (Instant 5-Hour Exit Alert)</w:t>
            </w:r>
          </w:p>
        </w:tc>
      </w:tr>
    </w:tbl>
    <w:p>
      <w:pPr>
        <w:spacing w:after="40"/>
      </w:pPr>
    </w:p>
    <w:p>
      <w:pPr>
        <w:pStyle w:val="Heading1"/>
        <w:spacing w:before="280" w:after="80"/>
      </w:pPr>
      <w:r>
        <w:rPr>
          <w:b/>
          <w:color w:val="0F172A"/>
          <w:sz w:val="32"/>
        </w:rPr>
        <w:t>Pre-Demo Checklist (Prepare 5 Minutes Before)</w:t>
      </w:r>
    </w:p>
    <w:p>
      <w:pPr>
        <w:pStyle w:val="ListBullet"/>
        <w:spacing w:after="40"/>
      </w:pPr>
      <w:r>
        <w:rPr>
          <w:sz w:val="19"/>
        </w:rPr>
        <w:t>MongoDB is running locally on mongodb://localhost:27017.</w:t>
      </w:r>
    </w:p>
    <w:p>
      <w:pPr>
        <w:pStyle w:val="ListBullet"/>
        <w:spacing w:after="40"/>
      </w:pPr>
      <w:r>
        <w:rPr>
          <w:sz w:val="19"/>
        </w:rPr>
        <w:t>FastAPI Server is running in PowerShell: uvicorn app.main:app --reload --host 0.0.0.0 --port 8000</w:t>
      </w:r>
    </w:p>
    <w:p>
      <w:pPr>
        <w:pStyle w:val="ListBullet"/>
        <w:spacing w:after="40"/>
      </w:pPr>
      <w:r>
        <w:rPr>
          <w:sz w:val="19"/>
        </w:rPr>
        <w:t>Tab 1 opened: http://localhost:8000/docs (Swagger UI).</w:t>
      </w:r>
    </w:p>
    <w:p>
      <w:pPr>
        <w:pStyle w:val="ListBullet"/>
        <w:spacing w:after="40"/>
      </w:pPr>
      <w:r>
        <w:rPr>
          <w:sz w:val="19"/>
        </w:rPr>
        <w:t>Tab 2 opened: Gmail Inbox (vishrutha7104@gmail.com) ready to show the live email landing.</w:t>
      </w:r>
    </w:p>
    <w:p>
      <w:pPr>
        <w:pStyle w:val="ListBullet"/>
        <w:spacing w:after="40"/>
      </w:pPr>
      <w:r>
        <w:rPr>
          <w:sz w:val="19"/>
        </w:rPr>
        <w:t>Tab 3 opened: VS Code with project file tree expanded.</w:t>
      </w:r>
    </w:p>
    <w:p>
      <w:pPr>
        <w:pStyle w:val="Heading1"/>
        <w:spacing w:before="280" w:after="80"/>
      </w:pPr>
      <w:r>
        <w:rPr>
          <w:b/>
          <w:color w:val="0F172A"/>
          <w:sz w:val="32"/>
        </w:rPr>
        <w:t>Phase 1: Introduction &amp; The Problem Statement (1 - 2 mins)</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"Good morning / afternoon everyone.</w:t>
              <w:br/>
              <w:br/>
              <w:t>Today, I am presenting the Central Attendance Management System (CAMS) — an enterprise-grade backend service built with Python 3.12, FastAPI, and asynchronous MongoDB.</w:t>
              <w:br/>
              <w:br/>
              <w:t>Modern hybrid work environments require transparent, deterministic attendance policies. Many companies mandate that employees attend the office at least 3 days a week, complete a minimum of 15 hours per week, and maintain at least a 5-hour daily presence.</w:t>
              <w:br/>
              <w:br/>
              <w:t>Traditional HR systems only detect attendance shortfalls at the end of the month during payroll processing. By then, it is too late to correct.</w:t>
              <w:br/>
              <w:br/>
              <w:t>Our system solves this with instant, real-time enforcement:</w:t>
              <w:br/>
              <w:t>1. If an employee logs in and exits before completing the mandatory 5.0 hours, our backend detects the deficit the exact minute they clock out and immediately dispatches an executive alert email to that person.</w:t>
              <w:br/>
              <w:t>2. At the end of the week, an automated auditor evaluates the 3 days / 15 hours requirement.</w:t>
              <w:br/>
              <w:t>3. And importantly, our system features a smart leave adjustment engine: approved leaves and company holidays automatically lower the weekly targets so excused employees never receive wrongful non-compliance notices.</w:t>
              <w:br/>
              <w:br/>
              <w:t>Let's take a quick look at the codebase architecture, and then I will demonstrate the live email delivery."</w:t>
            </w:r>
          </w:p>
        </w:tc>
      </w:tr>
    </w:tbl>
    <w:p>
      <w:pPr>
        <w:spacing w:after="40"/>
      </w:pPr>
    </w:p>
    <w:p>
      <w:pPr>
        <w:pStyle w:val="Heading1"/>
        <w:spacing w:before="280" w:after="80"/>
      </w:pPr>
      <w:r>
        <w:rPr>
          <w:b/>
          <w:color w:val="0F172A"/>
          <w:sz w:val="32"/>
        </w:rPr>
        <w:t>Phase 2: Codebase Architecture &amp; File Walkthrough (2 mins)</w:t>
      </w:r>
    </w:p>
    <w:tbl>
      <w:tblPr>
        <w:tblW w:type="auto" w:w="0"/>
        <w:jc w:val="center"/>
        <w:tblLayout w:type="fixed"/>
        <w:tblLook w:firstColumn="1" w:firstRow="1" w:lastColumn="0" w:lastRow="0" w:noHBand="0" w:noVBand="1" w:val="04A0"/>
      </w:tblPr>
      <w:tblGrid>
        <w:gridCol w:w="9936"/>
      </w:tblGrid>
      <w:tr>
        <w:tc>
          <w:tcPr>
            <w:tcW w:type="dxa" w:w="9360"/>
            <w:shd w:fill="FFFBEB"/>
            <w:tcMar>
              <w:top w:w="100" w:type="dxa"/>
              <w:bottom w:w="100" w:type="dxa"/>
              <w:left w:w="150" w:type="dxa"/>
              <w:right w:w="120" w:type="dxa"/>
            </w:tcMar>
            <w:tcBorders>
              <w:top w:val="none"/>
              <w:left w:val="single" w:sz="24" w:space="0" w:color="F59E0B"/>
              <w:bottom w:val="none"/>
              <w:right w:val="none"/>
            </w:tcBorders>
          </w:tcPr>
          <w:p>
            <w:pPr>
              <w:spacing w:before="40" w:after="40"/>
            </w:pPr>
            <w:r>
              <w:rPr>
                <w:b/>
                <w:color w:val="0F172A"/>
                <w:sz w:val="20"/>
              </w:rPr>
              <w:t>PRESENTER ACTION</w:t>
              <w:br/>
            </w:r>
            <w:r>
              <w:rPr>
                <w:i w:val="0"/>
                <w:color w:val="1E293B"/>
                <w:sz w:val="19"/>
              </w:rPr>
              <w:t>Switch to VS Code and show the explorer tree.</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"The project follows a clean 3-tier enterprise architecture:</w:t>
              <w:br/>
              <w:br/>
              <w:t>• app/main.py: The FastAPI application entrypoint. We use the modern lifespan context manager to manage database connection pools gracefully and ensure indexes are automatically built on startup.</w:t>
              <w:br/>
              <w:t>• app/api/v1/: Contains our RESTful routers:</w:t>
              <w:br/>
              <w:t xml:space="preserve">   - attendance.py: Endpoints for clock-in (/entry), clock-out (/exit), and single-click combined sessions (/quick-record).</w:t>
              <w:br/>
              <w:t xml:space="preserve">   - leave.py: Allows employees to submit leave requests without needing admin credentials, plus admin approvals.</w:t>
              <w:br/>
              <w:t xml:space="preserve">   - employees.py: Full employee lifecycle CRUD operations.</w:t>
              <w:br/>
              <w:t xml:space="preserve">   - reports.py: Unified attendance compliance reports and downloadable CSV spreadsheets.</w:t>
              <w:br/>
              <w:t>• app/services/: Houses our core business rules:</w:t>
              <w:br/>
              <w:t xml:space="preserve">   - attendance_service.py: Computes session durations and immediately evaluates the 5-hour threshold on exit.</w:t>
              <w:br/>
              <w:t xml:space="preserve">   - policy_service.py: The deterministic rules engine auditing the 3-day / 15-hour policy with leave scaling.</w:t>
              <w:br/>
              <w:t xml:space="preserve">   - notification_service.py: Dispatches multi-part MIME emails with executive HTML templates and plain text fallbacks.</w:t>
              <w:br/>
              <w:t>• app/templates/: Houses daily_violation.html and weekly_violation.html for corporate email branding.</w:t>
              <w:br/>
              <w:t>• app/database/: Built strictly with PyMongo Async (AsyncMongoClient) for non-blocking I/O without heavy ORM overhead.</w:t>
              <w:br/>
              <w:t>• tests/: Validated with 39 automated tests covering auth, logic, and email dispatch with 100% pass rate."</w:t>
            </w:r>
          </w:p>
        </w:tc>
      </w:tr>
    </w:tbl>
    <w:p>
      <w:pPr>
        <w:spacing w:after="40"/>
      </w:pPr>
    </w:p>
    <w:p>
      <w:pPr>
        <w:pStyle w:val="Heading1"/>
        <w:spacing w:before="280" w:after="80"/>
      </w:pPr>
      <w:r>
        <w:rPr>
          <w:b/>
          <w:color w:val="0F172A"/>
          <w:sz w:val="32"/>
        </w:rPr>
        <w:t>Phase 3: How to Explain Gmail SMTP Setup (1 min)</w:t>
      </w:r>
    </w:p>
    <w:tbl>
      <w:tblPr>
        <w:tblW w:type="auto" w:w="0"/>
        <w:jc w:val="center"/>
        <w:tblLayout w:type="fixed"/>
        <w:tblLook w:firstColumn="1" w:firstRow="1" w:lastColumn="0" w:lastRow="0" w:noHBand="0" w:noVBand="1" w:val="04A0"/>
      </w:tblPr>
      <w:tblGrid>
        <w:gridCol w:w="9936"/>
      </w:tblGrid>
      <w:tr>
        <w:tc>
          <w:tcPr>
            <w:tcW w:type="dxa" w:w="9360"/>
            <w:shd w:fill="FFFBEB"/>
            <w:tcMar>
              <w:top w:w="100" w:type="dxa"/>
              <w:bottom w:w="100" w:type="dxa"/>
              <w:left w:w="150" w:type="dxa"/>
              <w:right w:w="120" w:type="dxa"/>
            </w:tcMar>
            <w:tcBorders>
              <w:top w:val="none"/>
              <w:left w:val="single" w:sz="24" w:space="0" w:color="F59E0B"/>
              <w:bottom w:val="none"/>
              <w:right w:val="none"/>
            </w:tcBorders>
          </w:tcPr>
          <w:p>
            <w:pPr>
              <w:spacing w:before="40" w:after="40"/>
            </w:pPr>
            <w:r>
              <w:rPr>
                <w:b/>
                <w:color w:val="0F172A"/>
                <w:sz w:val="20"/>
              </w:rPr>
              <w:t>PRESENTER ACTION</w:t>
              <w:br/>
            </w:r>
            <w:r>
              <w:rPr>
                <w:i w:val="0"/>
                <w:color w:val="1E293B"/>
                <w:sz w:val="19"/>
              </w:rPr>
              <w:t>Show the .env file on screen (mask sensitive credentials).</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"To ensure notifications reach real corporate inboxes reliably, we configured SMTP using Gmail's secure relay:</w:t>
              <w:br/>
              <w:br/>
              <w:t>1. In .env, we set EMAIL_DELIVERY_MODE=smtp, pointing to smtp.gmail.com on port 587 with TLS enabled (SMTP_USE_TLS=true).</w:t>
              <w:br/>
              <w:t>2. For authentication, Google blocks standard account passwords. Instead, we generate a dedicated 16-digit Google App Password:</w:t>
              <w:br/>
              <w:t xml:space="preserve">   • We enable 2-Step Verification on the Google Account.</w:t>
              <w:br/>
              <w:t xml:space="preserve">   • Under App Passwords, we create a dedicated 16-character token for CAMS Attendance and set it in .env.</w:t>
              <w:br/>
              <w:t xml:space="preserve">   • This allows the application to securely dispatch TLS-encrypted emails without exposing personal account credentials.</w:t>
              <w:br/>
              <w:br/>
              <w:t>Now, let's see the live system in action."</w:t>
            </w:r>
          </w:p>
        </w:tc>
      </w:tr>
    </w:tbl>
    <w:p>
      <w:pPr>
        <w:spacing w:after="40"/>
      </w:pPr>
    </w:p>
    <w:p>
      <w:pPr>
        <w:pStyle w:val="Heading1"/>
        <w:spacing w:before="280" w:after="80"/>
      </w:pPr>
      <w:r>
        <w:rPr>
          <w:b/>
          <w:color w:val="0F172A"/>
          <w:sz w:val="32"/>
        </w:rPr>
        <w:t>Phase 4: Live Interactive Swagger &amp; Email Demo (4 mins)</w:t>
      </w:r>
    </w:p>
    <w:tbl>
      <w:tblPr>
        <w:tblW w:type="auto" w:w="0"/>
        <w:jc w:val="center"/>
        <w:tblLayout w:type="fixed"/>
        <w:tblLook w:firstColumn="1" w:firstRow="1" w:lastColumn="0" w:lastRow="0" w:noHBand="0" w:noVBand="1" w:val="04A0"/>
      </w:tblPr>
      <w:tblGrid>
        <w:gridCol w:w="9936"/>
      </w:tblGrid>
      <w:tr>
        <w:tc>
          <w:tcPr>
            <w:tcW w:type="dxa" w:w="9360"/>
            <w:shd w:fill="FFFBEB"/>
            <w:tcMar>
              <w:top w:w="100" w:type="dxa"/>
              <w:bottom w:w="100" w:type="dxa"/>
              <w:left w:w="150" w:type="dxa"/>
              <w:right w:w="120" w:type="dxa"/>
            </w:tcMar>
            <w:tcBorders>
              <w:top w:val="none"/>
              <w:left w:val="single" w:sz="24" w:space="0" w:color="F59E0B"/>
              <w:bottom w:val="none"/>
              <w:right w:val="none"/>
            </w:tcBorders>
          </w:tcPr>
          <w:p>
            <w:pPr>
              <w:spacing w:before="40" w:after="40"/>
            </w:pPr>
            <w:r>
              <w:rPr>
                <w:b/>
                <w:color w:val="0F172A"/>
                <w:sz w:val="20"/>
              </w:rPr>
              <w:t>PRESENTER ACTION</w:t>
              <w:br/>
            </w:r>
            <w:r>
              <w:rPr>
                <w:i w:val="0"/>
                <w:color w:val="1E293B"/>
                <w:sz w:val="19"/>
              </w:rPr>
              <w:t>Switch your browser to http://localhost:8000/docs</w:t>
            </w:r>
          </w:p>
        </w:tc>
      </w:tr>
    </w:tbl>
    <w:p>
      <w:pPr>
        <w:spacing w:after="40"/>
      </w:pPr>
    </w:p>
    <w:p>
      <w:pPr>
        <w:pStyle w:val="Heading2"/>
        <w:spacing w:before="240" w:after="60"/>
      </w:pPr>
      <w:r>
        <w:rPr>
          <w:b/>
          <w:color w:val="1E293B"/>
          <w:sz w:val="26"/>
        </w:rPr>
        <w:t>Step 1: Admin Authentication</w:t>
      </w:r>
    </w:p>
    <w:p>
      <w:pPr>
        <w:spacing w:after="80"/>
      </w:pPr>
      <w:r>
        <w:rPr>
          <w:sz w:val="19"/>
        </w:rPr>
        <w:t>Go to POST /api/v1/auth/login. Submit {"username": "admin", "password": "Admin@123456"}. Copy the returned access_token and paste it into Swagger's green Authorize button.</w:t>
      </w:r>
    </w:p>
    <w:p>
      <w:pPr>
        <w:pStyle w:val="Heading2"/>
        <w:spacing w:before="240" w:after="60"/>
      </w:pPr>
      <w:r>
        <w:rPr>
          <w:b/>
          <w:color w:val="1E293B"/>
          <w:sz w:val="26"/>
        </w:rPr>
        <w:t>Step 2: Employee Verification</w:t>
      </w:r>
    </w:p>
    <w:p>
      <w:pPr>
        <w:spacing w:after="80"/>
      </w:pPr>
      <w:r>
        <w:rPr>
          <w:sz w:val="19"/>
        </w:rPr>
        <w:t>Show POST /api/v1/employees. Demonstrate that EMP-007 is registered with email vishrutha7104@gmail.com and department Engineering.</w:t>
      </w:r>
    </w:p>
    <w:p>
      <w:pPr>
        <w:pStyle w:val="Heading2"/>
        <w:spacing w:before="240" w:after="60"/>
      </w:pPr>
      <w:r>
        <w:rPr>
          <w:b/>
          <w:color w:val="1E293B"/>
          <w:sz w:val="26"/>
        </w:rPr>
        <w:t>Step 3: THE SHOWSTOPPER — Clock In at 9:00 AM &amp; Exit Under 5 Hours</w:t>
      </w:r>
    </w:p>
    <w:p>
      <w:pPr>
        <w:spacing w:after="80"/>
      </w:pPr>
      <w:r>
        <w:rPr>
          <w:sz w:val="19"/>
        </w:rPr>
        <w:t>1. Clock-in: POST /api/v1/attendance/entry with {"employee_id": "EMP-007", "entry_time": "09:00"}.</w:t>
        <w:br/>
        <w:t>2. Clock-out: POST /api/v1/attendance/exit with {"employee_id": "EMP-007", "exit_time": "12:00"}.</w:t>
        <w:br/>
        <w:t>3. Show Swagger JSON output: total_hours = 3.0, policy_alert dispatches alert email.</w:t>
        <w:br/>
        <w:t>4. Switch to Gmail Inbox tab live: Show the arriving email with corporate branding, employee badge, 3.0h completed, 5.0h required, and 2.0h deficit badge!</w:t>
      </w:r>
    </w:p>
    <w:p>
      <w:pPr>
        <w:pStyle w:val="Heading2"/>
        <w:spacing w:before="240" w:after="60"/>
      </w:pPr>
      <w:r>
        <w:rPr>
          <w:b/>
          <w:color w:val="1E293B"/>
          <w:sz w:val="26"/>
        </w:rPr>
        <w:t>Step 4: Self-Service Leave Request &amp; Policy Protection</w:t>
      </w:r>
    </w:p>
    <w:p>
      <w:pPr>
        <w:spacing w:after="80"/>
      </w:pPr>
      <w:r>
        <w:rPr>
          <w:sz w:val="19"/>
        </w:rPr>
        <w:t>1. Open POST /api/v1/leave (explain no admin token is required for employee submission).</w:t>
        <w:br/>
        <w:t>2. Submit leave for EMP-007 (Oct 12 - Oct 13, sick leave).</w:t>
        <w:br/>
        <w:t>3. Approve via PATCH /api/v1/leave/{id}/approve.</w:t>
        <w:br/>
        <w:t>4. Explain that approved leave days automatically scale down the weekly attendance requirements so excused employees are never flagged.</w:t>
      </w:r>
    </w:p>
    <w:p>
      <w:pPr>
        <w:pStyle w:val="Heading2"/>
        <w:spacing w:before="240" w:after="60"/>
      </w:pPr>
      <w:r>
        <w:rPr>
          <w:b/>
          <w:color w:val="1E293B"/>
          <w:sz w:val="26"/>
        </w:rPr>
        <w:t>Step 5: Run Weekly Compliance Audit On-Demand</w:t>
      </w:r>
    </w:p>
    <w:p>
      <w:pPr>
        <w:spacing w:after="80"/>
      </w:pPr>
      <w:r>
        <w:rPr>
          <w:sz w:val="19"/>
        </w:rPr>
        <w:t>Go to POST /api/v1/admin/monitoring/run. Set include_current_week=true. Execute and show the complete audit breakdown.</w:t>
      </w:r>
    </w:p>
    <w:p>
      <w:pPr>
        <w:pStyle w:val="Heading1"/>
        <w:spacing w:before="280" w:after="80"/>
      </w:pPr>
      <w:r>
        <w:rPr>
          <w:b/>
          <w:color w:val="0F172A"/>
          <w:sz w:val="32"/>
        </w:rPr>
        <w:t>Phase 5: Conclusion &amp; Summary (1 min)</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"To conclude:</w:t>
              <w:br/>
              <w:t>1. We delivered an enterprise-grade backend that enforces both daily (5 hrs) and weekly (3 days / 15 hrs) policies.</w:t>
              <w:br/>
              <w:t>2. Alerts are completely automated and real-time — the employee receives an official email the exact minute they clock out short of 5 hours.</w:t>
              <w:br/>
              <w:t>3. Leaves and holidays are intelligently accounted for to protect compliant employees.</w:t>
              <w:br/>
              <w:t>4. The entire system is built with modern asynchronous Python, robust error handling, and 39 automated tests.</w:t>
              <w:br/>
              <w:br/>
              <w:t>Thank you! I am now happy to take any questions."</w:t>
            </w:r>
          </w:p>
        </w:tc>
      </w:tr>
    </w:tbl>
    <w:p>
      <w:pPr>
        <w:spacing w:after="40"/>
      </w:pPr>
    </w:p>
    <w:p>
      <w:pPr>
        <w:pStyle w:val="Heading1"/>
        <w:spacing w:before="280" w:after="80"/>
      </w:pPr>
      <w:r>
        <w:rPr>
          <w:b/>
          <w:color w:val="0F172A"/>
          <w:sz w:val="32"/>
        </w:rPr>
        <w:t>Q&amp;A Cheatsheet (Common Questions &amp; Answers)</w:t>
      </w:r>
    </w:p>
    <w:tbl>
      <w:tblPr>
        <w:tblW w:type="auto" w:w="0"/>
        <w:jc w:val="center"/>
        <w:tblLook w:firstColumn="1" w:firstRow="1" w:lastColumn="0" w:lastRow="0" w:noHBand="0" w:noVBand="1" w:val="04A0"/>
      </w:tblPr>
      <w:tblGrid>
        <w:gridCol w:w="4968"/>
        <w:gridCol w:w="4968"/>
      </w:tblGrid>
      <w:tr>
        <w:tc>
          <w:tcPr>
            <w:tcW w:type="dxa" w:w="3600"/>
            <w:tcMar>
              <w:top w:w="80" w:type="dxa"/>
              <w:bottom w:w="80" w:type="dxa"/>
              <w:left w:w="100" w:type="dxa"/>
              <w:right w:w="100" w:type="dxa"/>
            </w:tcMar>
            <w:shd w:fill="1E293B"/>
          </w:tcPr>
          <w:p>
            <w:r>
              <w:rPr>
                <w:b/>
                <w:color w:val="FFFFFF"/>
                <w:sz w:val="19"/>
              </w:rPr>
              <w:t>Likely Question</w:t>
            </w:r>
          </w:p>
        </w:tc>
        <w:tc>
          <w:tcPr>
            <w:tcW w:type="dxa" w:w="5760"/>
            <w:tcMar>
              <w:top w:w="80" w:type="dxa"/>
              <w:bottom w:w="80" w:type="dxa"/>
              <w:left w:w="100" w:type="dxa"/>
              <w:right w:w="100" w:type="dxa"/>
            </w:tcMar>
            <w:shd w:fill="1E293B"/>
          </w:tcPr>
          <w:p>
            <w:r>
              <w:rPr>
                <w:b/>
                <w:color w:val="FFFFFF"/>
                <w:sz w:val="19"/>
              </w:rPr>
              <w:t>Winning Technical Answer</w:t>
            </w:r>
          </w:p>
        </w:tc>
      </w:tr>
      <w:tr>
        <w:tc>
          <w:tcPr>
            <w:tcW w:type="dxa" w:w="3600"/>
            <w:tcMar>
              <w:top w:w="80" w:type="dxa"/>
              <w:bottom w:w="80" w:type="dxa"/>
              <w:left w:w="100" w:type="dxa"/>
              <w:right w:w="100" w:type="dxa"/>
            </w:tcMar>
            <w:shd w:fill="F8FAFC"/>
          </w:tcPr>
          <w:p>
            <w:r>
              <w:rPr>
                <w:color w:val="1E293B"/>
                <w:sz w:val="18"/>
              </w:rPr>
              <w:t>Why PyMongo Async instead of Motor?</w:t>
            </w:r>
          </w:p>
        </w:tc>
        <w:tc>
          <w:tcPr>
            <w:tcW w:type="dxa" w:w="5760"/>
            <w:tcMar>
              <w:top w:w="80" w:type="dxa"/>
              <w:bottom w:w="80" w:type="dxa"/>
              <w:left w:w="100" w:type="dxa"/>
              <w:right w:w="100" w:type="dxa"/>
            </w:tcMar>
            <w:shd w:fill="F8FAFC"/>
          </w:tcPr>
          <w:p>
            <w:r>
              <w:rPr>
                <w:color w:val="1E293B"/>
                <w:sz w:val="18"/>
              </w:rPr>
              <w:t>Motor has known deprecation warnings on newer Python releases. PyMongo Async (AsyncMongoClient) provides native, zero-overhead asynchronous MongoDB drivers without unnecessary abstractions.</w:t>
            </w:r>
          </w:p>
        </w:tc>
      </w:tr>
      <w:tr>
        <w:tc>
          <w:tcPr>
            <w:tcW w:type="dxa" w:w="3600"/>
            <w:tcMar>
              <w:top w:w="80" w:type="dxa"/>
              <w:bottom w:w="80" w:type="dxa"/>
              <w:left w:w="100" w:type="dxa"/>
              <w:right w:w="100" w:type="dxa"/>
            </w:tcMar>
            <w:shd w:fill="FFFFFF"/>
          </w:tcPr>
          <w:p>
            <w:r>
              <w:rPr>
                <w:color w:val="1E293B"/>
                <w:sz w:val="18"/>
              </w:rPr>
              <w:t>What if an employee clocks in and out multiple times a day?</w:t>
            </w:r>
          </w:p>
        </w:tc>
        <w:tc>
          <w:tcPr>
            <w:tcW w:type="dxa" w:w="5760"/>
            <w:tcMar>
              <w:top w:w="80" w:type="dxa"/>
              <w:bottom w:w="80" w:type="dxa"/>
              <w:left w:w="100" w:type="dxa"/>
              <w:right w:w="100" w:type="dxa"/>
            </w:tcMar>
            <w:shd w:fill="FFFFFF"/>
          </w:tcPr>
          <w:p>
            <w:r>
              <w:rPr>
                <w:color w:val="1E293B"/>
                <w:sz w:val="18"/>
              </w:rPr>
              <w:t>CAMS aggregates all completed sessions for that date. If the combined active time is at least 5.0 hours, they are fully compliant.</w:t>
            </w:r>
          </w:p>
        </w:tc>
      </w:tr>
      <w:tr>
        <w:tc>
          <w:tcPr>
            <w:tcW w:type="dxa" w:w="3600"/>
            <w:tcMar>
              <w:top w:w="80" w:type="dxa"/>
              <w:bottom w:w="80" w:type="dxa"/>
              <w:left w:w="100" w:type="dxa"/>
              <w:right w:w="100" w:type="dxa"/>
            </w:tcMar>
            <w:shd w:fill="F8FAFC"/>
          </w:tcPr>
          <w:p>
            <w:r>
              <w:rPr>
                <w:color w:val="1E293B"/>
                <w:sz w:val="18"/>
              </w:rPr>
              <w:t>How are duplicate emails prevented during audits?</w:t>
            </w:r>
          </w:p>
        </w:tc>
        <w:tc>
          <w:tcPr>
            <w:tcW w:type="dxa" w:w="5760"/>
            <w:tcMar>
              <w:top w:w="80" w:type="dxa"/>
              <w:bottom w:w="80" w:type="dxa"/>
              <w:left w:w="100" w:type="dxa"/>
              <w:right w:w="100" w:type="dxa"/>
            </w:tcMar>
            <w:shd w:fill="F8FAFC"/>
          </w:tcPr>
          <w:p>
            <w:r>
              <w:rPr>
                <w:color w:val="1E293B"/>
                <w:sz w:val="18"/>
              </w:rPr>
              <w:t>We use an idempotent deduplication key in notification_logs formatted as {employee_id}::{week_start}::violation. If already sent, it skips redundant emails.</w:t>
            </w:r>
          </w:p>
        </w:tc>
      </w:tr>
      <w:tr>
        <w:tc>
          <w:tcPr>
            <w:tcW w:type="dxa" w:w="3600"/>
            <w:tcMar>
              <w:top w:w="80" w:type="dxa"/>
              <w:bottom w:w="80" w:type="dxa"/>
              <w:left w:w="100" w:type="dxa"/>
              <w:right w:w="100" w:type="dxa"/>
            </w:tcMar>
            <w:shd w:fill="FFFFFF"/>
          </w:tcPr>
          <w:p>
            <w:r>
              <w:rPr>
                <w:color w:val="1E293B"/>
                <w:sz w:val="18"/>
              </w:rPr>
              <w:t>Can this connect to biometric turnstiles?</w:t>
            </w:r>
          </w:p>
        </w:tc>
        <w:tc>
          <w:tcPr>
            <w:tcW w:type="dxa" w:w="5760"/>
            <w:tcMar>
              <w:top w:w="80" w:type="dxa"/>
              <w:bottom w:w="80" w:type="dxa"/>
              <w:left w:w="100" w:type="dxa"/>
              <w:right w:w="100" w:type="dxa"/>
            </w:tcMar>
            <w:shd w:fill="FFFFFF"/>
          </w:tcPr>
          <w:p>
            <w:r>
              <w:rPr>
                <w:color w:val="1E293B"/>
                <w:sz w:val="18"/>
              </w:rPr>
              <w:t>Yes. Turnstiles can hit POST /api/v1/attendance/entry and /exit directly on badge scan, or batch upload historical logs via /quick-record.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