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AI Contract Compliance &amp; Spend Intelligence Engine</w:t>
      </w:r>
    </w:p>
    <w:p>
      <w:pPr>
        <w:pStyle w:val="Subtitle"/>
      </w:pPr>
      <w:r>
        <w:t>Project Documentation</w:t>
      </w:r>
    </w:p>
    <w:p>
      <w:pPr>
        <w:pStyle w:val="Heading1"/>
      </w:pPr>
      <w:r>
        <w:t>1. Executive Summary</w:t>
      </w:r>
    </w:p>
    <w:p>
      <w:r>
        <w:t>The SAP AI Contract Compliance &amp; Spend Intelligence Engine is an SAP-oriented procurement compliance solution designed to identify contract violations, pricing deviations, invoice mismatches, maverick spend and potential financial leakage.</w:t>
      </w:r>
    </w:p>
    <w:p/>
    <w:p>
      <w:r>
        <w:t>The solution combines deterministic procurement controls with an AI analysis layer. SAP Ariba is treated as the intended procurement system of record, while PostgreSQL stores the transaction, contract, assessment and audit evidence used by the analytics and AI layers. FastAPI exposes the application APIs, LangGraph orchestrates the analysis workflow, and Gemini generates an evidence-grounded compliance explanation.</w:t>
      </w:r>
    </w:p>
    <w:p/>
    <w:p>
      <w:r>
        <w:t>The project is integration-ready rather than a live SAP tenant implementation. The public demonstration uses synthetic procurement data.</w:t>
      </w:r>
    </w:p>
    <w:p>
      <w:pPr>
        <w:pStyle w:val="Heading1"/>
      </w:pPr>
      <w:r>
        <w:t>2. Business Problem</w:t>
      </w:r>
    </w:p>
    <w:p>
      <w:r>
        <w:t>Procurement organizations need to ensure that purchase orders and invoices follow negotiated supplier contracts. Manual checking can miss price violations, quantity issues and invoice mismatches.</w:t>
      </w:r>
    </w:p>
    <w:p/>
    <w:p>
      <w:r>
        <w:t>The engine addresses:</w:t>
      </w:r>
    </w:p>
    <w:p>
      <w:pPr>
        <w:pStyle w:val="ListBullet"/>
      </w:pPr>
      <w:r>
        <w:t>Contract price violations</w:t>
      </w:r>
    </w:p>
    <w:p>
      <w:pPr>
        <w:pStyle w:val="ListBullet"/>
      </w:pPr>
      <w:r>
        <w:t>Quantity and contract-limit violations</w:t>
      </w:r>
    </w:p>
    <w:p>
      <w:pPr>
        <w:pStyle w:val="ListBullet"/>
      </w:pPr>
      <w:r>
        <w:t>Invoice mismatches</w:t>
      </w:r>
    </w:p>
    <w:p>
      <w:pPr>
        <w:pStyle w:val="ListBullet"/>
      </w:pPr>
      <w:r>
        <w:t>3-way matching exceptions</w:t>
      </w:r>
    </w:p>
    <w:p>
      <w:pPr>
        <w:pStyle w:val="ListBullet"/>
      </w:pPr>
      <w:r>
        <w:t>Spend leakage</w:t>
      </w:r>
    </w:p>
    <w:p>
      <w:pPr>
        <w:pStyle w:val="ListBullet"/>
      </w:pPr>
      <w:r>
        <w:t>Compliance risk classification</w:t>
      </w:r>
    </w:p>
    <w:p>
      <w:pPr>
        <w:pStyle w:val="ListBullet"/>
      </w:pPr>
      <w:r>
        <w:t>Human review and audit evidence</w:t>
      </w:r>
    </w:p>
    <w:p>
      <w:pPr>
        <w:pStyle w:val="ListBullet"/>
      </w:pPr>
      <w:r>
        <w:t>AI-generated explanations and recommended actions</w:t>
      </w:r>
    </w:p>
    <w:p>
      <w:pPr>
        <w:pStyle w:val="Heading1"/>
      </w:pPr>
      <w:r>
        <w:t>3. Architecture</w:t>
      </w:r>
    </w:p>
    <w:p>
      <w:r>
        <w:t>SAP Ariba</w:t>
      </w:r>
    </w:p>
    <w:p>
      <w:r>
        <w:t xml:space="preserve">    │</w:t>
      </w:r>
    </w:p>
    <w:p>
      <w:r>
        <w:t xml:space="preserve">    ├── Contracts</w:t>
      </w:r>
    </w:p>
    <w:p>
      <w:r>
        <w:t xml:space="preserve">    ├── Purchase Orders</w:t>
      </w:r>
    </w:p>
    <w:p>
      <w:r>
        <w:t xml:space="preserve">    └── Invoices</w:t>
      </w:r>
    </w:p>
    <w:p>
      <w:r>
        <w:t xml:space="preserve">            │</w:t>
      </w:r>
    </w:p>
    <w:p>
      <w:r>
        <w:t xml:space="preserve">            ▼</w:t>
      </w:r>
    </w:p>
    <w:p>
      <w:r>
        <w:t xml:space="preserve">       FastAPI Backend</w:t>
      </w:r>
    </w:p>
    <w:p>
      <w:r>
        <w:t xml:space="preserve">        ┌────┴────┐</w:t>
      </w:r>
    </w:p>
    <w:p>
      <w:r>
        <w:t xml:space="preserve">        ▼         ▼</w:t>
      </w:r>
    </w:p>
    <w:p>
      <w:r>
        <w:t xml:space="preserve">   PostgreSQL   Documents</w:t>
      </w:r>
    </w:p>
    <w:p>
      <w:r>
        <w:t xml:space="preserve">        │         │</w:t>
      </w:r>
    </w:p>
    <w:p>
      <w:r>
        <w:t xml:space="preserve">        └────┬────┘</w:t>
      </w:r>
    </w:p>
    <w:p>
      <w:r>
        <w:t xml:space="preserve">             ▼</w:t>
      </w:r>
    </w:p>
    <w:p>
      <w:r>
        <w:t xml:space="preserve">      Contract Engine</w:t>
      </w:r>
    </w:p>
    <w:p>
      <w:r>
        <w:t xml:space="preserve">        │   │   │</w:t>
      </w:r>
    </w:p>
    <w:p>
      <w:r>
        <w:t xml:space="preserve">        ▼   ▼   ▼</w:t>
      </w:r>
    </w:p>
    <w:p>
      <w:r>
        <w:t xml:space="preserve">     Pricing Quantity Terms</w:t>
      </w:r>
    </w:p>
    <w:p>
      <w:r>
        <w:t xml:space="preserve">        └───┬───┘</w:t>
      </w:r>
    </w:p>
    <w:p>
      <w:r>
        <w:t xml:space="preserve">            ▼</w:t>
      </w:r>
    </w:p>
    <w:p>
      <w:r>
        <w:t xml:space="preserve">       AI Layer</w:t>
      </w:r>
    </w:p>
    <w:p>
      <w:r>
        <w:t xml:space="preserve">     Gemini + RAG</w:t>
      </w:r>
    </w:p>
    <w:p>
      <w:r>
        <w:t xml:space="preserve">            ▼</w:t>
      </w:r>
    </w:p>
    <w:p>
      <w:r>
        <w:t xml:space="preserve">   Compliance Analysis</w:t>
      </w:r>
    </w:p>
    <w:p>
      <w:r>
        <w:t xml:space="preserve">            ▼</w:t>
      </w:r>
    </w:p>
    <w:p>
      <w:r>
        <w:t xml:space="preserve">       Human Review</w:t>
      </w:r>
    </w:p>
    <w:p>
      <w:r>
        <w:t xml:space="preserve">            ▼</w:t>
      </w:r>
    </w:p>
    <w:p>
      <w:r>
        <w:t xml:space="preserve">      Audit / Actions</w:t>
      </w:r>
    </w:p>
    <w:p>
      <w:r>
        <w:t xml:space="preserve">            ▼</w:t>
      </w:r>
    </w:p>
    <w:p>
      <w:r>
        <w:t xml:space="preserve">        Dashboard</w:t>
      </w:r>
    </w:p>
    <w:p>
      <w:pPr>
        <w:pStyle w:val="Heading1"/>
      </w:pPr>
      <w:r>
        <w:t>4. SAP-Oriented Workflow</w:t>
      </w:r>
    </w:p>
    <w:p>
      <w:r>
        <w:t>1. Procurement data is sourced from the SAP-oriented procurement boundary.</w:t>
      </w:r>
    </w:p>
    <w:p>
      <w:r>
        <w:t>2. Contract terms and purchase transactions are stored in PostgreSQL.</w:t>
      </w:r>
    </w:p>
    <w:p>
      <w:r>
        <w:t>3. The deterministic contract engine checks pricing, quantity and terms.</w:t>
      </w:r>
    </w:p>
    <w:p>
      <w:r>
        <w:t>4. Purchase orders and invoices are compared for compliance.</w:t>
      </w:r>
    </w:p>
    <w:p>
      <w:r>
        <w:t>5. 3-way matching checks purchase order, goods receipt and invoice quantities.</w:t>
      </w:r>
    </w:p>
    <w:p>
      <w:r>
        <w:t>6. Exceptions and potential leakage are recorded.</w:t>
      </w:r>
    </w:p>
    <w:p>
      <w:r>
        <w:t>7. LangGraph orchestrates evidence collection and AI analysis.</w:t>
      </w:r>
    </w:p>
    <w:p>
      <w:r>
        <w:t>8. Gemini produces an evidence-grounded compliance explanation.</w:t>
      </w:r>
    </w:p>
    <w:p>
      <w:r>
        <w:t>9. A human reviewer can decide whether to approve, hold or investigate.</w:t>
      </w:r>
    </w:p>
    <w:p>
      <w:r>
        <w:t>10. Audit information can be retained for downstream compliance workflows.</w:t>
      </w:r>
    </w:p>
    <w:p>
      <w:pPr>
        <w:pStyle w:val="Heading1"/>
      </w:pPr>
      <w:r>
        <w:t>5. Core Demo Scenario</w:t>
      </w:r>
    </w:p>
    <w:p>
      <w:r>
        <w:t>Contract: CT-1045</w:t>
      </w:r>
    </w:p>
    <w:p>
      <w:r>
        <w:t>Supplier: SUP010 – IndustrialPro</w:t>
      </w:r>
    </w:p>
    <w:p>
      <w:r>
        <w:t>Material: MAT004 – Cisco 24-Port Network Switch</w:t>
      </w:r>
    </w:p>
    <w:p>
      <w:r>
        <w:t>Contracted price: ₹72,000</w:t>
      </w:r>
    </w:p>
    <w:p>
      <w:r>
        <w:t>Purchase order price: ₹90,000</w:t>
      </w:r>
    </w:p>
    <w:p>
      <w:r>
        <w:t>Invoice price: ₹105,000</w:t>
      </w:r>
    </w:p>
    <w:p>
      <w:r>
        <w:t>Quantity: 1</w:t>
      </w:r>
    </w:p>
    <w:p/>
    <w:p>
      <w:r>
        <w:t>The contract price to PO price variance is 25%, producing a PRICE_VIOLATION. The PO-to-invoice price also differs. The goods receipt quantity matches the PO quantity, so the primary exception is pricing rather than quantity.</w:t>
      </w:r>
    </w:p>
    <w:p>
      <w:pPr>
        <w:pStyle w:val="Heading1"/>
      </w:pPr>
      <w:r>
        <w:t>6. Deterministic Compliance Controls</w:t>
      </w:r>
    </w:p>
    <w:p>
      <w:r>
        <w:t>Price variance:</w:t>
      </w:r>
    </w:p>
    <w:p>
      <w:pPr>
        <w:pStyle w:val="ListBullet"/>
      </w:pPr>
      <w:r>
        <w:t>≥20% → +40 risk points</w:t>
      </w:r>
    </w:p>
    <w:p>
      <w:pPr>
        <w:pStyle w:val="ListBullet"/>
      </w:pPr>
      <w:r>
        <w:t>≥10% → +25 risk points</w:t>
      </w:r>
    </w:p>
    <w:p>
      <w:pPr>
        <w:pStyle w:val="ListBullet"/>
      </w:pPr>
      <w:r>
        <w:t>≥5% → +10 risk points</w:t>
      </w:r>
    </w:p>
    <w:p/>
    <w:p>
      <w:r>
        <w:t>Supplier risk:</w:t>
      </w:r>
    </w:p>
    <w:p>
      <w:pPr>
        <w:pStyle w:val="ListBullet"/>
      </w:pPr>
      <w:r>
        <w:t>HIGH → +40</w:t>
      </w:r>
    </w:p>
    <w:p>
      <w:pPr>
        <w:pStyle w:val="ListBullet"/>
      </w:pPr>
      <w:r>
        <w:t>MEDIUM → +20</w:t>
      </w:r>
    </w:p>
    <w:p>
      <w:pPr>
        <w:pStyle w:val="ListBullet"/>
      </w:pPr>
      <w:r>
        <w:t>LOW → +5</w:t>
      </w:r>
    </w:p>
    <w:p/>
    <w:p>
      <w:r>
        <w:t>Compliance score:</w:t>
      </w:r>
    </w:p>
    <w:p>
      <w:pPr>
        <w:pStyle w:val="ListBullet"/>
      </w:pPr>
      <w:r>
        <w:t>Compliance &lt;80 → +20</w:t>
      </w:r>
    </w:p>
    <w:p>
      <w:pPr>
        <w:pStyle w:val="ListBullet"/>
      </w:pPr>
      <w:r>
        <w:t>Compliance &lt;90 → +10</w:t>
      </w:r>
    </w:p>
    <w:p>
      <w:pPr>
        <w:pStyle w:val="ListBullet"/>
      </w:pPr>
      <w:r>
        <w:t>Compliance ≥90 → +0</w:t>
      </w:r>
    </w:p>
    <w:p/>
    <w:p>
      <w:r>
        <w:t>Final risk:</w:t>
      </w:r>
    </w:p>
    <w:p>
      <w:pPr>
        <w:pStyle w:val="ListBullet"/>
      </w:pPr>
      <w:r>
        <w:t>70+ → HIGH</w:t>
      </w:r>
    </w:p>
    <w:p>
      <w:pPr>
        <w:pStyle w:val="ListBullet"/>
      </w:pPr>
      <w:r>
        <w:t>40–69 → MEDIUM</w:t>
      </w:r>
    </w:p>
    <w:p>
      <w:pPr>
        <w:pStyle w:val="ListBullet"/>
      </w:pPr>
      <w:r>
        <w:t>Below 40 → LOW</w:t>
      </w:r>
    </w:p>
    <w:p/>
    <w:p>
      <w:r>
        <w:t>For the seeded demo, ₹72,000 versus ₹90,000 creates a 25% price variance. Potential leakage for quantity 1 is ₹18,000.</w:t>
      </w:r>
    </w:p>
    <w:p>
      <w:pPr>
        <w:pStyle w:val="Heading1"/>
      </w:pPr>
      <w:r>
        <w:t>7. 3-Way Matching</w:t>
      </w:r>
    </w:p>
    <w:p>
      <w:r>
        <w:t>The solution supports procurement 3-way matching across:</w:t>
      </w:r>
    </w:p>
    <w:p>
      <w:pPr>
        <w:pStyle w:val="ListBullet"/>
      </w:pPr>
      <w:r>
        <w:t>Purchase Order</w:t>
      </w:r>
    </w:p>
    <w:p>
      <w:pPr>
        <w:pStyle w:val="ListBullet"/>
      </w:pPr>
      <w:r>
        <w:t>Goods Receipt</w:t>
      </w:r>
    </w:p>
    <w:p>
      <w:pPr>
        <w:pStyle w:val="ListBullet"/>
      </w:pPr>
      <w:r>
        <w:t>Invoice</w:t>
      </w:r>
    </w:p>
    <w:p/>
    <w:p>
      <w:r>
        <w:t>In the demo, the PO quantity is 1, the goods receipt quantity is 1 and the invoice quantity is 1. Quantity therefore matches, while the pricing evidence creates the compliance exception.</w:t>
      </w:r>
    </w:p>
    <w:p>
      <w:pPr>
        <w:pStyle w:val="Heading1"/>
      </w:pPr>
      <w:r>
        <w:t>8. Example Assessment</w:t>
      </w:r>
    </w:p>
    <w:p>
      <w:r>
        <w:t>Compliance score: 30</w:t>
      </w:r>
    </w:p>
    <w:p>
      <w:r>
        <w:t>Risk category: HIGH</w:t>
      </w:r>
    </w:p>
    <w:p>
      <w:r>
        <w:t>Recommendation: HOLD_PAYMENT_AND_REVIEW</w:t>
      </w:r>
    </w:p>
    <w:p>
      <w:r>
        <w:t>Contract violation: TRUE</w:t>
      </w:r>
    </w:p>
    <w:p>
      <w:r>
        <w:t>Invoice mismatch: TRUE</w:t>
      </w:r>
    </w:p>
    <w:p>
      <w:r>
        <w:t>Potential leakage: ₹18,000</w:t>
      </w:r>
    </w:p>
    <w:p>
      <w:r>
        <w:t>Confidence: 100%</w:t>
      </w:r>
    </w:p>
    <w:p/>
    <w:p>
      <w:r>
        <w:t>The recommended action is to hold the transaction for human review rather than automatically approving it.</w:t>
      </w:r>
    </w:p>
    <w:p>
      <w:pPr>
        <w:pStyle w:val="Heading1"/>
      </w:pPr>
      <w:r>
        <w:t>9. Database Model</w:t>
      </w:r>
    </w:p>
    <w:p>
      <w:r>
        <w:t>Core tables include:</w:t>
      </w:r>
    </w:p>
    <w:p>
      <w:pPr>
        <w:pStyle w:val="ListBullet"/>
      </w:pPr>
      <w:r>
        <w:t>contracts</w:t>
      </w:r>
    </w:p>
    <w:p>
      <w:pPr>
        <w:pStyle w:val="ListBullet"/>
      </w:pPr>
      <w:r>
        <w:t>contract_items</w:t>
      </w:r>
    </w:p>
    <w:p>
      <w:pPr>
        <w:pStyle w:val="ListBullet"/>
      </w:pPr>
      <w:r>
        <w:t>contract_purchase_orders</w:t>
      </w:r>
    </w:p>
    <w:p>
      <w:pPr>
        <w:pStyle w:val="ListBullet"/>
      </w:pPr>
      <w:r>
        <w:t>contract_exceptions</w:t>
      </w:r>
    </w:p>
    <w:p>
      <w:pPr>
        <w:pStyle w:val="ListBullet"/>
      </w:pPr>
      <w:r>
        <w:t>spend_leakage</w:t>
      </w:r>
    </w:p>
    <w:p>
      <w:pPr>
        <w:pStyle w:val="ListBullet"/>
      </w:pPr>
      <w:r>
        <w:t>contract_goods_receipts</w:t>
      </w:r>
    </w:p>
    <w:p>
      <w:pPr>
        <w:pStyle w:val="ListBullet"/>
      </w:pPr>
      <w:r>
        <w:t>contract_invoices</w:t>
      </w:r>
    </w:p>
    <w:p>
      <w:pPr>
        <w:pStyle w:val="ListBullet"/>
      </w:pPr>
      <w:r>
        <w:t>contract_invoice_items</w:t>
      </w:r>
    </w:p>
    <w:p>
      <w:pPr>
        <w:pStyle w:val="ListBullet"/>
      </w:pPr>
      <w:r>
        <w:t>compliance_assessments</w:t>
      </w:r>
    </w:p>
    <w:p/>
    <w:p>
      <w:r>
        <w:t>The model connects supplier, material, contract, PO, receipt and invoice records so that compliance evidence can be traced back to the relevant transaction.</w:t>
      </w:r>
    </w:p>
    <w:p>
      <w:pPr>
        <w:pStyle w:val="Heading1"/>
      </w:pPr>
      <w:r>
        <w:t>10. LangGraph + Gemini</w:t>
      </w:r>
    </w:p>
    <w:p>
      <w:r>
        <w:t>LangGraph provides workflow orchestration through stages such as:</w:t>
      </w:r>
    </w:p>
    <w:p>
      <w:r>
        <w:t>1. fetch_compliance_data</w:t>
      </w:r>
    </w:p>
    <w:p>
      <w:r>
        <w:t>2. build_evidence</w:t>
      </w:r>
    </w:p>
    <w:p>
      <w:r>
        <w:t>3. generate_ai_analysis</w:t>
      </w:r>
    </w:p>
    <w:p/>
    <w:p>
      <w:r>
        <w:t>The Gemini prompt positions the model as an enterprise procurement compliance analyst and requires evidence-grounded output with sections:</w:t>
      </w:r>
    </w:p>
    <w:p>
      <w:pPr>
        <w:pStyle w:val="ListBullet"/>
      </w:pPr>
      <w:r>
        <w:t>Compliance Summary</w:t>
      </w:r>
    </w:p>
    <w:p>
      <w:pPr>
        <w:pStyle w:val="ListBullet"/>
      </w:pPr>
      <w:r>
        <w:t>Key Violations</w:t>
      </w:r>
    </w:p>
    <w:p>
      <w:pPr>
        <w:pStyle w:val="ListBullet"/>
      </w:pPr>
      <w:r>
        <w:t>Financial Impact</w:t>
      </w:r>
    </w:p>
    <w:p>
      <w:pPr>
        <w:pStyle w:val="ListBullet"/>
      </w:pPr>
      <w:r>
        <w:t>Recommended Procurement Action</w:t>
      </w:r>
    </w:p>
    <w:p>
      <w:pPr>
        <w:pStyle w:val="ListBullet"/>
      </w:pPr>
      <w:r>
        <w:t>Reasoning</w:t>
      </w:r>
    </w:p>
    <w:p/>
    <w:p>
      <w:r>
        <w:t>The AI layer is not used as the sole compliance authority; deterministic controls provide the primary evidence and a human remains in the decision loop.</w:t>
      </w:r>
    </w:p>
    <w:p>
      <w:pPr>
        <w:pStyle w:val="Heading1"/>
      </w:pPr>
      <w:r>
        <w:t>11. Human-in-the-Loop</w:t>
      </w:r>
    </w:p>
    <w:p>
      <w:r>
        <w:t>The system is designed around human review for high-risk procurement exceptions. AI identifies and explains the issue, while an authorized reviewer can determine the final action.</w:t>
      </w:r>
    </w:p>
    <w:p/>
    <w:p>
      <w:r>
        <w:t>Possible actions include:</w:t>
      </w:r>
    </w:p>
    <w:p>
      <w:pPr>
        <w:pStyle w:val="ListBullet"/>
      </w:pPr>
      <w:r>
        <w:t>Approve</w:t>
      </w:r>
    </w:p>
    <w:p>
      <w:pPr>
        <w:pStyle w:val="ListBullet"/>
      </w:pPr>
      <w:r>
        <w:t>Hold payment</w:t>
      </w:r>
    </w:p>
    <w:p>
      <w:pPr>
        <w:pStyle w:val="ListBullet"/>
      </w:pPr>
      <w:r>
        <w:t>Investigate</w:t>
      </w:r>
    </w:p>
    <w:p>
      <w:pPr>
        <w:pStyle w:val="ListBullet"/>
      </w:pPr>
      <w:r>
        <w:t>Request correction</w:t>
      </w:r>
    </w:p>
    <w:p>
      <w:pPr>
        <w:pStyle w:val="ListBullet"/>
      </w:pPr>
      <w:r>
        <w:t>Escalate</w:t>
      </w:r>
    </w:p>
    <w:p>
      <w:pPr>
        <w:pStyle w:val="Heading1"/>
      </w:pPr>
      <w:r>
        <w:t>12. Technology Stack</w:t>
      </w:r>
    </w:p>
    <w:p>
      <w:r>
        <w:t>Backend: FastAPI, Uvicorn</w:t>
      </w:r>
    </w:p>
    <w:p>
      <w:r>
        <w:t>Database: PostgreSQL / Neon</w:t>
      </w:r>
    </w:p>
    <w:p>
      <w:r>
        <w:t>AI: Google Gemini</w:t>
      </w:r>
    </w:p>
    <w:p>
      <w:r>
        <w:t>Orchestration: LangGraph</w:t>
      </w:r>
    </w:p>
    <w:p>
      <w:r>
        <w:t>Language: Python</w:t>
      </w:r>
    </w:p>
    <w:p>
      <w:r>
        <w:t>Configuration: python-dotenv</w:t>
      </w:r>
    </w:p>
    <w:p>
      <w:r>
        <w:t>Deployment: Railway</w:t>
      </w:r>
    </w:p>
    <w:p>
      <w:r>
        <w:t>Frontend: HTML/CSS/JavaScript dashboard</w:t>
      </w:r>
    </w:p>
    <w:p>
      <w:pPr>
        <w:pStyle w:val="Heading1"/>
      </w:pPr>
      <w:r>
        <w:t>13. APIs</w:t>
      </w:r>
    </w:p>
    <w:p>
      <w:r>
        <w:t>GET /</w:t>
      </w:r>
    </w:p>
    <w:p>
      <w:r>
        <w:t>GET /health</w:t>
      </w:r>
    </w:p>
    <w:p>
      <w:r>
        <w:t>GET /contracts</w:t>
      </w:r>
    </w:p>
    <w:p>
      <w:r>
        <w:t>POST /purchase-orders</w:t>
      </w:r>
    </w:p>
    <w:p>
      <w:r>
        <w:t>GET /analyze/{po_id}</w:t>
      </w:r>
    </w:p>
    <w:p>
      <w:r>
        <w:t>GET /dashboard-summary</w:t>
      </w:r>
    </w:p>
    <w:p/>
    <w:p>
      <w:r>
        <w:t>These endpoints support the dashboard, transaction creation and compliance analysis workflow.</w:t>
      </w:r>
    </w:p>
    <w:p>
      <w:pPr>
        <w:pStyle w:val="Heading1"/>
      </w:pPr>
      <w:r>
        <w:t>14. Deployment</w:t>
      </w:r>
    </w:p>
    <w:p>
      <w:r>
        <w:t>The project is deployed as a FastAPI application using Railway. The application starts with:</w:t>
      </w:r>
    </w:p>
    <w:p/>
    <w:p>
      <w:r>
        <w:t>uvicorn app.main:app --host 0.0.0.0 --port $PORT</w:t>
      </w:r>
    </w:p>
    <w:p/>
    <w:p>
      <w:r>
        <w:t>Environment configuration includes the database connection and Gemini API key. Secrets should be stored only in environment variables and must not be committed to source control.</w:t>
      </w:r>
    </w:p>
    <w:p>
      <w:pPr>
        <w:pStyle w:val="Heading1"/>
      </w:pPr>
      <w:r>
        <w:t>15. Recruiter Demo Flow</w:t>
      </w:r>
    </w:p>
    <w:p>
      <w:r>
        <w:t>A concise recruiter demonstration can follow this sequence:</w:t>
      </w:r>
    </w:p>
    <w:p>
      <w:r>
        <w:t>1. Open the dashboard.</w:t>
      </w:r>
    </w:p>
    <w:p>
      <w:r>
        <w:t>2. Select a supplier/material and contract.</w:t>
      </w:r>
    </w:p>
    <w:p>
      <w:r>
        <w:t>3. Create or inspect a purchase order.</w:t>
      </w:r>
    </w:p>
    <w:p>
      <w:r>
        <w:t>4. Show the contracted price versus actual PO price.</w:t>
      </w:r>
    </w:p>
    <w:p>
      <w:r>
        <w:t>5. Run compliance analysis.</w:t>
      </w:r>
    </w:p>
    <w:p>
      <w:r>
        <w:t>6. Demonstrate the HIGH-risk assessment.</w:t>
      </w:r>
    </w:p>
    <w:p>
      <w:r>
        <w:t>7. Show the ₹18,000 potential leakage.</w:t>
      </w:r>
    </w:p>
    <w:p>
      <w:r>
        <w:t>8. Open the AI explanation.</w:t>
      </w:r>
    </w:p>
    <w:p>
      <w:r>
        <w:t>9. Explain the human-review step.</w:t>
      </w:r>
    </w:p>
    <w:p>
      <w:r>
        <w:t>10. Explain how the same architecture can be connected to SAP procurement systems with authorized enterprise APIs.</w:t>
      </w:r>
    </w:p>
    <w:p>
      <w:pPr>
        <w:pStyle w:val="Heading1"/>
      </w:pPr>
      <w:r>
        <w:t>16. Interview Positioning</w:t>
      </w:r>
    </w:p>
    <w:p>
      <w:r>
        <w:t>Suggested explanation:</w:t>
      </w:r>
    </w:p>
    <w:p/>
    <w:p>
      <w:r>
        <w:t>“I built an SAP-oriented contract compliance and spend intelligence engine that combines deterministic procurement controls with an AI analysis layer. I modeled contracts, contract items, POs, goods receipts and invoices in PostgreSQL, implemented pricing and 3-way matching checks, and used LangGraph to orchestrate evidence collection and Gemini to generate an evidence-grounded compliance explanation. The architecture is designed for SAP integration, but my public demo uses synthetic data rather than claiming a live SAP tenant integration.”</w:t>
      </w:r>
    </w:p>
    <w:p>
      <w:pPr>
        <w:pStyle w:val="Heading1"/>
      </w:pPr>
      <w:r>
        <w:t>17. Scope &amp; Honesty</w:t>
      </w:r>
    </w:p>
    <w:p>
      <w:r>
        <w:t>This project is an SAP-oriented portfolio implementation. It does not claim live production integration with SAP Ariba, SAP S/4HANA or SAP GRC.</w:t>
      </w:r>
    </w:p>
    <w:p/>
    <w:p>
      <w:r>
        <w:t>SAP integration is represented as an integration-ready boundary. Any real deployment would require authorized SAP APIs, enterprise authentication, tenant configuration, security controls and production governance.</w:t>
      </w:r>
    </w:p>
    <w:p/>
    <w:p>
      <w:r>
        <w:t>The demonstration data and compliance scenarios are synthetic and are intended to show the technical architecture and procurement-control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