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50"/>
        <w:pBdr/>
        <w:spacing/>
        <w:ind/>
        <w:jc w:val="center"/>
        <w:rPr>
          <w:b w:val="0"/>
          <w:bCs w:val="0"/>
        </w:rPr>
      </w:pPr>
      <w:r>
        <w:rPr>
          <w:b w:val="0"/>
          <w:bCs w:val="0"/>
        </w:rPr>
        <w:t xml:space="preserve">ELEC0148 Lab Report</w:t>
      </w:r>
      <w:r>
        <w:rPr>
          <w:b w:val="0"/>
          <w:bCs w:val="0"/>
        </w:rPr>
      </w:r>
      <w:r>
        <w:rPr>
          <w:b w:val="0"/>
          <w:bCs w:val="0"/>
        </w:rPr>
      </w:r>
    </w:p>
    <w:p>
      <w:pPr>
        <w:pBdr/>
        <w:spacing/>
        <w:ind/>
        <w:jc w:val="center"/>
        <w:rPr>
          <w:b w:val="0"/>
          <w:bCs w:val="0"/>
          <w:highlight w:val="none"/>
        </w:rPr>
      </w:pPr>
      <w:r>
        <w:rPr>
          <w:b w:val="0"/>
          <w:bCs w:val="0"/>
        </w:rPr>
        <w:t xml:space="preserve">Github Repository for code: </w:t>
      </w:r>
      <w:r>
        <w:rPr>
          <w:b w:val="0"/>
          <w:bCs w:val="0"/>
        </w:rPr>
      </w:r>
      <w:hyperlink r:id="rId9" w:tooltip="https://github.com/vishvish2/ELEC0148_Lab_Component.git" w:history="1">
        <w:r>
          <w:rPr>
            <w:rStyle w:val="876"/>
            <w:b w:val="0"/>
            <w:bCs w:val="0"/>
          </w:rPr>
          <w:t xml:space="preserve">https://github.com/vishvish2/ELEC0148_Lab_Component.git</w:t>
        </w:r>
        <w:r>
          <w:rPr>
            <w:rStyle w:val="876"/>
            <w:b w:val="0"/>
            <w:bCs w:val="0"/>
          </w:rPr>
        </w:r>
        <w:r>
          <w:rPr>
            <w:rStyle w:val="876"/>
          </w:rPr>
        </w:r>
      </w:hyperlink>
      <w:r/>
    </w:p>
    <w:p>
      <w:pPr>
        <w:pStyle w:val="831"/>
        <w:pBdr/>
        <w:spacing/>
        <w:ind/>
        <w:rPr>
          <w:b w:val="0"/>
          <w:bCs w:val="0"/>
        </w:rPr>
      </w:pPr>
      <w:r>
        <w:rPr>
          <w:b w:val="0"/>
          <w:bCs w:val="0"/>
        </w:rPr>
        <w:t xml:space="preserve">Introduction</w:t>
      </w:r>
      <w:r>
        <w:rPr>
          <w:b w:val="0"/>
          <w:bCs w:val="0"/>
        </w:rPr>
      </w:r>
      <w:r>
        <w:rPr>
          <w:b w:val="0"/>
          <w:bCs w:val="0"/>
        </w:rPr>
      </w:r>
    </w:p>
    <w:p>
      <w:pPr>
        <w:pBdr/>
        <w:spacing/>
        <w:ind w:right="-45" w:firstLine="0" w:left="0"/>
        <w:rPr>
          <w:b w:val="0"/>
          <w:bCs w:val="0"/>
          <w:highlight w:val="none"/>
        </w:rPr>
      </w:pPr>
      <w:r>
        <w:rPr>
          <w:b w:val="0"/>
          <w:bCs w:val="0"/>
        </w:rPr>
        <w:t xml:space="preserve">A photovoltaic cell is a semiconductor device that can convert sunlight into electricity without pollution or the need for moving parts. It is renewable since it doesn’t rely on a finite resource like fossil fuels. </w:t>
      </w:r>
      <w:r>
        <w:rPr>
          <w:b w:val="0"/>
          <w:bCs w:val="0"/>
          <w:highlight w:val="none"/>
        </w:rPr>
      </w:r>
      <w:r>
        <w:rPr>
          <w:b w:val="0"/>
          <w:bCs w:val="0"/>
          <w:highlight w:val="none"/>
        </w:rPr>
      </w:r>
    </w:p>
    <w:p>
      <w:pPr>
        <w:pBdr/>
        <w:spacing/>
        <w:ind w:right="-45" w:firstLine="0" w:left="0"/>
        <w:rPr>
          <w:b/>
          <w:bCs/>
          <w:highlight w:val="none"/>
          <w:u w:val="single"/>
        </w:rPr>
      </w:pPr>
      <w:r>
        <w:rPr>
          <w:b/>
          <w:bCs/>
          <w:highlight w:val="none"/>
          <w:u w:val="single"/>
        </w:rPr>
        <w:t xml:space="preserve">Perovskite Solar Cells</w:t>
        <w:br/>
      </w:r>
      <w:r>
        <w:rPr>
          <w:b w:val="0"/>
          <w:bCs w:val="0"/>
          <w:highlight w:val="none"/>
        </w:rPr>
      </w:r>
      <w:r>
        <w:rPr>
          <w:b/>
          <w:bCs/>
          <w:highlight w:val="none"/>
          <w:u w:val="single"/>
        </w:rPr>
      </w:r>
      <w:r>
        <w:rPr>
          <w:b w:val="0"/>
          <w:bCs w:val="0"/>
          <w:highlight w:val="none"/>
        </w:rPr>
        <w:t xml:space="preserve">A Perovskite solar cell (PSC) is a specific type of solar cell that has perovskite-structured compounds which are crystalline materials with a chemical formula of</w:t>
      </w:r>
      <m:oMath>
        <m:sSub>
          <m:sSubPr>
            <m:ctrlPr>
              <w:rPr>
                <w:rFonts w:ascii="Cambria Math" w:hAnsi="Cambria Math" w:eastAsia="Cambria Math" w:cs="Cambria Math"/>
                <w:b w:val="0"/>
                <w:i w:val="0"/>
                <w:highlight w:val="none"/>
              </w:rPr>
            </m:ctrlPr>
          </m:sSubPr>
          <m:e>
            <m:r>
              <w:rPr>
                <w:rFonts w:hint="default" w:ascii="Cambria Math" w:hAnsi="Cambria Math" w:eastAsia="Cambria Math" w:cs="Cambria Math"/>
                <w:highlight w:val="none"/>
              </w:rPr>
              <m:rPr>
                <m:sty m:val="p"/>
              </m:rPr>
              <m:t>ABX</m:t>
            </m:r>
          </m:e>
          <m:sub>
            <m:r>
              <w:rPr>
                <w:rFonts w:hint="default" w:ascii="Cambria Math" w:hAnsi="Cambria Math" w:eastAsia="Cambria Math" w:cs="Cambria Math"/>
                <w:highlight w:val="none"/>
              </w:rPr>
              <m:rPr>
                <m:sty m:val="p"/>
              </m:rPr>
              <m:t>3</m:t>
            </m:r>
          </m:sub>
        </m:sSub>
      </m:oMath>
      <w:r>
        <w:rPr>
          <w:b w:val="0"/>
          <w:bCs w:val="0"/>
          <w:highlight w:val="none"/>
        </w:rPr>
        <w:t xml:space="preserve">, often derived from Calcium Titanate (</w:t>
      </w:r>
      <m:oMath>
        <m:sSub>
          <m:sSubPr>
            <m:ctrlPr>
              <w:rPr>
                <w:rFonts w:ascii="Cambria Math" w:hAnsi="Cambria Math" w:eastAsia="Cambria Math" w:cs="Cambria Math"/>
                <w:b w:val="0"/>
                <w:i w:val="0"/>
                <w:highlight w:val="none"/>
              </w:rPr>
            </m:ctrlPr>
          </m:sSubPr>
          <m:e>
            <m:r>
              <w:rPr>
                <w:rFonts w:hint="default" w:ascii="Cambria Math" w:hAnsi="Cambria Math" w:eastAsia="Cambria Math" w:cs="Cambria Math"/>
                <w:highlight w:val="none"/>
              </w:rPr>
              <m:rPr>
                <m:sty m:val="p"/>
              </m:rPr>
              <m:t>CaTiO</m:t>
            </m:r>
          </m:e>
          <m:sub>
            <m:r>
              <w:rPr>
                <w:rFonts w:hint="default" w:ascii="Cambria Math" w:hAnsi="Cambria Math" w:eastAsia="Cambria Math" w:cs="Cambria Math"/>
                <w:highlight w:val="none"/>
              </w:rPr>
              <m:rPr>
                <m:sty m:val="p"/>
              </m:rPr>
              <m:t>3</m:t>
            </m:r>
          </m:sub>
        </m:sSub>
      </m:oMath>
      <w:r>
        <w:rPr>
          <w:b w:val="0"/>
          <w:bCs w:val="0"/>
          <w:highlight w:val="none"/>
        </w:rPr>
        <w:t xml:space="preserve">). On the other hand, organic solar cells (OSC) are primarily composed of carbon and hydrogen. OSCs display enhanced absorption near infrared and visible light wavelengths whereas PSCs better at absorbing blue and u</w:t>
      </w:r>
      <w:r>
        <w:rPr>
          <w:b w:val="0"/>
          <w:bCs w:val="0"/>
          <w:highlight w:val="none"/>
        </w:rPr>
        <w:t xml:space="preserve">ltraviolet (UV) wavelengths suggesting PSCs are well suited for high energy photons. The active layer of OSCs is usually &lt;100 nanometres but for PSCs its &gt;500 nanometres due to a larger carrier mobility which is more efficient for charge extraction. [1][2]</w:t>
      </w:r>
      <w:r>
        <w:rPr>
          <w:b w:val="0"/>
          <w:bCs w:val="0"/>
          <w:highlight w:val="none"/>
        </w:rPr>
      </w:r>
      <w:r>
        <w:rPr>
          <w:b w:val="0"/>
          <w:bCs w:val="0"/>
          <w:highlight w:val="none"/>
        </w:rPr>
      </w:r>
      <w:r>
        <w:rPr>
          <w:b/>
          <w:bCs/>
          <w:highlight w:val="none"/>
          <w:u w:val="single"/>
        </w:rPr>
      </w:r>
    </w:p>
    <w:p>
      <w:pPr>
        <w:pBdr/>
        <w:spacing/>
        <w:ind/>
        <w:rPr>
          <w:b w:val="0"/>
          <w:bCs w:val="0"/>
          <w:highlight w:val="none"/>
        </w:rPr>
      </w:pPr>
      <w:r>
        <w:rPr>
          <w:b/>
          <w:bCs/>
          <w:highlight w:val="none"/>
          <w:u w:val="single"/>
        </w:rPr>
        <w:t xml:space="preserve">JV Curves</w:t>
      </w:r>
      <w:r>
        <w:rPr>
          <w:b w:val="0"/>
          <w:bCs w:val="0"/>
          <w:highlight w:val="none"/>
        </w:rPr>
        <w:br/>
        <w:t xml:space="preserve">The JV curve is a plot of current density against the voltage produced by the solar cell. It can be used to characterise the performance limits of a solar cell. The plot can be used to compute parameters such as the following:</w:t>
      </w:r>
      <w:r>
        <w:rPr>
          <w:b w:val="0"/>
          <w:bCs w:val="0"/>
          <w:highlight w:val="none"/>
        </w:rPr>
      </w:r>
      <w:r>
        <w:rPr>
          <w:b w:val="0"/>
          <w:bCs w:val="0"/>
          <w:highlight w:val="none"/>
        </w:rPr>
      </w:r>
    </w:p>
    <w:p>
      <w:pPr>
        <w:pStyle w:val="894"/>
        <w:numPr>
          <w:ilvl w:val="0"/>
          <w:numId w:val="1"/>
        </w:numPr>
        <w:pBdr/>
        <w:spacing/>
        <w:ind/>
        <w:rPr>
          <w:b w:val="0"/>
          <w:bCs w:val="0"/>
          <w:highlight w:val="none"/>
        </w:rPr>
      </w:pPr>
      <w:r>
        <w:rPr>
          <w:b w:val="0"/>
          <w:bCs w:val="0"/>
          <w:highlight w:val="none"/>
        </w:rPr>
        <w:t xml:space="preserve">Open circuit voltage</w:t>
      </w:r>
      <w:r>
        <w:rPr>
          <w:b w:val="0"/>
          <w:bCs w:val="0"/>
          <w:highlight w:val="none"/>
        </w:rPr>
        <w:t xml:space="preserve">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OC</m:t>
            </m:r>
          </m:sub>
        </m:sSub>
      </m:oMath>
      <w:r>
        <w:rPr>
          <w:b w:val="0"/>
          <w:bCs w:val="0"/>
          <w:highlight w:val="none"/>
        </w:rPr>
        <w:t xml:space="preserve">) – The voltage when the current is zero, this would be the voltage produced by the cell when the terminals are open without a load connected</w:t>
      </w:r>
      <w:r>
        <w:rPr>
          <w:b w:val="0"/>
          <w:bCs w:val="0"/>
          <w:highlight w:val="none"/>
        </w:rPr>
      </w:r>
      <w:r>
        <w:rPr>
          <w:b w:val="0"/>
          <w:bCs w:val="0"/>
          <w:highlight w:val="none"/>
        </w:rPr>
      </w:r>
    </w:p>
    <w:p>
      <w:pPr>
        <w:pStyle w:val="894"/>
        <w:numPr>
          <w:ilvl w:val="0"/>
          <w:numId w:val="1"/>
        </w:numPr>
        <w:pBdr/>
        <w:spacing/>
        <w:ind/>
        <w:rPr>
          <w:b w:val="0"/>
          <w:bCs w:val="0"/>
          <w:highlight w:val="none"/>
        </w:rPr>
      </w:pPr>
      <w:r>
        <w:rPr>
          <w:b w:val="0"/>
          <w:bCs w:val="0"/>
          <w:highlight w:val="none"/>
        </w:rPr>
        <w:t xml:space="preserve">Short circuit current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SC</m:t>
            </m:r>
          </m:sub>
        </m:sSub>
      </m:oMath>
      <w:r>
        <w:rPr>
          <w:b w:val="0"/>
          <w:bCs w:val="0"/>
          <w:highlight w:val="none"/>
        </w:rPr>
        <w:t xml:space="preserve">) – The current p</w:t>
      </w:r>
      <w:r>
        <w:rPr>
          <w:b w:val="0"/>
          <w:bCs w:val="0"/>
          <w:highlight w:val="none"/>
        </w:rPr>
        <w:t xml:space="preserve">roduced by the cell when the voltage is zero. This happens when the terminals are shorted, indicating the maximum current the cell can generate under illumination</w:t>
      </w:r>
      <w:r>
        <w:rPr>
          <w:b w:val="0"/>
          <w:bCs w:val="0"/>
          <w:highlight w:val="none"/>
        </w:rPr>
      </w:r>
      <w:r>
        <w:rPr>
          <w:b w:val="0"/>
          <w:bCs w:val="0"/>
          <w:highlight w:val="none"/>
        </w:rPr>
      </w:r>
    </w:p>
    <w:p>
      <w:pPr>
        <w:pStyle w:val="894"/>
        <w:numPr>
          <w:ilvl w:val="0"/>
          <w:numId w:val="1"/>
        </w:numPr>
        <w:pBdr/>
        <w:spacing/>
        <w:ind/>
        <w:rPr>
          <w:b w:val="0"/>
          <w:bCs w:val="0"/>
          <w:highlight w:val="none"/>
        </w:rPr>
      </w:pPr>
      <w:r>
        <w:rPr>
          <w:b w:val="0"/>
          <w:bCs w:val="0"/>
          <w:highlight w:val="none"/>
        </w:rPr>
        <w:t xml:space="preserve">Maximum Power Point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MP,</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MP</m:t>
            </m:r>
          </m:sub>
        </m:sSub>
        <m:r>
          <w:rPr>
            <w:rFonts w:hint="default" w:ascii="Cambria Math" w:hAnsi="Cambria Math" w:eastAsia="Cambria Math" w:cs="Cambria Math"/>
            <w:highlight w:val="none"/>
          </w:rPr>
          <m:rPr/>
          <m:t>)</m:t>
        </m:r>
      </m:oMath>
      <w:r>
        <w:rPr>
          <w:b w:val="0"/>
          <w:bCs w:val="0"/>
          <w:highlight w:val="none"/>
        </w:rPr>
        <w:t xml:space="preserve"> – The instant at which the solar cell produces the maximum possible power</w:t>
      </w:r>
      <w:r>
        <w:rPr>
          <w:b w:val="0"/>
          <w:bCs w:val="0"/>
          <w:highlight w:val="none"/>
        </w:rPr>
        <w:t xml:space="preserve"> (</w:t>
      </w:r>
      <m:oMath>
        <m:r>
          <w:rPr>
            <w:rFonts w:hint="default" w:ascii="Cambria Math" w:hAnsi="Cambria Math" w:eastAsia="Cambria Math" w:cs="Cambria Math"/>
            <w:highlight w:val="none"/>
          </w:rPr>
          <m:rPr>
            <m:sty m:val="i"/>
          </m:rPr>
          <m:t>P = IV</m:t>
        </m:r>
      </m:oMath>
      <w:r>
        <w:rPr>
          <w:b w:val="0"/>
          <w:bCs w:val="0"/>
          <w:highlight w:val="none"/>
        </w:rPr>
        <w:t xml:space="preserve">) for the specific light intensity.</w:t>
      </w:r>
      <w:r>
        <w:rPr>
          <w:b w:val="0"/>
          <w:bCs w:val="0"/>
          <w:highlight w:val="none"/>
        </w:rPr>
      </w:r>
      <w:r>
        <w:rPr>
          <w:b w:val="0"/>
          <w:bCs w:val="0"/>
          <w:highlight w:val="none"/>
        </w:rPr>
      </w:r>
    </w:p>
    <w:p>
      <w:pPr>
        <w:pStyle w:val="894"/>
        <w:numPr>
          <w:ilvl w:val="0"/>
          <w:numId w:val="1"/>
        </w:numPr>
        <w:pBdr/>
        <w:spacing/>
        <w:ind/>
        <w:rPr>
          <w:b w:val="0"/>
          <w:bCs w:val="0"/>
          <w:highlight w:val="none"/>
        </w:rPr>
      </w:pPr>
      <w:r>
        <w:rPr>
          <w:b w:val="0"/>
          <w:bCs w:val="0"/>
          <w:highlight w:val="none"/>
        </w:rPr>
        <w:t xml:space="preserve">Fill Factor (FF) – A measure of the squareness of the JV curve, displaying the solar cell’s sensitivity to a change in conditions</w:t>
      </w:r>
      <w:r>
        <w:rPr>
          <w:b w:val="0"/>
          <w:bCs w:val="0"/>
          <w:highlight w:val="none"/>
        </w:rPr>
      </w:r>
      <w:r>
        <w:rPr>
          <w:b w:val="0"/>
          <w:bCs w:val="0"/>
          <w:highlight w:val="none"/>
        </w:rPr>
      </w:r>
    </w:p>
    <w:p>
      <w:pPr>
        <w:pStyle w:val="894"/>
        <w:numPr>
          <w:ilvl w:val="0"/>
          <w:numId w:val="1"/>
        </w:numPr>
        <w:pBdr/>
        <w:spacing/>
        <w:ind/>
        <w:rPr>
          <w:b w:val="0"/>
          <w:bCs w:val="0"/>
          <w:highlight w:val="none"/>
        </w:rPr>
      </w:pPr>
      <w:r>
        <w:rPr>
          <w:b w:val="0"/>
          <w:bCs w:val="0"/>
          <w:highlight w:val="none"/>
        </w:rPr>
        <w:t xml:space="preserve">Efficiency (</w:t>
      </w:r>
      <w:r>
        <w:rPr>
          <w:b w:val="0"/>
          <w:bCs w:val="0"/>
          <w:highlight w:val="none"/>
        </w:rPr>
      </w:r>
      <m:oMath>
        <m:r>
          <w:rPr>
            <w:rFonts w:hint="default" w:ascii="Cambria Math" w:hAnsi="Cambria Math" w:eastAsia="Cambria Math" w:cs="Cambria Math"/>
            <w:highlight w:val="none"/>
          </w:rPr>
          <m:rPr>
            <m:sty m:val="i"/>
          </m:rPr>
          <m:t>η</m:t>
        </m:r>
      </m:oMath>
      <w:r>
        <w:rPr>
          <w:b w:val="0"/>
          <w:bCs w:val="0"/>
          <w:highlight w:val="none"/>
        </w:rPr>
        <w:t xml:space="preserve">) – The proportion that the maximum power makes of </w:t>
      </w:r>
      <w:r>
        <w:rPr>
          <w:b w:val="0"/>
          <w:bCs w:val="0"/>
          <w:highlight w:val="none"/>
        </w:rPr>
        <w:t xml:space="preserve">the incident optical power</w:t>
      </w:r>
      <w:r>
        <w:rPr>
          <w:b w:val="0"/>
          <w:bCs w:val="0"/>
          <w:highlight w:val="none"/>
        </w:rPr>
      </w:r>
      <w:r>
        <w:rPr>
          <w:b w:val="0"/>
          <w:bCs w:val="0"/>
          <w:highlight w:val="none"/>
        </w:rPr>
      </w:r>
    </w:p>
    <w:p>
      <w:pPr>
        <w:pStyle w:val="831"/>
        <w:pBdr/>
        <w:spacing/>
        <w:ind/>
        <w:rPr>
          <w:b w:val="0"/>
          <w:bCs w:val="0"/>
          <w:highlight w:val="none"/>
        </w:rPr>
      </w:pPr>
      <w:r>
        <w:rPr>
          <w:b w:val="0"/>
          <w:bCs w:val="0"/>
          <w:highlight w:val="none"/>
        </w:rPr>
      </w:r>
      <w:r>
        <w:rPr>
          <w:b w:val="0"/>
          <w:bCs w:val="0"/>
          <w:highlight w:val="none"/>
        </w:rPr>
        <w:t xml:space="preserve">Data Analysis</w:t>
      </w:r>
      <w:r>
        <w:rPr>
          <w:b w:val="0"/>
          <w:bCs w:val="0"/>
          <w:highlight w:val="none"/>
        </w:rPr>
      </w:r>
      <w:r>
        <w:rPr>
          <w:b w:val="0"/>
          <w:bCs w:val="0"/>
          <w:highlight w:val="none"/>
        </w:rPr>
      </w:r>
    </w:p>
    <w:p>
      <w:pPr>
        <w:pBdr/>
        <w:spacing/>
        <w:ind w:right="851"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731510" cy="3298937"/>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308873" name=""/>
                        <pic:cNvPicPr>
                          <a:picLocks noChangeAspect="1"/>
                        </pic:cNvPicPr>
                        <pic:nvPr/>
                      </pic:nvPicPr>
                      <pic:blipFill rotWithShape="1">
                        <a:blip r:embed="rId10"/>
                        <a:stretch/>
                      </pic:blipFill>
                      <pic:spPr bwMode="auto">
                        <a:xfrm>
                          <a:off x="0" y="0"/>
                          <a:ext cx="5731509" cy="32989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1.30pt;height:259.76pt;mso-wrap-distance-left:0.00pt;mso-wrap-distance-top:0.00pt;mso-wrap-distance-right:0.00pt;mso-wrap-distance-bottom:0.00pt;z-index:1;" stroked="false">
                <v:imagedata r:id="rId10" o:title=""/>
                <o:lock v:ext="edit" rotation="t"/>
              </v:shape>
            </w:pict>
          </mc:Fallback>
        </mc:AlternateContent>
      </w:r>
      <w:r>
        <w:rPr>
          <w:b w:val="0"/>
          <w:bCs w:val="0"/>
          <w:highlight w:val="none"/>
        </w:rPr>
      </w:r>
      <w:r>
        <w:rPr>
          <w:b w:val="0"/>
          <w:bCs w:val="0"/>
          <w:highlight w:val="none"/>
        </w:rPr>
      </w:r>
    </w:p>
    <w:p>
      <w:pPr>
        <w:pStyle w:val="869"/>
        <w:pBdr/>
        <w:spacing/>
        <w:ind/>
        <w:jc w:val="center"/>
        <w:rPr/>
      </w:pPr>
      <w:r>
        <w:t xml:space="preserve">Figure </w:t>
      </w:r>
      <w:r>
        <w:fldChar w:fldCharType="begin"/>
        <w:instrText xml:space="preserve"> SEQ Figure \* Arabic </w:instrText>
        <w:fldChar w:fldCharType="separate"/>
      </w:r>
      <w:r>
        <w:t xml:space="preserve">1</w:t>
      </w:r>
      <w:r/>
      <w:r>
        <w:fldChar w:fldCharType="end"/>
      </w:r>
      <w:r>
        <w:t xml:space="preserve">: JV curves of all the light intensities given in the data set </w:t>
      </w:r>
      <w:r/>
    </w:p>
    <w:p>
      <w:pPr>
        <w:pStyle w:val="869"/>
        <w:pBdr/>
        <w:spacing/>
        <w:ind/>
        <w:jc w:val="center"/>
        <w:rPr/>
      </w:pPr>
      <w:r>
        <mc:AlternateContent>
          <mc:Choice Requires="wpg">
            <w:drawing>
              <wp:inline xmlns:wp="http://schemas.openxmlformats.org/drawingml/2006/wordprocessingDrawing" distT="0" distB="0" distL="0" distR="0">
                <wp:extent cx="5731510" cy="3301457"/>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353786" name=""/>
                        <pic:cNvPicPr>
                          <a:picLocks noChangeAspect="1"/>
                        </pic:cNvPicPr>
                        <pic:nvPr/>
                      </pic:nvPicPr>
                      <pic:blipFill rotWithShape="1">
                        <a:blip r:embed="rId11"/>
                        <a:stretch/>
                      </pic:blipFill>
                      <pic:spPr bwMode="auto">
                        <a:xfrm>
                          <a:off x="0" y="0"/>
                          <a:ext cx="5731509" cy="330145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51.30pt;height:259.96pt;mso-wrap-distance-left:0.00pt;mso-wrap-distance-top:0.00pt;mso-wrap-distance-right:0.00pt;mso-wrap-distance-bottom:0.00pt;z-index:1;" stroked="false">
                <v:imagedata r:id="rId11" o:title=""/>
                <o:lock v:ext="edit" rotation="t"/>
              </v:shape>
            </w:pict>
          </mc:Fallback>
        </mc:AlternateContent>
      </w:r>
      <w:r/>
    </w:p>
    <w:p>
      <w:pPr>
        <w:pStyle w:val="869"/>
        <w:pBdr/>
        <w:spacing/>
        <w:ind/>
        <w:jc w:val="center"/>
        <w:rPr/>
      </w:pPr>
      <w:r>
        <w:t xml:space="preserve">Figure </w:t>
      </w:r>
      <w:r>
        <w:fldChar w:fldCharType="begin"/>
        <w:instrText xml:space="preserve"> SEQ Figure \* Arabic </w:instrText>
        <w:fldChar w:fldCharType="separate"/>
      </w:r>
      <w:r>
        <w:t xml:space="preserve">2</w:t>
      </w:r>
      <w:r/>
      <w:r>
        <w:fldChar w:fldCharType="end"/>
      </w:r>
      <w:r>
        <w:t xml:space="preserve">: JV curves of light intensities 10%, 50% and 100% with Maximum Power Point Labelled as MPP</w:t>
      </w:r>
      <w:r/>
    </w:p>
    <w:p>
      <w:pPr>
        <w:pBdr/>
        <w:spacing/>
        <w:ind/>
        <w:rPr/>
      </w:pPr>
      <w:r>
        <w:rPr>
          <w:highlight w:val="none"/>
        </w:rPr>
      </w:r>
      <w:r>
        <w:rPr>
          <w:highlight w:val="none"/>
        </w:rPr>
      </w:r>
      <w:r/>
    </w:p>
    <w:p>
      <w:pPr>
        <w:pBdr/>
        <w:spacing/>
        <w:ind/>
        <w:rPr>
          <w:highlight w:val="none"/>
        </w:rPr>
      </w:pPr>
      <w:r>
        <w:rPr>
          <w:highlight w:val="none"/>
        </w:rPr>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jc w:val="center"/>
        <w:rPr>
          <w:highlight w:val="none"/>
        </w:rPr>
      </w:pPr>
      <w:r>
        <w:rPr>
          <w:highlight w:val="none"/>
        </w:rPr>
      </w:r>
      <w:r/>
      <w:r/>
      <w:r/>
      <w:r>
        <mc:AlternateContent>
          <mc:Choice Requires="wpg">
            <w:drawing>
              <wp:inline xmlns:wp="http://schemas.openxmlformats.org/drawingml/2006/wordprocessingDrawing" distT="0" distB="0" distL="0" distR="0">
                <wp:extent cx="5264920" cy="3056850"/>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511600" name=""/>
                        <pic:cNvPicPr>
                          <a:picLocks noChangeAspect="1"/>
                        </pic:cNvPicPr>
                        <pic:nvPr/>
                      </pic:nvPicPr>
                      <pic:blipFill rotWithShape="1">
                        <a:blip r:embed="rId12"/>
                        <a:stretch/>
                      </pic:blipFill>
                      <pic:spPr bwMode="auto">
                        <a:xfrm flipH="0" flipV="0">
                          <a:off x="0" y="0"/>
                          <a:ext cx="5264920" cy="30568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14.56pt;height:240.70pt;mso-wrap-distance-left:0.00pt;mso-wrap-distance-top:0.00pt;mso-wrap-distance-right:0.00pt;mso-wrap-distance-bottom:0.00pt;z-index:1;" stroked="false">
                <v:imagedata r:id="rId12" o:title=""/>
                <o:lock v:ext="edit" rotation="t"/>
              </v:shape>
            </w:pict>
          </mc:Fallback>
        </mc:AlternateContent>
      </w:r>
      <w:r/>
      <w:r/>
      <w:r/>
      <w:r>
        <w:rPr>
          <w:highlight w:val="none"/>
        </w:rPr>
      </w:r>
      <w:r>
        <w:rPr>
          <w:highlight w:val="none"/>
        </w:rPr>
      </w:r>
    </w:p>
    <w:p>
      <w:pPr>
        <w:pStyle w:val="869"/>
        <w:pBdr/>
        <w:spacing/>
        <w:ind/>
        <w:rPr/>
      </w:pPr>
      <w:r>
        <w:t xml:space="preserve">Figure </w:t>
      </w:r>
      <w:r>
        <w:fldChar w:fldCharType="begin"/>
        <w:instrText xml:space="preserve"> SEQ Figure \* Arabic </w:instrText>
        <w:fldChar w:fldCharType="separate"/>
      </w:r>
      <w:r>
        <w:t xml:space="preserve">3</w:t>
      </w:r>
      <w:r/>
      <w:r>
        <w:fldChar w:fldCharType="end"/>
      </w:r>
      <w:r>
        <w:t xml:space="preserve">: Power-Voltage plots of light intensities 10%, 50% and 100% with Max Power Point Labelled as MPP </w:t>
      </w:r>
      <w:r/>
    </w:p>
    <w:p>
      <w:pPr>
        <w:pBdr/>
        <w:spacing/>
        <w:ind/>
        <w:rPr>
          <w:highlight w:val="none"/>
        </w:rPr>
      </w:pPr>
      <w:r>
        <w:t xml:space="preserve">From zooming into the graphs, the values in the table below can be deduced</w:t>
      </w:r>
      <w:r>
        <w:rPr>
          <w:highlight w:val="none"/>
        </w:rPr>
      </w:r>
    </w:p>
    <w:tbl>
      <w:tblPr>
        <w:tblStyle w:val="705"/>
        <w:tblW w:w="0" w:type="auto"/>
        <w:tblBorders/>
        <w:tblLayout w:type="fixed"/>
        <w:tblLook w:val="04A0" w:firstRow="1" w:lastRow="0" w:firstColumn="1" w:lastColumn="0" w:noHBand="0" w:noVBand="1"/>
      </w:tblPr>
      <w:tblGrid>
        <w:gridCol w:w="686"/>
        <w:gridCol w:w="2693"/>
        <w:gridCol w:w="2835"/>
        <w:gridCol w:w="2812"/>
      </w:tblGrid>
      <w:tr>
        <w:trPr/>
        <w:tc>
          <w:tcPr>
            <w:tcBorders/>
            <w:tcW w:w="686"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w:r>
              <w:rPr>
                <w:b w:val="0"/>
                <w:bCs w:val="0"/>
                <w:highlight w:val="none"/>
              </w:rPr>
            </w:r>
          </w:p>
        </w:tc>
        <w:tc>
          <w:tcPr>
            <w:gridSpan w:val="3"/>
            <w:tcBorders/>
            <w:tcW w:w="8340" w:type="dxa"/>
            <w:vMerge w:val="restart"/>
            <w:textDirection w:val="lrTb"/>
            <w:noWrap w:val="false"/>
          </w:tcPr>
          <w:p>
            <w:pPr>
              <w:pBdr/>
              <w:spacing/>
              <w:ind/>
              <w:jc w:val="center"/>
              <w:rPr>
                <w:b/>
                <w:bCs/>
                <w:highlight w:val="none"/>
                <w:u w:val="single"/>
              </w:rPr>
            </w:pPr>
            <w:r>
              <w:rPr>
                <w:b/>
                <w:bCs/>
                <w:highlight w:val="none"/>
                <w:u w:val="single"/>
              </w:rPr>
              <w:t xml:space="preserve">Light intensities </w:t>
            </w:r>
            <w:r>
              <w:rPr>
                <w:b/>
                <w:bCs/>
                <w:highlight w:val="none"/>
                <w:u w:val="single"/>
              </w:rPr>
            </w:r>
            <w:r>
              <w:rPr>
                <w:b/>
                <w:bCs/>
                <w:highlight w:val="none"/>
                <w:u w:val="single"/>
              </w:rPr>
            </w:r>
          </w:p>
        </w:tc>
      </w:tr>
      <w:tr>
        <w:trPr/>
        <w:tc>
          <w:tcPr>
            <w:tcBorders/>
            <w:tcW w:w="686" w:type="dxa"/>
            <w:vMerge w:val="continue"/>
            <w:textDirection w:val="lrTb"/>
            <w:noWrap w:val="false"/>
          </w:tcPr>
          <w:p>
            <w:pPr>
              <w:pBdr/>
              <w:spacing/>
              <w:ind/>
              <w:rPr/>
            </w:pPr>
            <w:r/>
            <w:r/>
          </w:p>
        </w:tc>
        <w:tc>
          <w:tcPr>
            <w:tcBorders/>
            <w:tcW w:w="2693" w:type="dxa"/>
            <w:textDirection w:val="lrTb"/>
            <w:noWrap w:val="false"/>
          </w:tcPr>
          <w:p>
            <w:pPr>
              <w:pBdr/>
              <w:spacing/>
              <w:ind/>
              <w:jc w:val="center"/>
              <w:rPr>
                <w:b/>
                <w:bCs/>
                <w:highlight w:val="none"/>
                <w:u w:val="single"/>
              </w:rPr>
            </w:pPr>
            <w:r>
              <w:rPr>
                <w:b/>
                <w:bCs/>
                <w:highlight w:val="none"/>
                <w:u w:val="single"/>
              </w:rPr>
            </w:r>
            <m:oMathPara>
              <m:oMathParaPr/>
              <m:oMath>
                <m:r>
                  <w:rPr>
                    <w:rFonts w:ascii="Cambria Math" w:hAnsi="Cambria Math" w:eastAsia="Cambria Math" w:cs="Cambria Math"/>
                    <w:highlight w:val="none"/>
                    <w:u w:val="single"/>
                  </w:rPr>
                  <m:rPr>
                    <m:sty m:val="bi"/>
                  </m:rPr>
                  <m:t>10%</m:t>
                </m:r>
              </m:oMath>
            </m:oMathPara>
            <w:r>
              <w:rPr>
                <w:b/>
                <w:bCs/>
                <w:highlight w:val="none"/>
                <w:u w:val="single"/>
              </w:rPr>
            </w:r>
            <w:r>
              <w:rPr>
                <w:b/>
                <w:bCs/>
                <w:highlight w:val="none"/>
                <w:u w:val="single"/>
              </w:rPr>
            </w:r>
          </w:p>
        </w:tc>
        <w:tc>
          <w:tcPr>
            <w:tcBorders/>
            <w:tcW w:w="2835" w:type="dxa"/>
            <w:textDirection w:val="lrTb"/>
            <w:noWrap w:val="false"/>
          </w:tcPr>
          <w:p>
            <w:pPr>
              <w:pBdr/>
              <w:spacing/>
              <w:ind/>
              <w:jc w:val="center"/>
              <w:rPr>
                <w:b/>
                <w:bCs/>
                <w:highlight w:val="none"/>
                <w:u w:val="single"/>
              </w:rPr>
            </w:pPr>
            <w:r>
              <w:rPr>
                <w:b/>
                <w:bCs/>
                <w:highlight w:val="none"/>
                <w:u w:val="single"/>
              </w:rPr>
            </w:r>
            <m:oMathPara>
              <m:oMathParaPr/>
              <m:oMath>
                <m:r>
                  <w:rPr>
                    <w:rFonts w:ascii="Cambria Math" w:hAnsi="Cambria Math" w:eastAsia="Cambria Math" w:cs="Cambria Math"/>
                    <w:highlight w:val="none"/>
                    <w:u w:val="single"/>
                  </w:rPr>
                  <m:rPr>
                    <m:sty m:val="bi"/>
                  </m:rPr>
                  <m:t>50%</m:t>
                </m:r>
              </m:oMath>
            </m:oMathPara>
            <w:r>
              <w:rPr>
                <w:b/>
                <w:bCs/>
                <w:highlight w:val="none"/>
                <w:u w:val="single"/>
              </w:rPr>
            </w:r>
            <w:r>
              <w:rPr>
                <w:b/>
                <w:bCs/>
                <w:highlight w:val="none"/>
                <w:u w:val="single"/>
              </w:rPr>
            </w:r>
          </w:p>
        </w:tc>
        <w:tc>
          <w:tcPr>
            <w:tcBorders/>
            <w:tcW w:w="2812" w:type="dxa"/>
            <w:textDirection w:val="lrTb"/>
            <w:noWrap w:val="false"/>
          </w:tcPr>
          <w:p>
            <w:pPr>
              <w:pBdr/>
              <w:spacing/>
              <w:ind/>
              <w:jc w:val="center"/>
              <w:rPr>
                <w:b/>
                <w:bCs/>
                <w:highlight w:val="none"/>
                <w:u w:val="single"/>
              </w:rPr>
            </w:pPr>
            <w:r>
              <w:rPr>
                <w:b/>
                <w:bCs/>
                <w:highlight w:val="none"/>
                <w:u w:val="single"/>
              </w:rPr>
            </w:r>
            <m:oMathPara>
              <m:oMathParaPr/>
              <m:oMath>
                <m:r>
                  <w:rPr>
                    <w:rFonts w:ascii="Cambria Math" w:hAnsi="Cambria Math" w:eastAsia="Cambria Math" w:cs="Cambria Math"/>
                    <w:highlight w:val="none"/>
                    <w:u w:val="single"/>
                  </w:rPr>
                  <m:rPr>
                    <m:sty m:val="bi"/>
                  </m:rPr>
                  <m:t>100%</m:t>
                </m:r>
              </m:oMath>
            </m:oMathPara>
            <w:r>
              <w:rPr>
                <w:b/>
                <w:bCs/>
                <w:highlight w:val="none"/>
                <w:u w:val="single"/>
              </w:rPr>
            </w:r>
            <w:r>
              <w:rPr>
                <w:b/>
                <w:bCs/>
                <w:highlight w:val="none"/>
                <w:u w:val="single"/>
              </w:rPr>
            </w:r>
          </w:p>
        </w:tc>
      </w:tr>
      <w:tr>
        <w:trPr/>
        <w:tc>
          <w:tcPr>
            <w:tcBorders/>
            <w:tcW w:w="686" w:type="dxa"/>
            <w:textDirection w:val="lrTb"/>
            <w:noWrap w:val="false"/>
          </w:tcPr>
          <w:p>
            <w:pPr>
              <w:pBdr/>
              <w:spacing/>
              <w:ind/>
              <w:jc w:val="center"/>
              <w:rPr>
                <w:b/>
                <w:bCs/>
                <w:highlight w:val="none"/>
                <w:u w:val="none"/>
              </w:rPr>
            </w:pPr>
            <w:r>
              <w:rPr>
                <w:b w:val="0"/>
                <w:bCs w:val="0"/>
                <w:highlight w:val="none"/>
              </w:rPr>
            </w:r>
            <m:oMathPara>
              <m:oMathParaPr>
                <m:jc m:val="center"/>
              </m:oMathParaPr>
              <m:oMath>
                <m:sSub>
                  <m:sSubPr>
                    <m:ctrlPr>
                      <w:rPr>
                        <w:rFonts w:ascii="Cambria Math" w:hAnsi="Cambria Math" w:eastAsia="Cambria Math" w:cs="Cambria Math"/>
                        <w:highlight w:val="none"/>
                        <w:u w:val="none"/>
                      </w:rPr>
                    </m:ctrlPr>
                  </m:sSubPr>
                  <m:e>
                    <m:r>
                      <w:rPr>
                        <w:rFonts w:hint="default" w:ascii="Cambria Math" w:hAnsi="Cambria Math" w:eastAsia="Cambria Math" w:cs="Cambria Math"/>
                        <w:highlight w:val="none"/>
                        <w:u w:val="none"/>
                      </w:rPr>
                      <m:rPr>
                        <m:sty m:val="bi"/>
                      </m:rPr>
                      <m:t>V</m:t>
                    </m:r>
                  </m:e>
                  <m:sub>
                    <m:r>
                      <w:rPr>
                        <w:rFonts w:hint="default" w:ascii="Cambria Math" w:hAnsi="Cambria Math" w:eastAsia="Cambria Math" w:cs="Cambria Math"/>
                        <w:highlight w:val="none"/>
                        <w:u w:val="none"/>
                      </w:rPr>
                      <m:rPr>
                        <m:sty m:val="bi"/>
                      </m:rPr>
                      <m:t>OC</m:t>
                    </m:r>
                  </m:sub>
                </m:sSub>
              </m:oMath>
            </m:oMathPara>
            <w:r>
              <w:rPr>
                <w:b/>
                <w:bCs/>
                <w:highlight w:val="none"/>
                <w:u w:val="none"/>
              </w:rPr>
            </w:r>
            <w:r>
              <w:rPr>
                <w:b/>
                <w:bCs/>
                <w:highlight w:val="none"/>
                <w:u w:val="none"/>
              </w:rPr>
            </w:r>
          </w:p>
        </w:tc>
        <w:tc>
          <w:tcPr>
            <w:tcBorders/>
            <w:tcW w:w="2693" w:type="dxa"/>
            <w:textDirection w:val="lrTb"/>
            <w:noWrap w:val="false"/>
          </w:tcPr>
          <w:p>
            <w:pPr>
              <w:pBdr/>
              <w:spacing/>
              <w:ind/>
              <w:jc w:val="center"/>
              <w:rPr>
                <w:b w:val="0"/>
                <w:bCs w:val="0"/>
                <w:highlight w:val="none"/>
              </w:rPr>
            </w:pPr>
            <w:r>
              <w:rPr>
                <w:b w:val="0"/>
                <w:bCs w:val="0"/>
                <w:highlight w:val="none"/>
              </w:rPr>
            </w:r>
            <m:oMathPara>
              <m:oMathParaPr/>
              <m:oMath>
                <m:r>
                  <w:rPr>
                    <w:rFonts w:ascii="Cambria Math" w:hAnsi="Cambria Math" w:eastAsia="Cambria Math" w:cs="Cambria Math"/>
                    <w:highlight w:val="none"/>
                  </w:rPr>
                  <m:rPr>
                    <m:sty m:val="i"/>
                  </m:rPr>
                  <m:t>0.98V</m:t>
                </m:r>
              </m:oMath>
            </m:oMathPara>
            <w:r>
              <w:rPr>
                <w:b w:val="0"/>
                <w:bCs w:val="0"/>
                <w:highlight w:val="none"/>
              </w:rPr>
            </w:r>
            <w:r>
              <w:rPr>
                <w:b w:val="0"/>
                <w:bCs w:val="0"/>
                <w:highlight w:val="none"/>
              </w:rPr>
            </w:r>
          </w:p>
        </w:tc>
        <w:tc>
          <w:tcPr>
            <w:tcBorders/>
            <w:tcW w:w="2835" w:type="dxa"/>
            <w:textDirection w:val="lrTb"/>
            <w:noWrap w:val="false"/>
          </w:tcPr>
          <w:p>
            <w:pPr>
              <w:pBdr/>
              <w:spacing/>
              <w:ind/>
              <w:jc w:val="center"/>
              <w:rPr>
                <w:b w:val="0"/>
                <w:bCs w:val="0"/>
                <w:highlight w:val="none"/>
              </w:rPr>
            </w:pPr>
            <w:r>
              <w:rPr>
                <w:b w:val="0"/>
                <w:bCs w:val="0"/>
                <w:highlight w:val="none"/>
              </w:rPr>
            </w:r>
            <m:oMathPara>
              <m:oMathParaPr/>
              <m:oMath>
                <m:r>
                  <w:rPr>
                    <w:rFonts w:ascii="Cambria Math" w:hAnsi="Cambria Math" w:eastAsia="Cambria Math" w:cs="Cambria Math"/>
                    <w:highlight w:val="none"/>
                  </w:rPr>
                  <m:rPr>
                    <m:sty m:val="i"/>
                  </m:rPr>
                  <m:t>1.04V</m:t>
                </m:r>
              </m:oMath>
            </m:oMathPara>
            <w:r>
              <w:rPr>
                <w:b w:val="0"/>
                <w:bCs w:val="0"/>
                <w:highlight w:val="none"/>
              </w:rPr>
            </w:r>
            <w:r>
              <w:rPr>
                <w:b w:val="0"/>
                <w:bCs w:val="0"/>
                <w:highlight w:val="none"/>
              </w:rPr>
            </w:r>
          </w:p>
        </w:tc>
        <w:tc>
          <w:tcPr>
            <w:tcBorders/>
            <w:tcW w:w="2812" w:type="dxa"/>
            <w:textDirection w:val="lrTb"/>
            <w:noWrap w:val="false"/>
          </w:tcPr>
          <w:p>
            <w:pPr>
              <w:pBdr/>
              <w:spacing/>
              <w:ind/>
              <w:jc w:val="center"/>
              <w:rPr>
                <w:b w:val="0"/>
                <w:bCs w:val="0"/>
                <w:highlight w:val="none"/>
              </w:rPr>
            </w:pPr>
            <w:r>
              <w:rPr>
                <w:b w:val="0"/>
                <w:bCs w:val="0"/>
                <w:highlight w:val="none"/>
              </w:rPr>
            </w:r>
            <m:oMathPara>
              <m:oMathParaPr/>
              <m:oMath>
                <m:r>
                  <w:rPr>
                    <w:rFonts w:ascii="Cambria Math" w:hAnsi="Cambria Math" w:eastAsia="Cambria Math" w:cs="Cambria Math"/>
                    <w:highlight w:val="none"/>
                  </w:rPr>
                  <m:rPr>
                    <m:sty m:val="i"/>
                  </m:rPr>
                  <m:t>1.06V</m:t>
                </m:r>
              </m:oMath>
            </m:oMathPara>
            <w:r>
              <w:rPr>
                <w:b w:val="0"/>
                <w:bCs w:val="0"/>
                <w:highlight w:val="none"/>
              </w:rPr>
            </w:r>
            <w:r>
              <w:rPr>
                <w:b w:val="0"/>
                <w:bCs w:val="0"/>
                <w:highlight w:val="none"/>
              </w:rPr>
            </w:r>
          </w:p>
        </w:tc>
      </w:tr>
      <w:tr>
        <w:trPr/>
        <w:tc>
          <w:tcPr>
            <w:tcBorders/>
            <w:tcW w:w="686" w:type="dxa"/>
            <w:vMerge w:val="restart"/>
            <w:textDirection w:val="lrTb"/>
            <w:noWrap w:val="false"/>
          </w:tcPr>
          <w:p>
            <w:pPr>
              <w:pBdr/>
              <w:spacing/>
              <w:ind/>
              <w:jc w:val="center"/>
              <w:rPr>
                <w:b/>
                <w:bCs/>
                <w:highlight w:val="none"/>
              </w:rPr>
            </w:pPr>
            <w:r>
              <w:rPr>
                <w:b w:val="0"/>
                <w:bCs w:val="0"/>
                <w:highlight w:val="none"/>
              </w:rPr>
            </w:r>
            <m:oMathPara>
              <m:oMathParaPr>
                <m:jc m:val="center"/>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bi"/>
                      </m:rPr>
                      <m:t>J</m:t>
                    </m:r>
                  </m:e>
                  <m:sub>
                    <m:r>
                      <w:rPr>
                        <w:rFonts w:hint="default" w:ascii="Cambria Math" w:hAnsi="Cambria Math" w:eastAsia="Cambria Math" w:cs="Cambria Math"/>
                        <w:highlight w:val="none"/>
                      </w:rPr>
                      <m:rPr>
                        <m:sty m:val="bi"/>
                      </m:rPr>
                      <m:t>SC</m:t>
                    </m:r>
                  </m:sub>
                </m:sSub>
              </m:oMath>
            </m:oMathPara>
            <w:r>
              <w:rPr>
                <w:b/>
                <w:bCs/>
                <w:highlight w:val="none"/>
              </w:rPr>
            </w:r>
            <w:r>
              <w:rPr>
                <w:b/>
                <w:bCs/>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m:t>
                </m:r>
                <m:sSup>
                  <m:sSupPr>
                    <m:ctrlPr>
                      <w:rPr>
                        <w:rFonts w:ascii="Cambria Math" w:hAnsi="Cambria Math" w:eastAsia="Cambria Math" w:cs="Cambria Math"/>
                        <w:highlight w:val="none"/>
                      </w:rPr>
                    </m:ctrlPr>
                  </m:sSupPr>
                  <m:e>
                    <m:r>
                      <w:rPr>
                        <w:rFonts w:hint="default" w:ascii="Cambria Math" w:hAnsi="Cambria Math" w:eastAsia="Cambria Math" w:cs="Cambria Math"/>
                        <w:highlight w:val="none"/>
                      </w:rPr>
                      <m:rPr>
                        <m:sty m:val="i"/>
                      </m:rPr>
                      <m:t>2.7mAcm</m:t>
                    </m:r>
                  </m:e>
                  <m:sup>
                    <m:r>
                      <w:rPr>
                        <w:rFonts w:ascii="Cambria Math" w:hAnsi="Cambria Math" w:eastAsia="Cambria Math" w:cs="Cambria Math"/>
                      </w:rPr>
                      <m:rPr/>
                      <m:t>-2</m:t>
                    </m:r>
                  </m:sup>
                </m:sSup>
              </m:oMath>
            </m:oMathPara>
            <w:r>
              <w:rPr>
                <w:b w:val="0"/>
                <w:bCs w:val="0"/>
                <w:highlight w:val="none"/>
              </w:rPr>
            </w:r>
            <w:r>
              <w:rPr>
                <w:b w:val="0"/>
                <w:bCs w:val="0"/>
                <w:highlight w:val="none"/>
              </w:rPr>
            </w:r>
          </w:p>
        </w:tc>
        <w:tc>
          <w:tcPr>
            <w:tcBorders/>
            <w:tcW w:w="2835"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m:t>
                </m:r>
                <m:sSup>
                  <m:sSupPr>
                    <m:ctrlPr>
                      <w:rPr>
                        <w:rFonts w:ascii="Cambria Math" w:hAnsi="Cambria Math" w:eastAsia="Cambria Math" w:cs="Cambria Math"/>
                        <w:highlight w:val="none"/>
                      </w:rPr>
                    </m:ctrlPr>
                  </m:sSupPr>
                  <m:e>
                    <m:r>
                      <w:rPr>
                        <w:rFonts w:hint="default" w:ascii="Cambria Math" w:hAnsi="Cambria Math" w:eastAsia="Cambria Math" w:cs="Cambria Math"/>
                        <w:highlight w:val="none"/>
                      </w:rPr>
                      <m:rPr>
                        <m:sty m:val="i"/>
                      </m:rPr>
                      <m:t>12.2mAcm</m:t>
                    </m:r>
                  </m:e>
                  <m:sup>
                    <m:r>
                      <w:rPr>
                        <w:rFonts w:ascii="Cambria Math" w:hAnsi="Cambria Math" w:eastAsia="Cambria Math" w:cs="Cambria Math"/>
                      </w:rPr>
                      <m:rPr/>
                      <m:t>-2</m:t>
                    </m:r>
                  </m:sup>
                </m:sSup>
              </m:oMath>
            </m:oMathPara>
            <w:r>
              <w:rPr>
                <w:b w:val="0"/>
                <w:bCs w:val="0"/>
                <w:highlight w:val="none"/>
              </w:rPr>
            </w:r>
            <w:r>
              <w:rPr>
                <w:b w:val="0"/>
                <w:bCs w:val="0"/>
                <w:highlight w:val="none"/>
              </w:rPr>
            </w:r>
          </w:p>
        </w:tc>
        <w:tc>
          <w:tcPr>
            <w:tcBorders/>
            <w:tcW w:w="2812"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m:t>
                </m:r>
                <m:sSup>
                  <m:sSupPr>
                    <m:ctrlPr>
                      <w:rPr>
                        <w:rFonts w:ascii="Cambria Math" w:hAnsi="Cambria Math" w:eastAsia="Cambria Math" w:cs="Cambria Math"/>
                        <w:highlight w:val="none"/>
                      </w:rPr>
                    </m:ctrlPr>
                  </m:sSupPr>
                  <m:e>
                    <m:r>
                      <w:rPr>
                        <w:rFonts w:hint="default" w:ascii="Cambria Math" w:hAnsi="Cambria Math" w:eastAsia="Cambria Math" w:cs="Cambria Math"/>
                        <w:highlight w:val="none"/>
                      </w:rPr>
                      <m:rPr>
                        <m:sty m:val="i"/>
                      </m:rPr>
                      <m:t>23.3mAcm</m:t>
                    </m:r>
                  </m:e>
                  <m:sup>
                    <m:r>
                      <w:rPr>
                        <w:rFonts w:ascii="Cambria Math" w:hAnsi="Cambria Math" w:eastAsia="Cambria Math" w:cs="Cambria Math"/>
                      </w:rPr>
                      <m:rPr/>
                      <m:t>-2</m:t>
                    </m:r>
                  </m:sup>
                </m:sSup>
              </m:oMath>
            </m:oMathPara>
            <w:r>
              <w:rPr>
                <w:b w:val="0"/>
                <w:bCs w:val="0"/>
                <w:highlight w:val="none"/>
              </w:rPr>
            </w:r>
            <w:r>
              <w:rPr>
                <w:b w:val="0"/>
                <w:bCs w:val="0"/>
                <w:highlight w:val="none"/>
              </w:rPr>
            </w:r>
          </w:p>
        </w:tc>
      </w:tr>
      <w:tr>
        <w:trPr>
          <w:trHeight w:val="686"/>
        </w:trPr>
        <w:tc>
          <w:tcPr>
            <w:tcBorders/>
            <w:tcW w:w="686" w:type="dxa"/>
            <w:vMerge w:val="restart"/>
            <w:textDirection w:val="lrTb"/>
            <w:noWrap w:val="false"/>
          </w:tcPr>
          <w:p>
            <w:pPr>
              <w:pBdr/>
              <w:spacing/>
              <w:ind/>
              <w:jc w:val="center"/>
              <w:rPr>
                <w:b/>
                <w:bCs/>
                <w:highlight w:val="none"/>
              </w:rPr>
            </w:pPr>
            <w:r>
              <w:rPr>
                <w:b w:val="0"/>
                <w:bCs w:val="0"/>
                <w:highlight w:val="none"/>
              </w:rPr>
            </w:r>
            <m:oMathPara>
              <m:oMathParaPr>
                <m:jc m:val="center"/>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bi"/>
                      </m:rPr>
                      <m:t>I</m:t>
                    </m:r>
                  </m:e>
                  <m:sub>
                    <m:r>
                      <w:rPr>
                        <w:rFonts w:hint="default" w:ascii="Cambria Math" w:hAnsi="Cambria Math" w:eastAsia="Cambria Math" w:cs="Cambria Math"/>
                        <w:highlight w:val="none"/>
                      </w:rPr>
                      <m:rPr>
                        <m:sty m:val="bi"/>
                      </m:rPr>
                      <m:t>SC</m:t>
                    </m:r>
                  </m:sub>
                </m:sSub>
              </m:oMath>
            </m:oMathPara>
            <w:r>
              <w:rPr>
                <w:b/>
                <w:bCs/>
                <w:highlight w:val="none"/>
              </w:rPr>
            </w:r>
            <w:r>
              <w:rPr>
                <w:b/>
                <w:bCs/>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sSub>
                  <m:sSubPr>
                    <m:ctrlPr>
                      <w:rPr>
                        <w:rFonts w:ascii="Cambria Math" w:hAnsi="Cambria Math" w:eastAsia="Cambria Math" w:cs="Cambria Math"/>
                        <w:highlight w:val="none"/>
                        <w:u w:val="none"/>
                      </w:rPr>
                    </m:ctrlPr>
                  </m:sSubPr>
                  <m:e>
                    <m:r>
                      <w:rPr>
                        <w:rFonts w:hint="default" w:ascii="Cambria Math" w:hAnsi="Cambria Math" w:eastAsia="Cambria Math" w:cs="Cambria Math"/>
                        <w:highlight w:val="none"/>
                        <w:u w:val="none"/>
                      </w:rPr>
                      <m:rPr>
                        <m:sty m:val="i"/>
                      </m:rPr>
                      <m:t>I</m:t>
                    </m:r>
                  </m:e>
                  <m:sub>
                    <m:r>
                      <w:rPr>
                        <w:rFonts w:hint="default" w:ascii="Cambria Math" w:hAnsi="Cambria Math" w:eastAsia="Cambria Math" w:cs="Cambria Math"/>
                        <w:highlight w:val="none"/>
                      </w:rPr>
                      <m:rPr>
                        <m:sty m:val="i"/>
                      </m:rPr>
                      <m:t>SC</m:t>
                    </m:r>
                  </m:sub>
                </m:sSub>
                <m:r>
                  <w:rPr>
                    <w:rFonts w:hint="default" w:ascii="Cambria Math" w:hAnsi="Cambria Math" w:eastAsia="Cambria Math" w:cs="Cambria Math"/>
                    <w:highlight w:val="none"/>
                    <w:u w:val="none"/>
                  </w:rPr>
                  <m:rPr/>
                  <m:t>=</m:t>
                </m:r>
                <m:sSub>
                  <m:sSubPr>
                    <m:ctrlPr>
                      <w:rPr>
                        <w:rFonts w:ascii="Cambria Math" w:hAnsi="Cambria Math" w:eastAsia="Cambria Math" w:cs="Cambria Math"/>
                        <w:highlight w:val="none"/>
                        <w:u w:val="none"/>
                      </w:rPr>
                    </m:ctrlPr>
                  </m:sSubPr>
                  <m:e>
                    <m:r>
                      <w:rPr>
                        <w:rFonts w:hint="default" w:ascii="Cambria Math" w:hAnsi="Cambria Math" w:eastAsia="Cambria Math" w:cs="Cambria Math"/>
                        <w:highlight w:val="none"/>
                        <w:u w:val="none"/>
                      </w:rPr>
                      <m:rPr/>
                      <m:t>J</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u w:val="none"/>
                  </w:rPr>
                  <m:rPr>
                    <m:sty m:val="i"/>
                  </m:rPr>
                  <m:t>×Area=-2.7</m:t>
                </m:r>
                <m:r>
                  <w:rPr>
                    <w:rFonts w:hint="default" w:ascii="Cambria Math" w:hAnsi="Cambria Math" w:eastAsia="Cambria Math" w:cs="Cambria Math"/>
                    <w:highlight w:val="none"/>
                    <w:u w:val="none"/>
                  </w:rPr>
                  <m:rPr>
                    <m:sty m:val="i"/>
                  </m:rPr>
                  <m:t>×</m:t>
                </m:r>
                <m:r>
                  <w:rPr>
                    <w:rFonts w:hint="default" w:ascii="Cambria Math" w:hAnsi="Cambria Math" w:eastAsia="Cambria Math" w:cs="Cambria Math"/>
                    <w:highlight w:val="none"/>
                    <w:u w:val="none"/>
                  </w:rPr>
                  <m:rPr>
                    <m:sty m:val="i"/>
                  </m:rPr>
                  <m:t>0.045</m:t>
                </m:r>
                <m:r>
                  <w:rPr>
                    <w:rFonts w:hint="default" w:ascii="Cambria Math" w:hAnsi="Cambria Math" w:eastAsia="Cambria Math" w:cs="Cambria Math"/>
                    <w:highlight w:val="none"/>
                    <w:u w:val="none"/>
                  </w:rPr>
                  <m:rPr>
                    <m:sty m:val="i"/>
                  </m:rPr>
                  <m:t> =</m:t>
                </m:r>
                <m:r>
                  <w:rPr>
                    <w:rFonts w:hint="default" w:ascii="Cambria Math" w:hAnsi="Cambria Math" w:eastAsia="Cambria Math" w:cs="Cambria Math"/>
                    <w:highlight w:val="none"/>
                    <w:u w:val="none"/>
                  </w:rPr>
                  <m:rPr>
                    <m:sty m:val="bi"/>
                  </m:rPr>
                  <m:t>-0.122mA</m:t>
                </m:r>
              </m:oMath>
            </m:oMathPara>
            <w:r>
              <w:rPr>
                <w:b w:val="0"/>
                <w:bCs w:val="0"/>
                <w:highlight w:val="none"/>
              </w:rPr>
            </w:r>
            <w:r>
              <w:rPr>
                <w:b w:val="0"/>
                <w:bCs w:val="0"/>
                <w:highlight w:val="none"/>
              </w:rPr>
            </w:r>
          </w:p>
        </w:tc>
        <w:tc>
          <w:tcPr>
            <w:tcBorders/>
            <w:tcW w:w="2835" w:type="dxa"/>
            <w:vMerge w:val="restart"/>
            <w:textDirection w:val="lrTb"/>
            <w:noWrap w:val="false"/>
          </w:tcPr>
          <w:p>
            <w:pPr>
              <w:pBdr/>
              <w:spacing/>
              <w:ind/>
              <w:jc w:val="center"/>
              <w:rPr>
                <w:b/>
                <w:bCs/>
                <w:highlight w:val="none"/>
              </w:rPr>
            </w:pPr>
            <w:r>
              <w:rPr>
                <w:b w:val="0"/>
                <w:bCs w:val="0"/>
                <w:highlight w:val="none"/>
              </w:rPr>
            </w:r>
            <m:oMathPara>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SC</m:t>
                    </m:r>
                  </m:sub>
                </m:sSub>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J</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rPr>
                  <m:rPr>
                    <m:sty m:val="i"/>
                  </m:rPr>
                  <m:t>×Area=-</m:t>
                </m:r>
                <m:r>
                  <w:rPr>
                    <w:rFonts w:hint="default" w:ascii="Cambria Math" w:hAnsi="Cambria Math" w:eastAsia="Cambria Math" w:cs="Cambria Math"/>
                    <w:highlight w:val="none"/>
                  </w:rPr>
                  <m:rPr>
                    <m:sty m:val="i"/>
                  </m:rPr>
                  <m:t>12.2×0.045 =</m:t>
                </m:r>
                <m:r>
                  <w:rPr>
                    <w:rFonts w:hint="default" w:ascii="Cambria Math" w:hAnsi="Cambria Math" w:eastAsia="Cambria Math" w:cs="Cambria Math"/>
                    <w:highlight w:val="none"/>
                  </w:rPr>
                  <m:rPr>
                    <m:sty m:val="bi"/>
                  </m:rPr>
                  <m:t>-0.549mA</m:t>
                </m:r>
              </m:oMath>
            </m:oMathPara>
            <w:r>
              <w:rPr>
                <w:b/>
                <w:bCs/>
                <w:highlight w:val="none"/>
              </w:rPr>
            </w:r>
            <w:r>
              <w:rPr>
                <w:b/>
                <w:bCs/>
                <w:highlight w:val="none"/>
              </w:rPr>
            </w:r>
          </w:p>
        </w:tc>
        <w:tc>
          <w:tcPr>
            <w:tcBorders/>
            <w:tcW w:w="2812" w:type="dxa"/>
            <w:vMerge w:val="restart"/>
            <w:textDirection w:val="lrTb"/>
            <w:noWrap w:val="false"/>
          </w:tcPr>
          <w:p>
            <w:pPr>
              <w:pBdr/>
              <w:spacing/>
              <w:ind/>
              <w:jc w:val="center"/>
              <w:rPr>
                <w:b/>
                <w:bCs/>
                <w:highlight w:val="none"/>
              </w:rPr>
            </w:pPr>
            <w:r>
              <w:rPr>
                <w:b w:val="0"/>
                <w:bCs w:val="0"/>
                <w:highlight w:val="none"/>
              </w:rPr>
            </w:r>
            <m:oMathPara>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SC</m:t>
                    </m:r>
                  </m:sub>
                </m:sSub>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J</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rPr>
                  <m:rPr>
                    <m:sty m:val="i"/>
                  </m:rPr>
                  <m:t>×Area=-23.3</m:t>
                </m:r>
                <m:r>
                  <w:rPr>
                    <w:rFonts w:hint="default" w:ascii="Cambria Math" w:hAnsi="Cambria Math" w:eastAsia="Cambria Math" w:cs="Cambria Math"/>
                    <w:highlight w:val="none"/>
                  </w:rPr>
                  <m:rPr>
                    <m:sty m:val="i"/>
                  </m:rPr>
                  <m:t>×0.045 =</m:t>
                </m:r>
                <m:r>
                  <w:rPr>
                    <w:rFonts w:hint="default" w:ascii="Cambria Math" w:hAnsi="Cambria Math" w:eastAsia="Cambria Math" w:cs="Cambria Math"/>
                    <w:highlight w:val="none"/>
                  </w:rPr>
                  <m:rPr>
                    <m:sty m:val="bi"/>
                  </m:rPr>
                  <m:t>-1.049mA</m:t>
                </m:r>
              </m:oMath>
            </m:oMathPara>
            <w:r>
              <w:rPr>
                <w:b/>
                <w:bCs/>
                <w:highlight w:val="none"/>
              </w:rPr>
            </w:r>
            <w:r>
              <w:rPr>
                <w:b/>
                <w:bCs/>
                <w:highlight w:val="none"/>
              </w:rPr>
            </w:r>
          </w:p>
        </w:tc>
      </w:tr>
      <w:tr>
        <w:trPr/>
        <w:tc>
          <w:tcPr>
            <w:tcBorders/>
            <w:tcW w:w="686"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m:oMathPara>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bi"/>
                      </m:rPr>
                      <m:t>V</m:t>
                    </m:r>
                  </m:e>
                  <m:sub>
                    <m:r>
                      <w:rPr>
                        <w:rFonts w:hint="default" w:ascii="Cambria Math" w:hAnsi="Cambria Math" w:eastAsia="Cambria Math" w:cs="Cambria Math"/>
                        <w:highlight w:val="none"/>
                      </w:rPr>
                      <m:rPr>
                        <m:sty m:val="bi"/>
                      </m:rPr>
                      <m:t>MP</m:t>
                    </m:r>
                  </m:sub>
                </m:sSub>
              </m:oMath>
            </m:oMathPara>
            <w:r>
              <w:rPr>
                <w:b w:val="0"/>
                <w:bCs w:val="0"/>
                <w:highlight w:val="none"/>
              </w:rPr>
            </w:r>
            <w:r>
              <w:rPr>
                <w:b w:val="0"/>
                <w:bCs w:val="0"/>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0.85V</m:t>
                </m:r>
              </m:oMath>
            </m:oMathPara>
            <w:r>
              <w:rPr>
                <w:b w:val="0"/>
                <w:bCs w:val="0"/>
                <w:highlight w:val="none"/>
              </w:rPr>
            </w:r>
            <w:r>
              <w:rPr>
                <w:b w:val="0"/>
                <w:bCs w:val="0"/>
                <w:highlight w:val="none"/>
              </w:rPr>
            </w:r>
          </w:p>
        </w:tc>
        <w:tc>
          <w:tcPr>
            <w:tcBorders/>
            <w:tcW w:w="2835"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0.89V</m:t>
                </m:r>
              </m:oMath>
            </m:oMathPara>
            <w:r>
              <w:rPr>
                <w:b w:val="0"/>
                <w:bCs w:val="0"/>
                <w:highlight w:val="none"/>
              </w:rPr>
            </w:r>
            <w:r>
              <w:rPr>
                <w:b w:val="0"/>
                <w:bCs w:val="0"/>
                <w:highlight w:val="none"/>
              </w:rPr>
            </w:r>
          </w:p>
        </w:tc>
        <w:tc>
          <w:tcPr>
            <w:tcBorders/>
            <w:tcW w:w="2812"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0.89V</m:t>
                </m:r>
              </m:oMath>
            </m:oMathPara>
            <w:r>
              <w:rPr>
                <w:b w:val="0"/>
                <w:bCs w:val="0"/>
                <w:highlight w:val="none"/>
              </w:rPr>
            </w:r>
            <w:r>
              <w:rPr>
                <w:b w:val="0"/>
                <w:bCs w:val="0"/>
                <w:highlight w:val="none"/>
              </w:rPr>
            </w:r>
          </w:p>
        </w:tc>
      </w:tr>
      <w:tr>
        <w:trPr/>
        <w:tc>
          <w:tcPr>
            <w:tcBorders/>
            <w:tcW w:w="686" w:type="dxa"/>
            <w:vMerge w:val="restart"/>
            <w:textDirection w:val="lrTb"/>
            <w:noWrap w:val="false"/>
          </w:tcPr>
          <w:p>
            <w:pPr>
              <w:pBdr/>
              <w:spacing/>
              <w:ind/>
              <w:jc w:val="center"/>
              <w:rPr>
                <w:b w:val="0"/>
                <w:bCs w:val="0"/>
                <w:highlight w:val="none"/>
              </w:rPr>
            </w:pPr>
            <w:r>
              <w:rPr>
                <w:b w:val="0"/>
                <w:bCs w:val="0"/>
                <w:highlight w:val="none"/>
              </w:rPr>
            </w:r>
            <m:oMathPara>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bi"/>
                      </m:rPr>
                      <m:t>I</m:t>
                    </m:r>
                  </m:e>
                  <m:sub>
                    <m:r>
                      <w:rPr>
                        <w:rFonts w:hint="default" w:ascii="Cambria Math" w:hAnsi="Cambria Math" w:eastAsia="Cambria Math" w:cs="Cambria Math"/>
                        <w:highlight w:val="none"/>
                      </w:rPr>
                      <m:rPr>
                        <m:sty m:val="bi"/>
                      </m:rPr>
                      <m:t>MP</m:t>
                    </m:r>
                  </m:sub>
                </m:sSub>
              </m:oMath>
            </m:oMathPara>
            <w:r>
              <w:rPr>
                <w:b w:val="0"/>
                <w:bCs w:val="0"/>
                <w:highlight w:val="none"/>
              </w:rPr>
            </w:r>
            <w:r>
              <w:rPr>
                <w:b w:val="0"/>
                <w:bCs w:val="0"/>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-0.11mA</m:t>
                </m:r>
              </m:oMath>
            </m:oMathPara>
            <w:r>
              <w:rPr>
                <w:b w:val="0"/>
                <w:bCs w:val="0"/>
                <w:highlight w:val="none"/>
              </w:rPr>
            </w:r>
            <w:r>
              <w:rPr>
                <w:b w:val="0"/>
                <w:bCs w:val="0"/>
                <w:highlight w:val="none"/>
              </w:rPr>
            </w:r>
          </w:p>
        </w:tc>
        <w:tc>
          <w:tcPr>
            <w:tcBorders/>
            <w:tcW w:w="2835"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-0.51mA</m:t>
                </m:r>
              </m:oMath>
            </m:oMathPara>
            <w:r>
              <w:rPr>
                <w:b w:val="0"/>
                <w:bCs w:val="0"/>
                <w:highlight w:val="none"/>
              </w:rPr>
            </w:r>
            <w:r>
              <w:rPr>
                <w:b w:val="0"/>
                <w:bCs w:val="0"/>
                <w:highlight w:val="none"/>
              </w:rPr>
            </w:r>
          </w:p>
        </w:tc>
        <w:tc>
          <w:tcPr>
            <w:tcBorders/>
            <w:tcW w:w="2812"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-0.97mA</m:t>
                </m:r>
              </m:oMath>
            </m:oMathPara>
            <w:r>
              <w:rPr>
                <w:b w:val="0"/>
                <w:bCs w:val="0"/>
                <w:highlight w:val="none"/>
              </w:rPr>
            </w:r>
            <w:r>
              <w:rPr>
                <w:b w:val="0"/>
                <w:bCs w:val="0"/>
                <w:highlight w:val="none"/>
              </w:rPr>
            </w:r>
          </w:p>
        </w:tc>
      </w:tr>
      <w:tr>
        <w:trPr/>
        <w:tc>
          <w:tcPr>
            <w:tcBorders/>
            <w:tcW w:w="686"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m:oMathPara>
              <m:oMathParaPr/>
              <m:oMath>
                <m:r>
                  <w:rPr>
                    <w:rFonts w:hint="default" w:ascii="Cambria Math" w:hAnsi="Cambria Math" w:eastAsia="Cambria Math" w:cs="Cambria Math"/>
                    <w:highlight w:val="none"/>
                  </w:rPr>
                  <m:rPr>
                    <m:sty m:val="bi"/>
                  </m:rPr>
                  <m:t>FF</m:t>
                </m:r>
              </m:oMath>
            </m:oMathPara>
            <w:r>
              <w:rPr>
                <w:b w:val="0"/>
                <w:bCs w:val="0"/>
                <w:highlight w:val="none"/>
              </w:rPr>
            </w:r>
            <w:r>
              <w:rPr>
                <w:b w:val="0"/>
                <w:bCs w:val="0"/>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FF =</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MP</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MP</m:t>
                        </m:r>
                      </m:sub>
                    </m:sSub>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V</m:t>
                        </m:r>
                      </m:e>
                      <m:sub>
                        <m:r>
                          <w:rPr>
                            <w:rFonts w:hint="default" w:ascii="Cambria Math" w:hAnsi="Cambria Math" w:eastAsia="Cambria Math" w:cs="Cambria Math"/>
                            <w:highlight w:val="none"/>
                          </w:rPr>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0.85(0.11)</m:t>
                    </m:r>
                  </m:num>
                  <m:den>
                    <m:r>
                      <w:rPr>
                        <w:rFonts w:hint="default" w:ascii="Cambria Math" w:hAnsi="Cambria Math" w:eastAsia="Cambria Math" w:cs="Cambria Math"/>
                        <w:highlight w:val="none"/>
                      </w:rPr>
                      <m:rPr/>
                      <m:t>0.98(0.122)</m:t>
                    </m:r>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78.2%</m:t>
                </m:r>
              </m:oMath>
            </m:oMathPara>
            <w:r>
              <w:rPr>
                <w:b w:val="0"/>
                <w:bCs w:val="0"/>
                <w:highlight w:val="none"/>
              </w:rPr>
            </w:r>
            <w:r>
              <w:rPr>
                <w:b w:val="0"/>
                <w:bCs w:val="0"/>
                <w:highlight w:val="none"/>
              </w:rPr>
            </w:r>
          </w:p>
        </w:tc>
        <w:tc>
          <w:tcPr>
            <w:tcBorders/>
            <w:tcW w:w="2835"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FF =</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MP</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MP</m:t>
                        </m:r>
                      </m:sub>
                    </m:sSub>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V</m:t>
                        </m:r>
                      </m:e>
                      <m:sub>
                        <m:r>
                          <w:rPr>
                            <w:rFonts w:hint="default" w:ascii="Cambria Math" w:hAnsi="Cambria Math" w:eastAsia="Cambria Math" w:cs="Cambria Math"/>
                            <w:highlight w:val="none"/>
                          </w:rPr>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0.89(0.51)</m:t>
                    </m:r>
                  </m:num>
                  <m:den>
                    <m:r>
                      <w:rPr>
                        <w:rFonts w:hint="default" w:ascii="Cambria Math" w:hAnsi="Cambria Math" w:eastAsia="Cambria Math" w:cs="Cambria Math"/>
                        <w:highlight w:val="none"/>
                      </w:rPr>
                      <m:rPr/>
                      <m:t>1.04(0.549)</m:t>
                    </m:r>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79.5%</m:t>
                </m:r>
              </m:oMath>
            </m:oMathPara>
            <w:r>
              <w:rPr>
                <w:b w:val="0"/>
                <w:bCs w:val="0"/>
                <w:highlight w:val="none"/>
              </w:rPr>
            </w:r>
            <w:r>
              <w:rPr>
                <w:b w:val="0"/>
                <w:bCs w:val="0"/>
                <w:highlight w:val="none"/>
              </w:rPr>
            </w:r>
          </w:p>
        </w:tc>
        <w:tc>
          <w:tcPr>
            <w:tcBorders/>
            <w:tcW w:w="2812"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FF =</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MP</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MP</m:t>
                        </m:r>
                      </m:sub>
                    </m:sSub>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V</m:t>
                        </m:r>
                      </m:e>
                      <m:sub>
                        <m:r>
                          <w:rPr>
                            <w:rFonts w:hint="default" w:ascii="Cambria Math" w:hAnsi="Cambria Math" w:eastAsia="Cambria Math" w:cs="Cambria Math"/>
                            <w:highlight w:val="none"/>
                          </w:rPr>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0.89(0.97)</m:t>
                    </m:r>
                  </m:num>
                  <m:den>
                    <m:r>
                      <w:rPr>
                        <w:rFonts w:hint="default" w:ascii="Cambria Math" w:hAnsi="Cambria Math" w:eastAsia="Cambria Math" w:cs="Cambria Math"/>
                        <w:highlight w:val="none"/>
                      </w:rPr>
                      <m:rPr/>
                      <m:t>1.06(1.049)</m:t>
                    </m:r>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77.6%</m:t>
                </m:r>
              </m:oMath>
            </m:oMathPara>
            <w:r>
              <w:rPr>
                <w:b w:val="0"/>
                <w:bCs w:val="0"/>
                <w:highlight w:val="none"/>
              </w:rPr>
            </w:r>
            <w:r>
              <w:rPr>
                <w:b w:val="0"/>
                <w:bCs w:val="0"/>
                <w:highlight w:val="none"/>
              </w:rPr>
            </w:r>
          </w:p>
          <w:p>
            <w:pPr>
              <w:pBdr/>
              <w:spacing/>
              <w:ind/>
              <w:jc w:val="left"/>
              <w:rPr>
                <w:b w:val="0"/>
                <w:bCs w:val="0"/>
                <w:highlight w:val="none"/>
              </w:rPr>
            </w:pPr>
            <w:r>
              <w:rPr>
                <w:b w:val="0"/>
                <w:bCs w:val="0"/>
                <w:highlight w:val="none"/>
              </w:rPr>
            </w:r>
            <w:r>
              <w:rPr>
                <w:b w:val="0"/>
                <w:bCs w:val="0"/>
                <w:highlight w:val="none"/>
              </w:rPr>
            </w:r>
            <w:r>
              <w:rPr>
                <w:b w:val="0"/>
                <w:bCs w:val="0"/>
                <w:highlight w:val="none"/>
              </w:rPr>
            </w:r>
          </w:p>
        </w:tc>
      </w:tr>
      <w:tr>
        <w:trPr/>
        <w:tc>
          <w:tcPr>
            <w:tcBorders/>
            <w:tcW w:w="686" w:type="dxa"/>
            <w:vMerge w:val="restart"/>
            <w:textDirection w:val="lrTb"/>
            <w:noWrap w:val="false"/>
          </w:tcPr>
          <w:p>
            <w:pPr>
              <w:pBdr/>
              <w:spacing/>
              <w:ind/>
              <w:jc w:val="center"/>
              <w:rPr>
                <w:b/>
                <w:bCs/>
                <w:highlight w:val="none"/>
              </w:rPr>
            </w:pPr>
            <w:r>
              <w:rPr>
                <w:b w:val="0"/>
                <w:bCs w:val="0"/>
                <w:highlight w:val="none"/>
              </w:rPr>
            </w:r>
            <w:r>
              <w:rPr>
                <w:b w:val="0"/>
                <w:bCs w:val="0"/>
                <w:highlight w:val="none"/>
              </w:rPr>
            </w:r>
            <m:oMathPara>
              <m:oMathParaPr/>
              <m:oMath>
                <m:r>
                  <w:rPr>
                    <w:rFonts w:hint="default" w:ascii="Cambria Math" w:hAnsi="Cambria Math" w:eastAsia="Cambria Math" w:cs="Cambria Math"/>
                    <w:highlight w:val="none"/>
                  </w:rPr>
                  <m:rPr>
                    <m:sty m:val="bi"/>
                  </m:rPr>
                  <m:t>η</m:t>
                </m:r>
              </m:oMath>
            </m:oMathPara>
            <w:r>
              <w:rPr>
                <w:b/>
                <w:bCs/>
                <w:highlight w:val="none"/>
              </w:rPr>
            </w:r>
            <w:r>
              <w:rPr>
                <w:b/>
                <w:bCs/>
                <w:highlight w:val="none"/>
              </w:rPr>
            </w:r>
          </w:p>
        </w:tc>
        <w:tc>
          <w:tcPr>
            <w:tcBorders/>
            <w:tcW w:w="2693" w:type="dxa"/>
            <w:vMerge w:val="restart"/>
            <w:textDirection w:val="lrTb"/>
            <w:noWrap w:val="false"/>
          </w:tcPr>
          <w:p>
            <w:pPr>
              <w:pBdr/>
              <w:spacing/>
              <w:ind/>
              <w:jc w:val="center"/>
              <w:rPr>
                <w:b/>
                <w:bCs/>
                <w:highlight w:val="none"/>
              </w:rPr>
            </w:pPr>
            <w:r>
              <w:rPr>
                <w:b w:val="0"/>
                <w:bCs w:val="0"/>
                <w:highlight w:val="none"/>
              </w:rPr>
            </w:r>
            <m:oMathPara>
              <m:oMathParaPr/>
              <m:oMath>
                <m:r>
                  <w:rPr>
                    <w:rFonts w:hint="default" w:ascii="Cambria Math" w:hAnsi="Cambria Math" w:eastAsia="Cambria Math" w:cs="Cambria Math"/>
                    <w:highlight w:val="none"/>
                  </w:rPr>
                  <m:rPr>
                    <m:sty m:val="i"/>
                  </m:rPr>
                  <m:t>η=</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rPr>
                      <m:rPr/>
                      <m:t>FF</m:t>
                    </m:r>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P</m:t>
                        </m:r>
                      </m:e>
                      <m:sub>
                        <m:r>
                          <w:rPr>
                            <w:rFonts w:hint="default" w:ascii="Cambria Math" w:hAnsi="Cambria Math" w:eastAsia="Cambria Math" w:cs="Cambria Math"/>
                            <w:highlight w:val="none"/>
                          </w:rPr>
                          <m:rPr/>
                          <m:t>in</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0.98(0.122)(0.782)</m:t>
                    </m:r>
                  </m:num>
                  <m:den>
                    <m:r>
                      <w:rPr>
                        <w:rFonts w:hint="default" w:ascii="Cambria Math" w:hAnsi="Cambria Math" w:eastAsia="Cambria Math" w:cs="Cambria Math"/>
                        <w:highlight w:val="none"/>
                      </w:rPr>
                      <m:rPr/>
                      <m:t>10</m:t>
                    </m:r>
                    <m:d>
                      <m:dPr>
                        <m:begChr m:val="("/>
                        <m:endChr m:val=")"/>
                        <m:ctrlPr>
                          <w:rPr>
                            <w:rFonts w:ascii="Cambria Math" w:hAnsi="Cambria Math" w:eastAsia="Cambria Math" w:cs="Cambria Math"/>
                            <w:highlight w:val="none"/>
                          </w:rPr>
                        </m:ctrlPr>
                      </m:dPr>
                      <m:e>
                        <m:r>
                          <w:rPr>
                            <w:rFonts w:hint="default" w:ascii="Cambria Math" w:hAnsi="Cambria Math" w:eastAsia="Cambria Math" w:cs="Cambria Math"/>
                            <w:highlight w:val="none"/>
                          </w:rPr>
                          <m:rPr/>
                          <m:t>0.045</m:t>
                        </m:r>
                      </m:e>
                    </m:d>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20.8%</m:t>
                </m:r>
              </m:oMath>
            </m:oMathPara>
            <w:r>
              <w:rPr>
                <w:b/>
                <w:bCs/>
                <w:highlight w:val="none"/>
              </w:rPr>
            </w:r>
            <w:r>
              <w:rPr>
                <w:b/>
                <w:bCs/>
                <w:highlight w:val="none"/>
              </w:rPr>
            </w:r>
          </w:p>
        </w:tc>
        <w:tc>
          <w:tcPr>
            <w:tcBorders/>
            <w:tcW w:w="2835"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m:oMathPara>
              <m:oMathParaPr/>
              <m:oMath>
                <m:r>
                  <w:rPr>
                    <w:rFonts w:hint="default" w:ascii="Cambria Math" w:hAnsi="Cambria Math" w:eastAsia="Cambria Math" w:cs="Cambria Math"/>
                    <w:highlight w:val="none"/>
                  </w:rPr>
                  <m:rPr>
                    <m:sty m:val="i"/>
                  </m:rPr>
                  <m:t>η=</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rPr>
                      <m:rPr/>
                      <m:t>FF</m:t>
                    </m:r>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P</m:t>
                        </m:r>
                      </m:e>
                      <m:sub>
                        <m:r>
                          <w:rPr>
                            <w:rFonts w:hint="default" w:ascii="Cambria Math" w:hAnsi="Cambria Math" w:eastAsia="Cambria Math" w:cs="Cambria Math"/>
                            <w:highlight w:val="none"/>
                          </w:rPr>
                          <m:rPr/>
                          <m:t>in</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1.04(0.549)(0.795)</m:t>
                    </m:r>
                  </m:num>
                  <m:den>
                    <m:r>
                      <w:rPr>
                        <w:rFonts w:hint="default" w:ascii="Cambria Math" w:hAnsi="Cambria Math" w:eastAsia="Cambria Math" w:cs="Cambria Math"/>
                        <w:highlight w:val="none"/>
                      </w:rPr>
                      <m:rPr/>
                      <m:t>50</m:t>
                    </m:r>
                    <m:d>
                      <m:dPr>
                        <m:begChr m:val="("/>
                        <m:endChr m:val=")"/>
                        <m:ctrlPr>
                          <w:rPr>
                            <w:rFonts w:ascii="Cambria Math" w:hAnsi="Cambria Math" w:eastAsia="Cambria Math" w:cs="Cambria Math"/>
                            <w:highlight w:val="none"/>
                          </w:rPr>
                        </m:ctrlPr>
                      </m:dPr>
                      <m:e>
                        <m:r>
                          <w:rPr>
                            <w:rFonts w:hint="default" w:ascii="Cambria Math" w:hAnsi="Cambria Math" w:eastAsia="Cambria Math" w:cs="Cambria Math"/>
                            <w:highlight w:val="none"/>
                          </w:rPr>
                          <m:rPr/>
                          <m:t>0.045</m:t>
                        </m:r>
                      </m:e>
                    </m:d>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20.2%</m:t>
                </m:r>
              </m:oMath>
            </m:oMathPara>
            <w:r>
              <w:rPr>
                <w:b w:val="0"/>
                <w:bCs w:val="0"/>
                <w:highlight w:val="none"/>
              </w:rPr>
            </w:r>
            <w:r>
              <w:rPr>
                <w:b w:val="0"/>
                <w:bCs w:val="0"/>
                <w:highlight w:val="none"/>
              </w:rPr>
            </w:r>
          </w:p>
        </w:tc>
        <w:tc>
          <w:tcPr>
            <w:tcBorders/>
            <w:tcW w:w="2812"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m:oMathPara>
              <m:oMathParaPr/>
              <m:oMath>
                <m:r>
                  <w:rPr>
                    <w:rFonts w:hint="default" w:ascii="Cambria Math" w:hAnsi="Cambria Math" w:eastAsia="Cambria Math" w:cs="Cambria Math"/>
                    <w:highlight w:val="none"/>
                  </w:rPr>
                  <m:rPr>
                    <m:sty m:val="i"/>
                  </m:rPr>
                  <m:t>η=</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rPr>
                      <m:rPr/>
                      <m:t>FF</m:t>
                    </m:r>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P</m:t>
                        </m:r>
                      </m:e>
                      <m:sub>
                        <m:r>
                          <w:rPr>
                            <w:rFonts w:hint="default" w:ascii="Cambria Math" w:hAnsi="Cambria Math" w:eastAsia="Cambria Math" w:cs="Cambria Math"/>
                            <w:highlight w:val="none"/>
                          </w:rPr>
                          <m:rPr/>
                          <m:t>in</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1.06(1.049)(0.776)</m:t>
                    </m:r>
                  </m:num>
                  <m:den>
                    <m:r>
                      <w:rPr>
                        <w:rFonts w:hint="default" w:ascii="Cambria Math" w:hAnsi="Cambria Math" w:eastAsia="Cambria Math" w:cs="Cambria Math"/>
                        <w:highlight w:val="none"/>
                      </w:rPr>
                      <m:rPr/>
                      <m:t>100</m:t>
                    </m:r>
                    <m:d>
                      <m:dPr>
                        <m:begChr m:val="("/>
                        <m:endChr m:val=")"/>
                        <m:ctrlPr>
                          <w:rPr>
                            <w:rFonts w:ascii="Cambria Math" w:hAnsi="Cambria Math" w:eastAsia="Cambria Math" w:cs="Cambria Math"/>
                            <w:highlight w:val="none"/>
                          </w:rPr>
                        </m:ctrlPr>
                      </m:dPr>
                      <m:e>
                        <m:r>
                          <w:rPr>
                            <w:rFonts w:hint="default" w:ascii="Cambria Math" w:hAnsi="Cambria Math" w:eastAsia="Cambria Math" w:cs="Cambria Math"/>
                            <w:highlight w:val="none"/>
                          </w:rPr>
                          <m:rPr/>
                          <m:t>0.045</m:t>
                        </m:r>
                      </m:e>
                    </m:d>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19.2%</m:t>
                </m:r>
              </m:oMath>
            </m:oMathPara>
            <w:r>
              <w:rPr>
                <w:b w:val="0"/>
                <w:bCs w:val="0"/>
                <w:highlight w:val="none"/>
              </w:rPr>
            </w:r>
            <w:r>
              <w:rPr>
                <w:b w:val="0"/>
                <w:bCs w:val="0"/>
                <w:highlight w:val="none"/>
              </w:rPr>
            </w:r>
          </w:p>
        </w:tc>
      </w:tr>
    </w:tbl>
    <w:p>
      <w:pPr>
        <w:pStyle w:val="831"/>
        <w:pBdr/>
        <w:spacing/>
        <w:ind/>
        <w:rPr>
          <w:b w:val="0"/>
          <w:bCs w:val="0"/>
          <w:highlight w:val="none"/>
        </w:rPr>
      </w:pPr>
      <w:r>
        <w:rPr>
          <w:b w:val="0"/>
          <w:bCs w:val="0"/>
          <w:highlight w:val="none"/>
        </w:rPr>
        <w:t xml:space="preserve">Discussion &amp; Interpretation</w:t>
      </w:r>
      <w:r>
        <w:rPr>
          <w:b w:val="0"/>
          <w:bCs w:val="0"/>
          <w:highlight w:val="none"/>
        </w:rPr>
      </w:r>
      <w:r>
        <w:rPr>
          <w:b w:val="0"/>
          <w:bCs w:val="0"/>
          <w:highlight w:val="none"/>
        </w:rPr>
      </w:r>
      <w:r>
        <w:rPr>
          <w:b w:val="0"/>
          <w:bCs w:val="0"/>
          <w:highlight w:val="none"/>
        </w:rPr>
      </w:r>
      <w:r>
        <w:rPr>
          <w:b w:val="0"/>
          <w:bCs w:val="0"/>
          <w:highlight w:val="none"/>
        </w:rPr>
      </w:r>
      <w:r/>
      <w:r>
        <w:rPr>
          <w:b w:val="0"/>
          <w:bCs w:val="0"/>
          <w:highlight w:val="none"/>
        </w:rPr>
      </w:r>
    </w:p>
    <w:p>
      <w:pPr>
        <w:pBdr/>
        <w:spacing/>
        <w:ind/>
        <w:rPr>
          <w:b/>
          <w:bCs/>
          <w:u w:val="single"/>
        </w:rPr>
      </w:pPr>
      <w:r>
        <w:rPr>
          <w:b/>
          <w:bCs/>
          <w:u w:val="single"/>
        </w:rPr>
        <w:t xml:space="preserve">Short circuit current</w:t>
      </w:r>
      <w:r>
        <w:rPr>
          <w:b w:val="0"/>
          <w:bCs w:val="0"/>
          <w:highlight w:val="none"/>
        </w:rPr>
      </w:r>
      <w:r>
        <w:rPr>
          <w:b/>
          <w:bCs/>
          <w:u w:val="single"/>
        </w:rPr>
      </w:r>
      <w:r>
        <w:rPr>
          <w:b w:val="0"/>
          <w:bCs w:val="0"/>
          <w:highlight w:val="none"/>
        </w:rPr>
      </w:r>
      <w:r>
        <w:rPr>
          <w:b w:val="0"/>
          <w:bCs w:val="0"/>
          <w:highlight w:val="none"/>
        </w:rPr>
        <w:t xml:space="preserve"> </w:t>
        <w:br/>
        <w:t xml:space="preserve">Light intensity is directly proportional to the rate of photon incidence on the solar cell in photons per second per unit area. Current is induced when </w:t>
      </w:r>
      <w:r>
        <w:rPr>
          <w:b w:val="0"/>
          <w:bCs w:val="0"/>
          <w:highlight w:val="none"/>
        </w:rPr>
        <w:t xml:space="preserve">an electron absorbs a photon with energy larger than or equal to the bandgap of the material exciting it from the valence to the conduction band. Assuming all the excited electrons contribute to the generated current at short circuit condition, this would mean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SC</m:t>
            </m:r>
          </m:sub>
        </m:sSub>
      </m:oMath>
      <w:r>
        <w:rPr>
          <w:b w:val="0"/>
          <w:bCs w:val="0"/>
          <w:highlight w:val="none"/>
        </w:rPr>
        <w:t xml:space="preserve"> is directly proportional the light intensity.</w:t>
      </w:r>
      <w:r/>
      <w:r>
        <w:rPr>
          <w:b/>
          <w:bCs/>
          <w:u w:val="single"/>
        </w:rPr>
      </w:r>
    </w:p>
    <w:p>
      <w:pPr>
        <w:pBdr/>
        <w:spacing/>
        <w:ind/>
        <w:rPr>
          <w:b w:val="0"/>
          <w:bCs w:val="0"/>
          <w:highlight w:val="none"/>
        </w:rPr>
      </w:pPr>
      <w:r>
        <w:rPr>
          <w:b/>
          <w:bCs/>
          <w:highlight w:val="none"/>
          <w:u w:val="single"/>
        </w:rPr>
        <w:t xml:space="preserve">Open circuit voltage</w:t>
      </w:r>
      <w:r>
        <w:rPr>
          <w:b w:val="0"/>
          <w:bCs w:val="0"/>
          <w:highlight w:val="none"/>
        </w:rPr>
        <w:t xml:space="preserve"> </w:t>
        <w:br/>
        <w:t xml:space="preserve">Under illumination, the relationship between current and voltage in a solar cell is exponential.</w:t>
      </w:r>
      <w:r/>
    </w:p>
    <w:p>
      <w:pPr>
        <w:pBdr/>
        <w:spacing/>
        <w:ind/>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I =</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m:t>
              </m:r>
            </m:sub>
          </m:sSub>
          <m:r>
            <w:rPr>
              <w:rFonts w:hint="default" w:ascii="Cambria Math" w:hAnsi="Cambria Math" w:eastAsia="Cambria Math" w:cs="Cambria Math"/>
              <w:highlight w:val="none"/>
            </w:rPr>
            <m:rPr>
              <m:sty m:val="i"/>
            </m:rPr>
            <m:t>exp</m:t>
          </m:r>
          <m:d>
            <m:dPr>
              <m:begChr m:val="("/>
              <m:endChr m:val=")"/>
              <m:ctrlPr>
                <w:rPr>
                  <w:rFonts w:ascii="Cambria Math" w:hAnsi="Cambria Math" w:eastAsia="Cambria Math" w:cs="Cambria Math"/>
                  <w:highlight w:val="none"/>
                </w:rPr>
              </m:ctrlPr>
            </m:dPr>
            <m:e>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sty m:val="i"/>
                    </m:rPr>
                    <m:t>V</m:t>
                  </m:r>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T</m:t>
                      </m:r>
                    </m:sub>
                  </m:sSub>
                </m:den>
              </m:f>
              <m:r>
                <w:rPr>
                  <w:rFonts w:hint="default" w:ascii="Cambria Math" w:hAnsi="Cambria Math" w:eastAsia="Cambria Math" w:cs="Cambria Math"/>
                  <w:highlight w:val="none"/>
                </w:rPr>
                <m:rPr/>
                <m:t>-1</m:t>
              </m:r>
            </m:e>
          </m:d>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photon</m:t>
              </m:r>
            </m:sub>
          </m:sSub>
        </m:oMath>
      </m:oMathPara>
      <w:r>
        <w:rPr>
          <w:b w:val="0"/>
          <w:bCs w:val="0"/>
          <w:highlight w:val="none"/>
        </w:rPr>
      </w:r>
      <w:r/>
    </w:p>
    <w:p>
      <w:pPr>
        <w:pBdr/>
        <w:spacing/>
        <w:ind/>
        <w:rPr>
          <w:b w:val="0"/>
          <w:bCs w:val="0"/>
          <w:highlight w:val="none"/>
        </w:rPr>
      </w:pPr>
      <w:r>
        <w:rPr>
          <w:b w:val="0"/>
          <w:bCs w:val="0"/>
          <w:highlight w:val="none"/>
        </w:rPr>
        <w:t xml:space="preserve">This can be used to find a relationship between the open circuit voltage and the photocurrent. At open circuit, current is zero hence the relationship can be simplified</w:t>
      </w:r>
      <w:r>
        <w:rPr>
          <w:b w:val="0"/>
          <w:bCs w:val="0"/>
          <w:highlight w:val="none"/>
        </w:rPr>
        <w:t xml:space="preserve">.</w:t>
      </w:r>
      <w:r/>
    </w:p>
    <w:p>
      <w:pPr>
        <w:pBdr/>
        <w:spacing/>
        <w:ind/>
        <w:rPr>
          <w:b w:val="0"/>
          <w:bCs w:val="0"/>
          <w:highlight w:val="none"/>
        </w:rPr>
      </w:pPr>
      <w:r>
        <w:rPr>
          <w:b w:val="0"/>
          <w:bCs w:val="0"/>
          <w:highlight w:val="none"/>
        </w:rPr>
        <w:t xml:space="preserve">Since the photocurrent is much larger than the saturation current, the -1 term in the exponential is negligible. Rearranging for voltage gives the following.</w:t>
      </w:r>
      <w:r>
        <w:rPr>
          <w:b w:val="0"/>
          <w:bCs w:val="0"/>
          <w:highlight w:val="none"/>
        </w:rPr>
      </w:r>
    </w:p>
    <w:p>
      <w:pPr>
        <w:pBdr/>
        <w:spacing/>
        <w:ind/>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 </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OC</m:t>
              </m:r>
            </m:sub>
          </m:sSub>
          <m:r>
            <w:rPr>
              <w:rFonts w:hint="default" w:ascii="Cambria Math" w:hAnsi="Cambria Math" w:eastAsia="Cambria Math" w:cs="Cambria Math"/>
              <w:highlight w:val="none"/>
            </w:rPr>
            <m:rPr>
              <m:sty m:val="i"/>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T</m:t>
              </m:r>
            </m:sub>
          </m:sSub>
          <m:r>
            <w:rPr>
              <w:rFonts w:hint="default" w:ascii="Cambria Math" w:hAnsi="Cambria Math" w:eastAsia="Cambria Math" w:cs="Cambria Math"/>
              <w:highlight w:val="none"/>
            </w:rPr>
            <m:rPr>
              <m:sty m:val="i"/>
            </m:rPr>
            <m:t>ln</m:t>
          </m:r>
          <m:d>
            <m:dPr>
              <m:begChr m:val="("/>
              <m:endChr m:val=")"/>
              <m:ctrlPr>
                <w:rPr>
                  <w:rFonts w:ascii="Cambria Math" w:hAnsi="Cambria Math" w:eastAsia="Cambria Math" w:cs="Cambria Math"/>
                  <w:highlight w:val="none"/>
                </w:rPr>
              </m:ctrlPr>
            </m:dPr>
            <m:e>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photon</m:t>
                      </m:r>
                    </m:sub>
                  </m:sSub>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m:t>
                      </m:r>
                    </m:sub>
                  </m:sSub>
                </m:den>
              </m:f>
            </m:e>
          </m:d>
        </m:oMath>
      </m:oMathPara>
      <w:r>
        <w:rPr>
          <w:b w:val="0"/>
          <w:bCs w:val="0"/>
          <w:highlight w:val="none"/>
        </w:rPr>
      </w:r>
      <w:r>
        <w:rPr>
          <w:b w:val="0"/>
          <w:bCs w:val="0"/>
          <w:highlight w:val="none"/>
        </w:rPr>
      </w:r>
    </w:p>
    <w:p>
      <w:pPr>
        <w:pBdr/>
        <w:spacing/>
        <w:ind/>
        <w:rPr>
          <w:b w:val="0"/>
          <w:bCs w:val="0"/>
          <w:highlight w:val="none"/>
        </w:rPr>
      </w:pPr>
      <w:r>
        <w:rPr>
          <w:b w:val="0"/>
          <w:bCs w:val="0"/>
          <w:highlight w:val="none"/>
        </w:rPr>
        <w:t xml:space="preserve">The open circuit voltage has a logarithmic relationship to the photocurrent. The photocurrent is directory proportional to light intensity</w:t>
      </w:r>
      <w:r>
        <w:rPr>
          <w:b w:val="0"/>
          <w:bCs w:val="0"/>
          <w:highlight w:val="none"/>
        </w:rPr>
        <w:t xml:space="preserve">, meaning that the relationship between the open circuit voltage and light intensity is also logarithmic.</w:t>
      </w:r>
      <w:r>
        <w:rPr>
          <w:b w:val="0"/>
          <w:bCs w:val="0"/>
          <w:highlight w:val="none"/>
        </w:rPr>
      </w:r>
    </w:p>
    <w:p>
      <w:pPr>
        <w:pBdr/>
        <w:spacing/>
        <w:ind/>
        <w:rPr>
          <w:b w:val="0"/>
          <w:bCs w:val="0"/>
          <w:highlight w:val="none"/>
          <w:u w:val="none"/>
        </w:rPr>
      </w:pPr>
      <w:r>
        <w:rPr>
          <w:b w:val="0"/>
          <w:bCs w:val="0"/>
          <w:highlight w:val="none"/>
        </w:rPr>
      </w:r>
      <w:r>
        <w:rPr>
          <w:b/>
          <w:bCs/>
          <w:highlight w:val="none"/>
          <w:u w:val="single"/>
        </w:rPr>
        <w:t xml:space="preserve">Resistive Effects</w:t>
      </w:r>
      <w:r>
        <w:rPr>
          <w:b/>
          <w:bCs/>
          <w:highlight w:val="none"/>
          <w:u w:val="single"/>
        </w:rPr>
        <w:t xml:space="preserve"> – Series and Shunt</w:t>
      </w:r>
      <w:r>
        <w:rPr>
          <w:b w:val="0"/>
          <w:bCs w:val="0"/>
          <w:highlight w:val="none"/>
          <w:u w:val="none"/>
        </w:rPr>
        <w:br/>
        <w:t xml:space="preserve">Series resistance is caused by current flow through the bulk semiconductor, resistance between the semiconductor and metal contacts, then finally the resistance of the metal contacts themselves. This adds a resistance in series with the load connected to the solar cell, introducing a voltage drop. In turn, this reduces the fill factor. </w:t>
      </w:r>
      <w:r>
        <w:rPr>
          <w:b w:val="0"/>
          <w:bCs w:val="0"/>
          <w:highlight w:val="none"/>
        </w:rPr>
        <w:t xml:space="preserve">An example of this is shown in Figure 4.</w:t>
      </w:r>
      <w:r>
        <w:rPr>
          <w:b w:val="0"/>
          <w:bCs w:val="0"/>
          <w:highlight w:val="none"/>
        </w:rPr>
        <w:t xml:space="preserve"> </w:t>
      </w:r>
      <w:r>
        <w:rPr>
          <w:b w:val="0"/>
          <w:bCs w:val="0"/>
          <w:highlight w:val="none"/>
        </w:rPr>
        <w:t xml:space="preserve">Larger values of series resistance can reduce the short circuit current.</w:t>
      </w:r>
      <w:r/>
      <w:r>
        <w:rPr>
          <w:b w:val="0"/>
          <w:bCs w:val="0"/>
          <w:highlight w:val="none"/>
        </w:rPr>
        <w:t xml:space="preserve"> </w:t>
      </w:r>
      <w:r>
        <w:rPr>
          <w:b w:val="0"/>
          <w:bCs w:val="0"/>
          <w:highlight w:val="none"/>
          <w:u w:val="none"/>
        </w:rPr>
      </w:r>
    </w:p>
    <w:p>
      <w:pPr>
        <w:pBdr/>
        <w:spacing/>
        <w:ind/>
        <w:rPr>
          <w:b w:val="0"/>
          <w:bCs w:val="0"/>
          <w:highlight w:val="none"/>
          <w:u w:val="none"/>
        </w:rPr>
      </w:pPr>
      <w:r>
        <w:rPr>
          <w:b w:val="0"/>
          <w:bCs w:val="0"/>
          <w:highlight w:val="none"/>
          <w:u w:val="none"/>
        </w:rPr>
        <w:t xml:space="preserve">Shunt resistance is caused by manufacturing defects in the solar cell.</w:t>
      </w:r>
      <w:r>
        <w:rPr>
          <w:b w:val="0"/>
          <w:bCs w:val="0"/>
          <w:highlight w:val="none"/>
          <w:u w:val="none"/>
        </w:rPr>
        <w:t xml:space="preserve"> </w:t>
      </w:r>
      <w:r>
        <w:rPr>
          <w:b w:val="0"/>
          <w:bCs w:val="0"/>
          <w:highlight w:val="none"/>
          <w:u w:val="none"/>
        </w:rPr>
        <w:t xml:space="preserve">This adds a resistance in parallel to the load connected with the solar cell.</w:t>
      </w:r>
      <w:r>
        <w:rPr>
          <w:b w:val="0"/>
          <w:bCs w:val="0"/>
          <w:highlight w:val="none"/>
          <w:u w:val="none"/>
        </w:rPr>
        <w:t xml:space="preserve"> Smaller values cause power loss by providing an alternate path for the generated current, reducing the current flow to the load.</w:t>
      </w:r>
      <w:r>
        <w:rPr>
          <w:b w:val="0"/>
          <w:bCs w:val="0"/>
          <w:highlight w:val="none"/>
          <w:u w:val="none"/>
        </w:rPr>
        <w:t xml:space="preserve"> </w:t>
      </w:r>
      <w:r>
        <w:rPr>
          <w:b w:val="0"/>
          <w:bCs w:val="0"/>
          <w:highlight w:val="none"/>
        </w:rPr>
        <w:t xml:space="preserve">This effect is severe at low light intensities since the generated current is small. </w:t>
      </w:r>
      <w:r>
        <w:rPr>
          <w:b w:val="0"/>
          <w:bCs w:val="0"/>
          <w:highlight w:val="none"/>
        </w:rPr>
        <w:t xml:space="preserve">The current across the load at the corresponding operating voltages, in comparison to that without shunt resistance, would be reduced, hence reducing the fill factor. An example of this is shown in Figure 4.</w:t>
      </w:r>
      <w:r>
        <w:rPr>
          <w:b w:val="0"/>
          <w:bCs w:val="0"/>
          <w:highlight w:val="none"/>
        </w:rPr>
        <w:t xml:space="preserve"> </w:t>
      </w:r>
      <w:r>
        <w:rPr>
          <w:b w:val="0"/>
          <w:bCs w:val="0"/>
          <w:highlight w:val="none"/>
          <w:u w:val="none"/>
        </w:rPr>
        <w:t xml:space="preserve">Ideally, series resistance should be zero and shunt resistance should be infinite</w:t>
      </w:r>
      <w:r>
        <w:rPr>
          <w:b w:val="0"/>
          <w:bCs w:val="0"/>
          <w:highlight w:val="none"/>
          <w:u w:val="none"/>
        </w:rPr>
        <w:t xml:space="preserve">.</w:t>
      </w:r>
      <w:r>
        <w:rPr>
          <w:b w:val="0"/>
          <w:bCs w:val="0"/>
          <w:highlight w:val="none"/>
          <w:u w:val="none"/>
        </w:rPr>
      </w:r>
    </w:p>
    <w:p>
      <w:pPr>
        <w:pBdr/>
        <w:spacing/>
        <w:ind/>
        <w:rPr>
          <w:b w:val="0"/>
          <w:bCs w:val="0"/>
          <w:highlight w:val="none"/>
        </w:rPr>
      </w:pPr>
      <w:r>
        <w:rPr>
          <w:b w:val="0"/>
          <w:bCs w:val="0"/>
          <w:highlight w:val="none"/>
        </w:rPr>
      </w:r>
      <w:r>
        <w:rPr>
          <w:b w:val="0"/>
          <w:bCs w:val="0"/>
          <w:highlight w:val="none"/>
        </w:rPr>
        <w:t xml:space="preserve">Since efficiency and fill factor are directly proportional, both these resistances reduce the efficiency of the solar cell.</w:t>
      </w:r>
      <w:r>
        <w:rPr>
          <w:b w:val="0"/>
          <w:bCs w:val="0"/>
          <w:highlight w:val="none"/>
        </w:rPr>
      </w:r>
    </w:p>
    <w:p>
      <w:pPr>
        <w:pBdr/>
        <w:spacing/>
        <w:ind/>
        <w:jc w:val="center"/>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4908473" cy="2116561"/>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653319" name=""/>
                        <pic:cNvPicPr>
                          <a:picLocks noChangeAspect="1"/>
                        </pic:cNvPicPr>
                        <pic:nvPr/>
                      </pic:nvPicPr>
                      <pic:blipFill rotWithShape="1">
                        <a:blip r:embed="rId13"/>
                        <a:stretch/>
                      </pic:blipFill>
                      <pic:spPr bwMode="auto">
                        <a:xfrm flipH="0" flipV="0">
                          <a:off x="0" y="0"/>
                          <a:ext cx="4908472" cy="211656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86.49pt;height:166.66pt;mso-wrap-distance-left:0.00pt;mso-wrap-distance-top:0.00pt;mso-wrap-distance-right:0.00pt;mso-wrap-distance-bottom:0.00pt;z-index:1;" stroked="false">
                <v:imagedata r:id="rId13" o:title=""/>
                <o:lock v:ext="edit" rotation="t"/>
              </v:shape>
            </w:pict>
          </mc:Fallback>
        </mc:AlternateContent>
      </w:r>
      <w:r>
        <w:rPr>
          <w:b w:val="0"/>
          <w:bCs w:val="0"/>
          <w:highlight w:val="none"/>
        </w:rPr>
      </w:r>
      <w:r/>
      <w:r/>
      <w:r/>
      <w:r>
        <w:rPr>
          <w:b w:val="0"/>
          <w:bCs w:val="0"/>
          <w:highlight w:val="none"/>
        </w:rPr>
      </w:r>
      <w:r>
        <w:rPr>
          <w:b w:val="0"/>
          <w:bCs w:val="0"/>
          <w:highlight w:val="none"/>
        </w:rPr>
      </w:r>
      <w:r/>
      <w:r/>
      <w:r/>
      <w:r>
        <w:rPr>
          <w:b w:val="0"/>
          <w:bCs w:val="0"/>
          <w:highlight w:val="none"/>
        </w:rPr>
      </w:r>
      <w:r>
        <w:rPr>
          <w:b w:val="0"/>
          <w:bCs w:val="0"/>
          <w:highlight w:val="none"/>
        </w:rPr>
      </w:r>
    </w:p>
    <w:p>
      <w:pPr>
        <w:pStyle w:val="869"/>
        <w:pBdr/>
        <w:spacing/>
        <w:ind/>
        <w:rPr/>
      </w:pPr>
      <w:r>
        <w:t xml:space="preserve">Figure </w:t>
      </w:r>
      <w:r>
        <w:fldChar w:fldCharType="begin"/>
        <w:instrText xml:space="preserve"> SEQ Figure \* Arabic </w:instrText>
        <w:fldChar w:fldCharType="separate"/>
      </w:r>
      <w:r>
        <w:t xml:space="preserve">4</w:t>
      </w:r>
      <w:r/>
      <w:r>
        <w:fldChar w:fldCharType="end"/>
      </w:r>
      <w:r>
        <w:t xml:space="preserve">: Graphs showing the effects of series resistance (left) and shunt resistance (right) on solar cell IV curves (From lecture notes) </w:t>
      </w:r>
      <w:r/>
    </w:p>
    <w:p>
      <w:pPr>
        <w:pBdr/>
        <w:spacing/>
        <w:ind/>
        <w:rPr>
          <w:b w:val="0"/>
          <w:bCs w:val="0"/>
          <w:highlight w:val="none"/>
          <w:u w:val="none"/>
        </w:rPr>
      </w:pPr>
      <w:r>
        <w:rPr>
          <w:b w:val="0"/>
          <w:bCs w:val="0"/>
          <w:highlight w:val="none"/>
          <w:u w:val="none"/>
        </w:rPr>
      </w:r>
      <w:r>
        <w:rPr>
          <w:b/>
          <w:bCs/>
          <w:highlight w:val="none"/>
          <w:u w:val="single"/>
        </w:rPr>
        <w:t xml:space="preserve">Perovskite Solar cells under low light</w:t>
        <w:br/>
      </w:r>
      <w:r>
        <w:rPr>
          <w:b w:val="0"/>
          <w:bCs w:val="0"/>
          <w:highlight w:val="none"/>
          <w:u w:val="none"/>
        </w:rPr>
        <w:t xml:space="preserve">The fill factor and efficiency of the perovskite solar cell at 10% light intensity is relatively similar to that at 50% and 100% light intensity. This suggests the efficiency of the PSC is not significantly dependent on the light intensity. The fill factor and efficiency is slightly lower at 100% light intensity suggesting the resistive effects still exist but aren’t significant enough to </w:t>
      </w:r>
      <w:r>
        <w:rPr>
          <w:b w:val="0"/>
          <w:bCs w:val="0"/>
          <w:highlight w:val="none"/>
          <w:u w:val="none"/>
        </w:rPr>
        <w:t xml:space="preserve">radically affect the solar cell’s performance. </w:t>
      </w:r>
      <w:r>
        <w:rPr>
          <w:b w:val="0"/>
          <w:bCs w:val="0"/>
          <w:highlight w:val="none"/>
          <w:u w:val="none"/>
        </w:rPr>
      </w:r>
    </w:p>
    <w:p>
      <w:pPr>
        <w:pBdr/>
        <w:spacing/>
        <w:ind/>
        <w:rPr>
          <w:b w:val="0"/>
          <w:bCs w:val="0"/>
          <w:highlight w:val="none"/>
          <w:u w:val="none"/>
        </w:rPr>
      </w:pPr>
      <w:r>
        <w:rPr>
          <w:b/>
          <w:bCs/>
          <w:highlight w:val="none"/>
          <w:u w:val="single"/>
        </w:rPr>
        <w:t xml:space="preserve">Performance of Solar cells</w:t>
      </w:r>
      <w:r>
        <w:rPr>
          <w:b w:val="0"/>
          <w:bCs w:val="0"/>
          <w:highlight w:val="none"/>
          <w:u w:val="none"/>
        </w:rPr>
        <w:t xml:space="preserve"> </w:t>
        <w:br/>
        <w:t xml:space="preserve">The performance of solar cells depends on the light intensity. In sunny conditions, the light intensity incident from the sun onto a solar panel is much larger than that in cloudy conditions. The light intensity determines the rate of photon incidence on the solar panel. Since the current generated and light intensity are directly proportional, the current in the load will be larger in sunny than cloudy conditions.</w:t>
      </w:r>
      <w:r>
        <w:rPr>
          <w:b/>
          <w:bCs/>
          <w:highlight w:val="none"/>
          <w:u w:val="single"/>
        </w:rPr>
      </w:r>
      <w:r>
        <w:rPr>
          <w:b w:val="0"/>
          <w:bCs w:val="0"/>
          <w:highlight w:val="none"/>
          <w:u w:val="none"/>
        </w:rPr>
      </w:r>
      <w:r>
        <w:rPr>
          <w:b w:val="0"/>
          <w:bCs w:val="0"/>
          <w:highlight w:val="none"/>
          <w:u w:val="none"/>
        </w:rPr>
      </w:r>
    </w:p>
    <w:p>
      <w:pPr>
        <w:pStyle w:val="831"/>
        <w:pBdr/>
        <w:spacing/>
        <w:ind/>
        <w:rPr>
          <w:b w:val="0"/>
          <w:bCs w:val="0"/>
          <w:highlight w:val="none"/>
          <w:u w:val="none"/>
        </w:rPr>
      </w:pPr>
      <w:r>
        <w:rPr>
          <w:b w:val="0"/>
          <w:bCs w:val="0"/>
          <w:highlight w:val="none"/>
          <w:u w:val="none"/>
        </w:rPr>
        <w:t xml:space="preserve">Conclusion</w:t>
      </w:r>
      <w:r>
        <w:rPr>
          <w:b w:val="0"/>
          <w:bCs w:val="0"/>
          <w:highlight w:val="none"/>
          <w:u w:val="none"/>
        </w:rPr>
      </w:r>
      <w:r>
        <w:rPr>
          <w:b w:val="0"/>
          <w:bCs w:val="0"/>
          <w:highlight w:val="none"/>
          <w:u w:val="none"/>
        </w:rPr>
      </w:r>
      <w:r>
        <w:rPr>
          <w:b w:val="0"/>
          <w:bCs w:val="0"/>
          <w:highlight w:val="none"/>
          <w:u w:val="none"/>
        </w:rPr>
      </w:r>
      <w:r/>
      <w:r>
        <w:rPr>
          <w:b w:val="0"/>
          <w:bCs w:val="0"/>
          <w:highlight w:val="none"/>
          <w:u w:val="none"/>
        </w:rPr>
      </w:r>
    </w:p>
    <w:p>
      <w:pPr>
        <w:pBdr/>
        <w:spacing/>
        <w:ind w:firstLine="0" w:left="0"/>
        <w:rPr>
          <w:b w:val="0"/>
          <w:bCs w:val="0"/>
          <w:highlight w:val="none"/>
          <w:u w:val="none"/>
        </w:rPr>
      </w:pPr>
      <w:r>
        <w:rPr>
          <w:b/>
          <w:bCs/>
          <w:highlight w:val="none"/>
          <w:u w:val="single"/>
        </w:rPr>
        <w:t xml:space="preserve">Key findings</w:t>
      </w:r>
      <w:r>
        <w:rPr>
          <w:b w:val="0"/>
          <w:bCs w:val="0"/>
          <w:highlight w:val="none"/>
          <w:u w:val="none"/>
        </w:rPr>
      </w:r>
      <w:r>
        <w:rPr>
          <w:b w:val="0"/>
          <w:bCs w:val="0"/>
          <w:highlight w:val="none"/>
          <w:u w:val="none"/>
        </w:rPr>
      </w:r>
    </w:p>
    <w:p>
      <w:pPr>
        <w:pStyle w:val="894"/>
        <w:numPr>
          <w:ilvl w:val="0"/>
          <w:numId w:val="5"/>
        </w:numPr>
        <w:pBdr/>
        <w:spacing/>
        <w:ind/>
        <w:rPr>
          <w:b w:val="0"/>
          <w:bCs w:val="0"/>
          <w:highlight w:val="none"/>
          <w:u w:val="none"/>
        </w:rPr>
      </w:pPr>
      <w:r>
        <w:rPr>
          <w:b w:val="0"/>
          <w:bCs w:val="0"/>
          <w:highlight w:val="none"/>
          <w:u w:val="none"/>
        </w:rPr>
        <w:t xml:space="preserve">The variation of </w:t>
      </w:r>
      <w:r>
        <w:rPr>
          <w:b w:val="0"/>
          <w:bCs w:val="0"/>
          <w:highlight w:val="none"/>
          <w:u w:val="none"/>
        </w:rPr>
      </w:r>
      <m:oMath>
        <m:sSub>
          <m:sSubPr>
            <m:ctrlPr>
              <w:rPr>
                <w:rFonts w:ascii="Cambria Math" w:hAnsi="Cambria Math" w:eastAsia="Cambria Math" w:cs="Cambria Math"/>
                <w:highlight w:val="none"/>
                <w:u w:val="none"/>
              </w:rPr>
            </m:ctrlPr>
          </m:sSubPr>
          <m:e>
            <m:r>
              <w:rPr>
                <w:rFonts w:hint="default" w:ascii="Cambria Math" w:hAnsi="Cambria Math" w:eastAsia="Cambria Math" w:cs="Cambria Math"/>
                <w:highlight w:val="none"/>
                <w:u w:val="none"/>
              </w:rPr>
              <m:rPr>
                <m:sty m:val="i"/>
              </m:rPr>
              <m:t>I</m:t>
            </m:r>
          </m:e>
          <m:sub>
            <m:r>
              <w:rPr>
                <w:rFonts w:hint="default" w:ascii="Cambria Math" w:hAnsi="Cambria Math" w:eastAsia="Cambria Math" w:cs="Cambria Math"/>
                <w:highlight w:val="none"/>
                <w:u w:val="none"/>
              </w:rPr>
              <m:rPr>
                <m:sty m:val="i"/>
              </m:rPr>
              <m:t>SC</m:t>
            </m:r>
          </m:sub>
        </m:sSub>
      </m:oMath>
      <w:r>
        <w:rPr>
          <w:b w:val="0"/>
          <w:bCs w:val="0"/>
          <w:highlight w:val="none"/>
          <w:u w:val="none"/>
        </w:rPr>
        <w:t xml:space="preserve"> and </w:t>
      </w:r>
      <m:oMath>
        <m:sSub>
          <m:sSubPr>
            <m:ctrlPr>
              <w:rPr>
                <w:rFonts w:ascii="Cambria Math" w:hAnsi="Cambria Math" w:eastAsia="Cambria Math" w:cs="Cambria Math"/>
                <w:highlight w:val="none"/>
                <w:u w:val="none"/>
              </w:rPr>
            </m:ctrlPr>
          </m:sSubPr>
          <m:e>
            <m:r>
              <w:rPr>
                <w:rFonts w:hint="default" w:ascii="Cambria Math" w:hAnsi="Cambria Math" w:eastAsia="Cambria Math" w:cs="Cambria Math"/>
                <w:highlight w:val="none"/>
                <w:u w:val="none"/>
              </w:rPr>
              <m:rPr>
                <m:sty m:val="i"/>
              </m:rPr>
              <m:t>V</m:t>
            </m:r>
          </m:e>
          <m:sub>
            <m:r>
              <w:rPr>
                <w:rFonts w:hint="default" w:ascii="Cambria Math" w:hAnsi="Cambria Math" w:eastAsia="Cambria Math" w:cs="Cambria Math"/>
                <w:highlight w:val="none"/>
                <w:u w:val="none"/>
              </w:rPr>
              <m:rPr>
                <m:sty m:val="i"/>
              </m:rPr>
              <m:t>OC</m:t>
            </m:r>
          </m:sub>
        </m:sSub>
      </m:oMath>
      <w:r>
        <w:rPr>
          <w:b w:val="0"/>
          <w:bCs w:val="0"/>
          <w:highlight w:val="none"/>
          <w:u w:val="none"/>
        </w:rPr>
        <w:t xml:space="preserve"> with light intensity in perovskites is similar to that in conventional solar cells</w:t>
      </w:r>
      <w:r>
        <w:rPr>
          <w:b w:val="0"/>
          <w:bCs w:val="0"/>
          <w:highlight w:val="none"/>
          <w:u w:val="none"/>
        </w:rPr>
      </w:r>
    </w:p>
    <w:p>
      <w:pPr>
        <w:pStyle w:val="894"/>
        <w:numPr>
          <w:ilvl w:val="0"/>
          <w:numId w:val="5"/>
        </w:numPr>
        <w:pBdr/>
        <w:spacing/>
        <w:ind/>
        <w:rPr>
          <w:b w:val="0"/>
          <w:bCs w:val="0"/>
          <w:highlight w:val="none"/>
          <w:u w:val="none"/>
        </w:rPr>
      </w:pPr>
      <w:r>
        <w:rPr>
          <w:b w:val="0"/>
          <w:bCs w:val="0"/>
          <w:highlight w:val="none"/>
          <w:u w:val="none"/>
        </w:rPr>
        <w:t xml:space="preserve">Perovskites display similar efficiency at both low and high light intensities</w:t>
      </w:r>
      <w:r>
        <w:rPr>
          <w:b w:val="0"/>
          <w:bCs w:val="0"/>
          <w:highlight w:val="none"/>
          <w:u w:val="none"/>
        </w:rPr>
      </w:r>
    </w:p>
    <w:p>
      <w:pPr>
        <w:pBdr/>
        <w:spacing/>
        <w:ind w:firstLine="0" w:left="0"/>
        <w:rPr>
          <w:b/>
          <w:bCs/>
          <w:highlight w:val="none"/>
          <w:u w:val="single"/>
        </w:rPr>
      </w:pPr>
      <w:r>
        <w:rPr>
          <w:b/>
          <w:bCs/>
          <w:highlight w:val="none"/>
          <w:u w:val="single"/>
        </w:rPr>
        <w:t xml:space="preserve">Broader implications</w:t>
      </w:r>
      <w:r>
        <w:rPr>
          <w:b w:val="0"/>
          <w:bCs w:val="0"/>
          <w:highlight w:val="none"/>
          <w:u w:val="none"/>
        </w:rPr>
      </w:r>
    </w:p>
    <w:p>
      <w:pPr>
        <w:pStyle w:val="894"/>
        <w:numPr>
          <w:ilvl w:val="0"/>
          <w:numId w:val="6"/>
        </w:numPr>
        <w:pBdr/>
        <w:spacing/>
        <w:ind/>
        <w:rPr>
          <w:b w:val="0"/>
          <w:bCs w:val="0"/>
          <w:highlight w:val="none"/>
          <w:u w:val="none"/>
        </w:rPr>
      </w:pPr>
      <w:r>
        <w:rPr>
          <w:b w:val="0"/>
          <w:bCs w:val="0"/>
          <w:highlight w:val="none"/>
          <w:u w:val="none"/>
        </w:rPr>
        <w:t xml:space="preserve">Solar power is renewable</w:t>
        <w:br/>
        <w:t xml:space="preserve">- Reduces dependence of fossil fuels</w:t>
      </w:r>
      <w:r>
        <w:rPr>
          <w:b w:val="0"/>
          <w:bCs w:val="0"/>
          <w:highlight w:val="none"/>
          <w:u w:val="none"/>
        </w:rPr>
        <w:br/>
        <w:t xml:space="preserve">- CO2 and other greenhouse emissions are reduced</w:t>
      </w:r>
      <w:r/>
      <w:r>
        <w:rPr>
          <w:b w:val="0"/>
          <w:bCs w:val="0"/>
          <w:highlight w:val="none"/>
          <w:u w:val="none"/>
        </w:rPr>
      </w:r>
    </w:p>
    <w:p>
      <w:pPr>
        <w:pStyle w:val="894"/>
        <w:numPr>
          <w:ilvl w:val="0"/>
          <w:numId w:val="6"/>
        </w:numPr>
        <w:pBdr/>
        <w:spacing/>
        <w:ind/>
        <w:rPr>
          <w:b w:val="0"/>
          <w:bCs w:val="0"/>
          <w:highlight w:val="none"/>
          <w:u w:val="none"/>
        </w:rPr>
      </w:pPr>
      <w:r>
        <w:rPr>
          <w:b w:val="0"/>
          <w:bCs w:val="0"/>
          <w:highlight w:val="none"/>
          <w:u w:val="none"/>
        </w:rPr>
        <w:t xml:space="preserve">Job creation</w:t>
        <w:br/>
        <w:t xml:space="preserve">- Solar panels still need to manufactured and maintained</w:t>
        <w:br/>
        <w:t xml:space="preserve">- The technology can be developed further in research</w:t>
      </w:r>
      <w:r>
        <w:rPr>
          <w:b w:val="0"/>
          <w:bCs w:val="0"/>
          <w:highlight w:val="none"/>
          <w:u w:val="none"/>
        </w:rPr>
      </w:r>
    </w:p>
    <w:p>
      <w:pPr>
        <w:pStyle w:val="894"/>
        <w:numPr>
          <w:ilvl w:val="0"/>
          <w:numId w:val="6"/>
        </w:numPr>
        <w:pBdr/>
        <w:spacing/>
        <w:ind/>
        <w:rPr>
          <w:b w:val="0"/>
          <w:bCs w:val="0"/>
          <w:highlight w:val="none"/>
          <w:u w:val="none"/>
        </w:rPr>
      </w:pPr>
      <w:r>
        <w:rPr>
          <w:b w:val="0"/>
          <w:bCs w:val="0"/>
          <w:highlight w:val="none"/>
          <w:u w:val="none"/>
        </w:rPr>
        <w:t xml:space="preserve">Cost reduction</w:t>
        <w:br/>
        <w:t xml:space="preserve">- Solar cells are drastically cheaper than fossil fuels</w:t>
        <w:br/>
        <w:t xml:space="preserve">- Reduces spending on power generation</w:t>
      </w:r>
      <w:r>
        <w:rPr>
          <w:b w:val="0"/>
          <w:bCs w:val="0"/>
          <w:highlight w:val="none"/>
          <w:u w:val="none"/>
        </w:rPr>
      </w:r>
      <w:r/>
      <w:r>
        <w:rPr>
          <w:b w:val="0"/>
          <w:bCs w:val="0"/>
          <w:highlight w:val="none"/>
          <w:u w:val="none"/>
        </w:rPr>
      </w:r>
    </w:p>
    <w:p>
      <w:pPr>
        <w:pBdr/>
        <w:spacing/>
        <w:ind w:firstLine="0" w:left="0"/>
        <w:rPr>
          <w:highlight w:val="none"/>
        </w:rPr>
      </w:pPr>
      <w:r>
        <w:rPr>
          <w:highlight w:val="none"/>
        </w:rPr>
        <w:t xml:space="preserve">Github Repository for code: </w:t>
      </w:r>
      <w:r>
        <w:rPr>
          <w:highlight w:val="none"/>
        </w:rPr>
      </w:r>
      <w:hyperlink r:id="rId14" w:tooltip="https://github.com/vishvish2/ELEC0148_Lab_Component.git" w:history="1">
        <w:r>
          <w:rPr>
            <w:rStyle w:val="876"/>
            <w:highlight w:val="none"/>
          </w:rPr>
          <w:t xml:space="preserve">https://github.com/vishvish2/ELEC0148_Lab_Component.git</w:t>
        </w:r>
        <w:r>
          <w:rPr>
            <w:rStyle w:val="876"/>
            <w:highlight w:val="none"/>
          </w:rPr>
        </w:r>
        <w:r>
          <w:rPr>
            <w:rStyle w:val="876"/>
            <w:b w:val="0"/>
            <w:bCs w:val="0"/>
            <w:highlight w:val="none"/>
          </w:rPr>
        </w:r>
      </w:hyperlink>
      <w:r>
        <w:rPr>
          <w:b w:val="0"/>
          <w:bCs w:val="0"/>
          <w:highlight w:val="none"/>
          <w:u w:val="none"/>
        </w:rPr>
      </w:r>
    </w:p>
    <w:p>
      <w:pPr>
        <w:pStyle w:val="831"/>
        <w:pBdr/>
        <w:spacing/>
        <w:ind/>
        <w:rPr>
          <w:b w:val="0"/>
          <w:bCs w:val="0"/>
          <w:highlight w:val="none"/>
        </w:rPr>
      </w:pPr>
      <w:r>
        <w:rPr>
          <w:b w:val="0"/>
          <w:bCs w:val="0"/>
          <w:highlight w:val="none"/>
        </w:rPr>
      </w:r>
      <w:r>
        <w:rPr>
          <w:b w:val="0"/>
          <w:bCs w:val="0"/>
          <w:highlight w:val="none"/>
        </w:rPr>
        <w:t xml:space="preserve">References</w:t>
      </w:r>
      <w:r>
        <w:rPr>
          <w:b w:val="0"/>
          <w:bCs w:val="0"/>
          <w:highlight w:val="none"/>
        </w:rPr>
      </w:r>
      <w:r>
        <w:rPr>
          <w:b w:val="0"/>
          <w:bCs w:val="0"/>
          <w:highlight w:val="none"/>
        </w:rPr>
      </w:r>
    </w:p>
    <w:p>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sz w:val="20"/>
          <w:szCs w:val="20"/>
          <w:highlight w:val="none"/>
        </w:rPr>
      </w:pPr>
      <w:r>
        <w:rPr>
          <w:rFonts w:ascii="Arial" w:hAnsi="Arial" w:eastAsia="Arial" w:cs="Arial"/>
          <w:b w:val="0"/>
          <w:bCs w:val="0"/>
          <w:color w:val="000000"/>
          <w:sz w:val="22"/>
          <w:szCs w:val="20"/>
        </w:rPr>
        <w:t xml:space="preserve">[1]</w:t>
      </w:r>
      <w:r>
        <w:rPr>
          <w:rFonts w:ascii="Arial" w:hAnsi="Arial" w:eastAsia="Arial" w:cs="Arial"/>
          <w:b w:val="0"/>
          <w:bCs w:val="0"/>
          <w:color w:val="000000"/>
          <w:sz w:val="22"/>
          <w:szCs w:val="20"/>
        </w:rPr>
        <w:t xml:space="preserve"> J. S. Manser, J. A. Christians, and P. V. Kamat, “Intriguing Optoelectronic Properties of Metal Halide Perovskites,” </w:t>
      </w:r>
      <w:r>
        <w:rPr>
          <w:rFonts w:ascii="Arial" w:hAnsi="Arial" w:eastAsia="Arial" w:cs="Arial"/>
          <w:b w:val="0"/>
          <w:bCs w:val="0"/>
          <w:i/>
          <w:color w:val="000000"/>
          <w:sz w:val="22"/>
          <w:szCs w:val="20"/>
        </w:rPr>
        <w:t xml:space="preserve">Chemical Reviews</w:t>
      </w:r>
      <w:r>
        <w:rPr>
          <w:rFonts w:ascii="Arial" w:hAnsi="Arial" w:eastAsia="Arial" w:cs="Arial"/>
          <w:b w:val="0"/>
          <w:bCs w:val="0"/>
          <w:color w:val="000000"/>
          <w:sz w:val="22"/>
          <w:szCs w:val="20"/>
        </w:rPr>
        <w:t xml:space="preserve">, vol. 116, no. 21, pp. 12956–13008, Jun. 2016, doi: </w:t>
      </w:r>
      <w:hyperlink r:id="rId15" w:tooltip="https://doi.org/10.1021/acs.chemrev.6b00136" w:history="1">
        <w:r>
          <w:rPr>
            <w:rStyle w:val="876"/>
            <w:rFonts w:ascii="Arial" w:hAnsi="Arial" w:eastAsia="Arial" w:cs="Arial"/>
            <w:b w:val="0"/>
            <w:bCs w:val="0"/>
            <w:sz w:val="22"/>
            <w:szCs w:val="20"/>
          </w:rPr>
          <w:t xml:space="preserve">https://doi.org/10.1021/acs.chemrev.6b00136</w:t>
        </w:r>
        <w:r>
          <w:rPr>
            <w:rStyle w:val="876"/>
            <w:rFonts w:ascii="Arial" w:hAnsi="Arial" w:eastAsia="Arial" w:cs="Arial"/>
            <w:b w:val="0"/>
            <w:bCs w:val="0"/>
            <w:sz w:val="20"/>
            <w:szCs w:val="20"/>
          </w:rPr>
        </w:r>
        <w:r>
          <w:rPr>
            <w:rStyle w:val="876"/>
            <w:rFonts w:ascii="Arial" w:hAnsi="Arial" w:cs="Arial"/>
            <w:b w:val="0"/>
            <w:bCs w:val="0"/>
            <w:sz w:val="22"/>
            <w:szCs w:val="20"/>
          </w:rPr>
        </w:r>
      </w:hyperlink>
      <w:r>
        <w:rPr>
          <w:rFonts w:ascii="Arial" w:hAnsi="Arial" w:eastAsia="Arial" w:cs="Arial"/>
          <w:b w:val="0"/>
          <w:bCs w:val="0"/>
          <w:sz w:val="20"/>
          <w:szCs w:val="20"/>
          <w:highlight w:val="none"/>
        </w:rPr>
      </w:r>
      <w:r>
        <w:rPr>
          <w:rFonts w:ascii="Arial" w:hAnsi="Arial" w:eastAsia="Arial" w:cs="Arial"/>
          <w:b w:val="0"/>
          <w:bCs w:val="0"/>
          <w:sz w:val="20"/>
          <w:szCs w:val="20"/>
          <w:highlight w:val="none"/>
        </w:rPr>
      </w:r>
    </w:p>
    <w:p>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color w:val="000000"/>
          <w:sz w:val="22"/>
          <w:szCs w:val="22"/>
          <w:highlight w:val="none"/>
        </w:rPr>
      </w:pPr>
      <w:r>
        <w:rPr>
          <w:rFonts w:ascii="Arial" w:hAnsi="Arial" w:eastAsia="Arial" w:cs="Arial"/>
          <w:b w:val="0"/>
          <w:bCs w:val="0"/>
          <w:sz w:val="22"/>
          <w:szCs w:val="22"/>
          <w:highlight w:val="none"/>
        </w:rPr>
      </w:r>
      <w:r>
        <w:rPr>
          <w:rFonts w:ascii="Arial" w:hAnsi="Arial" w:eastAsia="Arial" w:cs="Arial"/>
          <w:b w:val="0"/>
          <w:bCs w:val="0"/>
          <w:sz w:val="22"/>
          <w:szCs w:val="22"/>
          <w:highlight w:val="none"/>
        </w:rPr>
        <w:t xml:space="preserve">[2] </w:t>
      </w:r>
      <w:r>
        <w:rPr>
          <w:rFonts w:ascii="Arial" w:hAnsi="Arial" w:eastAsia="Arial" w:cs="Arial"/>
          <w:b w:val="0"/>
          <w:bCs w:val="0"/>
          <w:color w:val="000000"/>
          <w:sz w:val="22"/>
          <w:szCs w:val="22"/>
        </w:rPr>
        <w:t xml:space="preserve">S. Min, D. Chowdhury, Muhammad, and M. Iqbal, “Comparison between organic solar cells and perovskite photovoltaic cells: Minireview,” </w:t>
      </w:r>
      <w:r>
        <w:rPr>
          <w:rFonts w:ascii="Arial" w:hAnsi="Arial" w:eastAsia="Arial" w:cs="Arial"/>
          <w:b w:val="0"/>
          <w:bCs w:val="0"/>
          <w:i/>
          <w:color w:val="000000"/>
          <w:sz w:val="22"/>
          <w:szCs w:val="22"/>
        </w:rPr>
        <w:t xml:space="preserve">International Journal of Innovative Research and Scientific Studies</w:t>
      </w:r>
      <w:r>
        <w:rPr>
          <w:rFonts w:ascii="Arial" w:hAnsi="Arial" w:eastAsia="Arial" w:cs="Arial"/>
          <w:b w:val="0"/>
          <w:bCs w:val="0"/>
          <w:color w:val="000000"/>
          <w:sz w:val="22"/>
          <w:szCs w:val="22"/>
        </w:rPr>
        <w:t xml:space="preserve">, vol. 8, no. 8, pp. 33–54, Oct. 2025, doi: </w:t>
      </w:r>
      <w:hyperlink r:id="rId16" w:tooltip="https://doi.org/10.53894/ijirss.v8i8.10543" w:history="1">
        <w:r>
          <w:rPr>
            <w:rStyle w:val="876"/>
            <w:rFonts w:ascii="Arial" w:hAnsi="Arial" w:eastAsia="Arial" w:cs="Arial"/>
            <w:b w:val="0"/>
            <w:bCs w:val="0"/>
            <w:sz w:val="22"/>
            <w:szCs w:val="22"/>
          </w:rPr>
          <w:t xml:space="preserve">https://doi.org/10.53894/ijirss.v8i8.10543</w:t>
        </w:r>
        <w:r>
          <w:rPr>
            <w:rStyle w:val="876"/>
            <w:rFonts w:ascii="Arial" w:hAnsi="Arial" w:cs="Arial"/>
            <w:b w:val="0"/>
            <w:bCs w:val="0"/>
            <w:sz w:val="22"/>
            <w:szCs w:val="22"/>
          </w:rPr>
        </w:r>
      </w:hyperlink>
      <w:r>
        <w:rPr>
          <w:rFonts w:ascii="Arial" w:hAnsi="Arial" w:eastAsia="Arial" w:cs="Arial"/>
          <w:b w:val="0"/>
          <w:bCs w:val="0"/>
          <w:color w:val="000000"/>
          <w:sz w:val="22"/>
          <w:szCs w:val="22"/>
          <w:highlight w:val="none"/>
        </w:rPr>
      </w:r>
      <w:r>
        <w:rPr>
          <w:rFonts w:ascii="Arial" w:hAnsi="Arial" w:eastAsia="Arial" w:cs="Arial"/>
          <w:b w:val="0"/>
          <w:bCs w:val="0"/>
          <w:color w:val="000000"/>
          <w:sz w:val="22"/>
          <w:szCs w:val="22"/>
          <w:highlight w:val="none"/>
        </w:rPr>
      </w:r>
    </w:p>
    <w:p>
      <w:pPr>
        <w:pBdr/>
        <w:spacing/>
        <w:ind/>
        <w:rPr>
          <w:b w:val="0"/>
          <w:bCs w:val="0"/>
        </w:rPr>
      </w:pPr>
      <w:r>
        <w:rPr>
          <w:b w:val="0"/>
          <w:bCs w:val="0"/>
          <w:highlight w:val="none"/>
        </w:rPr>
      </w:r>
      <w:r>
        <w:rPr>
          <w:b w:val="0"/>
          <w:bCs w:val="0"/>
        </w:rPr>
      </w:r>
      <w:r>
        <w:rPr>
          <w:b w:val="0"/>
          <w:bCs w:val="0"/>
        </w:rPr>
      </w:r>
    </w:p>
    <w:sectPr>
      <w:footnotePr/>
      <w:endnotePr/>
      <w:type w:val="nextPage"/>
      <w:pgSz w:h="16838" w:orient="portrait" w:w="11906"/>
      <w:pgMar w:top="1440" w:right="1440" w:bottom="1440" w:left="1440"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3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ACF9BD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7ACF9BD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3EA2DC6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7025F82E"/>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5CF354EA"/>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466019D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5">
    <w:name w:val="Table Grid"/>
    <w:basedOn w:val="89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Table Grid Light"/>
    <w:basedOn w:val="89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1"/>
    <w:basedOn w:val="89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Plain Table 2"/>
    <w:basedOn w:val="89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Plain Table 3"/>
    <w:basedOn w:val="8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Plain Table 4"/>
    <w:basedOn w:val="8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5"/>
    <w:basedOn w:val="8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w:basedOn w:val="89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1"/>
    <w:basedOn w:val="89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2"/>
    <w:basedOn w:val="89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3"/>
    <w:basedOn w:val="89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4"/>
    <w:basedOn w:val="89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5"/>
    <w:basedOn w:val="89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6"/>
    <w:basedOn w:val="89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w:basedOn w:val="89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1"/>
    <w:basedOn w:val="89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2"/>
    <w:basedOn w:val="89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3"/>
    <w:basedOn w:val="89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4"/>
    <w:basedOn w:val="89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5"/>
    <w:basedOn w:val="89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6"/>
    <w:basedOn w:val="89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w:basedOn w:val="89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1"/>
    <w:basedOn w:val="89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2"/>
    <w:basedOn w:val="89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3"/>
    <w:basedOn w:val="89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4"/>
    <w:basedOn w:val="89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5"/>
    <w:basedOn w:val="89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6"/>
    <w:basedOn w:val="89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w:basedOn w:val="89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1"/>
    <w:basedOn w:val="89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2"/>
    <w:basedOn w:val="89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3"/>
    <w:basedOn w:val="89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4"/>
    <w:basedOn w:val="89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5"/>
    <w:basedOn w:val="89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6"/>
    <w:basedOn w:val="89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Accent 1"/>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2"/>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 Accent 3"/>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Accent 4"/>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 Accent 5"/>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6"/>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6 Colorful"/>
    <w:basedOn w:val="89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8">
    <w:name w:val="Grid Table 6 Colorful - Accent 1"/>
    <w:basedOn w:val="89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9">
    <w:name w:val="Grid Table 6 Colorful - Accent 2"/>
    <w:basedOn w:val="89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0">
    <w:name w:val="Grid Table 6 Colorful - Accent 3"/>
    <w:basedOn w:val="89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1">
    <w:name w:val="Grid Table 6 Colorful - Accent 4"/>
    <w:basedOn w:val="89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2">
    <w:name w:val="Grid Table 6 Colorful - Accent 5"/>
    <w:basedOn w:val="89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3">
    <w:name w:val="Grid Table 6 Colorful - Accent 6"/>
    <w:basedOn w:val="89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4">
    <w:name w:val="Grid Table 7 Colorful"/>
    <w:basedOn w:val="89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1"/>
    <w:basedOn w:val="89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2"/>
    <w:basedOn w:val="89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3"/>
    <w:basedOn w:val="89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4"/>
    <w:basedOn w:val="89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5"/>
    <w:basedOn w:val="89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6"/>
    <w:basedOn w:val="89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1"/>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2"/>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3"/>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4"/>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5"/>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6"/>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w:basedOn w:val="89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1"/>
    <w:basedOn w:val="89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2"/>
    <w:basedOn w:val="89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3"/>
    <w:basedOn w:val="89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4"/>
    <w:basedOn w:val="89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5"/>
    <w:basedOn w:val="89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6"/>
    <w:basedOn w:val="89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w:basedOn w:val="89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1"/>
    <w:basedOn w:val="89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2"/>
    <w:basedOn w:val="89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3"/>
    <w:basedOn w:val="89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4"/>
    <w:basedOn w:val="89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5"/>
    <w:basedOn w:val="89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6"/>
    <w:basedOn w:val="89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w:basedOn w:val="89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1"/>
    <w:basedOn w:val="89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2"/>
    <w:basedOn w:val="89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3"/>
    <w:basedOn w:val="89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4"/>
    <w:basedOn w:val="89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5"/>
    <w:basedOn w:val="89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6"/>
    <w:basedOn w:val="89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5 Dark"/>
    <w:basedOn w:val="89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1"/>
    <w:basedOn w:val="89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2"/>
    <w:basedOn w:val="89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3"/>
    <w:basedOn w:val="89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4"/>
    <w:basedOn w:val="89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5"/>
    <w:basedOn w:val="89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6"/>
    <w:basedOn w:val="89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6 Colorful"/>
    <w:basedOn w:val="89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1"/>
    <w:basedOn w:val="89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2"/>
    <w:basedOn w:val="89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3"/>
    <w:basedOn w:val="89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4"/>
    <w:basedOn w:val="89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5"/>
    <w:basedOn w:val="89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6"/>
    <w:basedOn w:val="89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7 Colorful"/>
    <w:basedOn w:val="89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4">
    <w:name w:val="List Table 7 Colorful - Accent 1"/>
    <w:basedOn w:val="89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5">
    <w:name w:val="List Table 7 Colorful - Accent 2"/>
    <w:basedOn w:val="89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6">
    <w:name w:val="List Table 7 Colorful - Accent 3"/>
    <w:basedOn w:val="89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7">
    <w:name w:val="List Table 7 Colorful - Accent 4"/>
    <w:basedOn w:val="89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8">
    <w:name w:val="List Table 7 Colorful - Accent 5"/>
    <w:basedOn w:val="89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9">
    <w:name w:val="List Table 7 Colorful - Accent 6"/>
    <w:basedOn w:val="89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0">
    <w:name w:val="Lined - Accent"/>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1"/>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2"/>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3"/>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4"/>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5"/>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6"/>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w:basedOn w:val="89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1"/>
    <w:basedOn w:val="89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2"/>
    <w:basedOn w:val="89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3"/>
    <w:basedOn w:val="89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4"/>
    <w:basedOn w:val="89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5"/>
    <w:basedOn w:val="89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6"/>
    <w:basedOn w:val="89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w:basedOn w:val="89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1"/>
    <w:basedOn w:val="89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2"/>
    <w:basedOn w:val="89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3"/>
    <w:basedOn w:val="89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4"/>
    <w:basedOn w:val="89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5"/>
    <w:basedOn w:val="89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6"/>
    <w:basedOn w:val="89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1">
    <w:name w:val="Heading 1"/>
    <w:basedOn w:val="890"/>
    <w:next w:val="890"/>
    <w:link w:val="841"/>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2">
    <w:name w:val="Heading 2"/>
    <w:basedOn w:val="890"/>
    <w:next w:val="890"/>
    <w:link w:val="842"/>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3">
    <w:name w:val="Heading 3"/>
    <w:basedOn w:val="890"/>
    <w:next w:val="890"/>
    <w:link w:val="843"/>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4">
    <w:name w:val="Heading 4"/>
    <w:basedOn w:val="890"/>
    <w:next w:val="890"/>
    <w:link w:val="84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5">
    <w:name w:val="Heading 5"/>
    <w:basedOn w:val="890"/>
    <w:next w:val="890"/>
    <w:link w:val="84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6">
    <w:name w:val="Heading 6"/>
    <w:basedOn w:val="890"/>
    <w:next w:val="890"/>
    <w:link w:val="84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7">
    <w:name w:val="Heading 7"/>
    <w:basedOn w:val="890"/>
    <w:next w:val="890"/>
    <w:link w:val="84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8">
    <w:name w:val="Heading 8"/>
    <w:basedOn w:val="890"/>
    <w:next w:val="890"/>
    <w:link w:val="84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9">
    <w:name w:val="Heading 9"/>
    <w:basedOn w:val="890"/>
    <w:next w:val="890"/>
    <w:link w:val="84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0" w:default="1">
    <w:name w:val="Default Paragraph Font"/>
    <w:uiPriority w:val="1"/>
    <w:semiHidden/>
    <w:unhideWhenUsed/>
    <w:pPr>
      <w:pBdr/>
      <w:spacing/>
      <w:ind/>
    </w:pPr>
  </w:style>
  <w:style w:type="character" w:styleId="841">
    <w:name w:val="Heading 1 Char"/>
    <w:basedOn w:val="840"/>
    <w:link w:val="831"/>
    <w:uiPriority w:val="9"/>
    <w:pPr>
      <w:pBdr/>
      <w:spacing/>
      <w:ind/>
    </w:pPr>
    <w:rPr>
      <w:rFonts w:ascii="Arial" w:hAnsi="Arial" w:eastAsia="Arial" w:cs="Arial"/>
      <w:color w:val="0f4761" w:themeColor="accent1" w:themeShade="BF"/>
      <w:sz w:val="40"/>
      <w:szCs w:val="40"/>
    </w:rPr>
  </w:style>
  <w:style w:type="character" w:styleId="842">
    <w:name w:val="Heading 2 Char"/>
    <w:basedOn w:val="840"/>
    <w:link w:val="832"/>
    <w:uiPriority w:val="9"/>
    <w:pPr>
      <w:pBdr/>
      <w:spacing/>
      <w:ind/>
    </w:pPr>
    <w:rPr>
      <w:rFonts w:ascii="Arial" w:hAnsi="Arial" w:eastAsia="Arial" w:cs="Arial"/>
      <w:color w:val="0f4761" w:themeColor="accent1" w:themeShade="BF"/>
      <w:sz w:val="32"/>
      <w:szCs w:val="32"/>
    </w:rPr>
  </w:style>
  <w:style w:type="character" w:styleId="843">
    <w:name w:val="Heading 3 Char"/>
    <w:basedOn w:val="840"/>
    <w:link w:val="833"/>
    <w:uiPriority w:val="9"/>
    <w:pPr>
      <w:pBdr/>
      <w:spacing/>
      <w:ind/>
    </w:pPr>
    <w:rPr>
      <w:rFonts w:ascii="Arial" w:hAnsi="Arial" w:eastAsia="Arial" w:cs="Arial"/>
      <w:color w:val="0f4761" w:themeColor="accent1" w:themeShade="BF"/>
      <w:sz w:val="28"/>
      <w:szCs w:val="28"/>
    </w:rPr>
  </w:style>
  <w:style w:type="character" w:styleId="844">
    <w:name w:val="Heading 4 Char"/>
    <w:basedOn w:val="840"/>
    <w:link w:val="834"/>
    <w:uiPriority w:val="9"/>
    <w:pPr>
      <w:pBdr/>
      <w:spacing/>
      <w:ind/>
    </w:pPr>
    <w:rPr>
      <w:rFonts w:ascii="Arial" w:hAnsi="Arial" w:eastAsia="Arial" w:cs="Arial"/>
      <w:i/>
      <w:iCs/>
      <w:color w:val="0f4761" w:themeColor="accent1" w:themeShade="BF"/>
    </w:rPr>
  </w:style>
  <w:style w:type="character" w:styleId="845">
    <w:name w:val="Heading 5 Char"/>
    <w:basedOn w:val="840"/>
    <w:link w:val="835"/>
    <w:uiPriority w:val="9"/>
    <w:pPr>
      <w:pBdr/>
      <w:spacing/>
      <w:ind/>
    </w:pPr>
    <w:rPr>
      <w:rFonts w:ascii="Arial" w:hAnsi="Arial" w:eastAsia="Arial" w:cs="Arial"/>
      <w:color w:val="0f4761" w:themeColor="accent1" w:themeShade="BF"/>
    </w:rPr>
  </w:style>
  <w:style w:type="character" w:styleId="846">
    <w:name w:val="Heading 6 Char"/>
    <w:basedOn w:val="840"/>
    <w:link w:val="836"/>
    <w:uiPriority w:val="9"/>
    <w:pPr>
      <w:pBdr/>
      <w:spacing/>
      <w:ind/>
    </w:pPr>
    <w:rPr>
      <w:rFonts w:ascii="Arial" w:hAnsi="Arial" w:eastAsia="Arial" w:cs="Arial"/>
      <w:i/>
      <w:iCs/>
      <w:color w:val="595959" w:themeColor="text1" w:themeTint="A6"/>
    </w:rPr>
  </w:style>
  <w:style w:type="character" w:styleId="847">
    <w:name w:val="Heading 7 Char"/>
    <w:basedOn w:val="840"/>
    <w:link w:val="837"/>
    <w:uiPriority w:val="9"/>
    <w:pPr>
      <w:pBdr/>
      <w:spacing/>
      <w:ind/>
    </w:pPr>
    <w:rPr>
      <w:rFonts w:ascii="Arial" w:hAnsi="Arial" w:eastAsia="Arial" w:cs="Arial"/>
      <w:color w:val="595959" w:themeColor="text1" w:themeTint="A6"/>
    </w:rPr>
  </w:style>
  <w:style w:type="character" w:styleId="848">
    <w:name w:val="Heading 8 Char"/>
    <w:basedOn w:val="840"/>
    <w:link w:val="838"/>
    <w:uiPriority w:val="9"/>
    <w:pPr>
      <w:pBdr/>
      <w:spacing/>
      <w:ind/>
    </w:pPr>
    <w:rPr>
      <w:rFonts w:ascii="Arial" w:hAnsi="Arial" w:eastAsia="Arial" w:cs="Arial"/>
      <w:i/>
      <w:iCs/>
      <w:color w:val="272727" w:themeColor="text1" w:themeTint="D8"/>
    </w:rPr>
  </w:style>
  <w:style w:type="character" w:styleId="849">
    <w:name w:val="Heading 9 Char"/>
    <w:basedOn w:val="840"/>
    <w:link w:val="839"/>
    <w:uiPriority w:val="9"/>
    <w:pPr>
      <w:pBdr/>
      <w:spacing/>
      <w:ind/>
    </w:pPr>
    <w:rPr>
      <w:rFonts w:ascii="Arial" w:hAnsi="Arial" w:eastAsia="Arial" w:cs="Arial"/>
      <w:i/>
      <w:iCs/>
      <w:color w:val="272727" w:themeColor="text1" w:themeTint="D8"/>
    </w:rPr>
  </w:style>
  <w:style w:type="paragraph" w:styleId="850">
    <w:name w:val="Title"/>
    <w:basedOn w:val="890"/>
    <w:next w:val="890"/>
    <w:link w:val="851"/>
    <w:uiPriority w:val="10"/>
    <w:qFormat/>
    <w:pPr>
      <w:pBdr/>
      <w:spacing w:after="80" w:line="240" w:lineRule="auto"/>
      <w:ind/>
      <w:contextualSpacing w:val="true"/>
    </w:pPr>
    <w:rPr>
      <w:rFonts w:ascii="Arial" w:hAnsi="Arial" w:eastAsia="Arial" w:cs="Arial"/>
      <w:spacing w:val="-10"/>
      <w:sz w:val="56"/>
      <w:szCs w:val="56"/>
    </w:rPr>
  </w:style>
  <w:style w:type="character" w:styleId="851">
    <w:name w:val="Title Char"/>
    <w:basedOn w:val="840"/>
    <w:link w:val="850"/>
    <w:uiPriority w:val="10"/>
    <w:pPr>
      <w:pBdr/>
      <w:spacing/>
      <w:ind/>
    </w:pPr>
    <w:rPr>
      <w:rFonts w:ascii="Arial" w:hAnsi="Arial" w:eastAsia="Arial" w:cs="Arial"/>
      <w:spacing w:val="-10"/>
      <w:sz w:val="56"/>
      <w:szCs w:val="56"/>
    </w:rPr>
  </w:style>
  <w:style w:type="paragraph" w:styleId="852">
    <w:name w:val="Subtitle"/>
    <w:basedOn w:val="890"/>
    <w:next w:val="890"/>
    <w:link w:val="853"/>
    <w:uiPriority w:val="11"/>
    <w:qFormat/>
    <w:pPr>
      <w:numPr>
        <w:ilvl w:val="1"/>
      </w:numPr>
      <w:pBdr/>
      <w:spacing/>
      <w:ind/>
    </w:pPr>
    <w:rPr>
      <w:color w:val="595959" w:themeColor="text1" w:themeTint="A6"/>
      <w:spacing w:val="15"/>
      <w:sz w:val="28"/>
      <w:szCs w:val="28"/>
    </w:rPr>
  </w:style>
  <w:style w:type="character" w:styleId="853">
    <w:name w:val="Subtitle Char"/>
    <w:basedOn w:val="840"/>
    <w:link w:val="852"/>
    <w:uiPriority w:val="11"/>
    <w:pPr>
      <w:pBdr/>
      <w:spacing/>
      <w:ind/>
    </w:pPr>
    <w:rPr>
      <w:color w:val="595959" w:themeColor="text1" w:themeTint="A6"/>
      <w:spacing w:val="15"/>
      <w:sz w:val="28"/>
      <w:szCs w:val="28"/>
    </w:rPr>
  </w:style>
  <w:style w:type="paragraph" w:styleId="854">
    <w:name w:val="Quote"/>
    <w:basedOn w:val="890"/>
    <w:next w:val="890"/>
    <w:link w:val="855"/>
    <w:uiPriority w:val="29"/>
    <w:qFormat/>
    <w:pPr>
      <w:pBdr/>
      <w:spacing w:before="160"/>
      <w:ind/>
      <w:jc w:val="center"/>
    </w:pPr>
    <w:rPr>
      <w:i/>
      <w:iCs/>
      <w:color w:val="404040" w:themeColor="text1" w:themeTint="BF"/>
    </w:rPr>
  </w:style>
  <w:style w:type="character" w:styleId="855">
    <w:name w:val="Quote Char"/>
    <w:basedOn w:val="840"/>
    <w:link w:val="854"/>
    <w:uiPriority w:val="29"/>
    <w:pPr>
      <w:pBdr/>
      <w:spacing/>
      <w:ind/>
    </w:pPr>
    <w:rPr>
      <w:i/>
      <w:iCs/>
      <w:color w:val="404040" w:themeColor="text1" w:themeTint="BF"/>
    </w:rPr>
  </w:style>
  <w:style w:type="character" w:styleId="856">
    <w:name w:val="Intense Emphasis"/>
    <w:basedOn w:val="840"/>
    <w:uiPriority w:val="21"/>
    <w:qFormat/>
    <w:pPr>
      <w:pBdr/>
      <w:spacing/>
      <w:ind/>
    </w:pPr>
    <w:rPr>
      <w:i/>
      <w:iCs/>
      <w:color w:val="0f4761" w:themeColor="accent1" w:themeShade="BF"/>
    </w:rPr>
  </w:style>
  <w:style w:type="paragraph" w:styleId="857">
    <w:name w:val="Intense Quote"/>
    <w:basedOn w:val="890"/>
    <w:next w:val="890"/>
    <w:link w:val="85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8">
    <w:name w:val="Intense Quote Char"/>
    <w:basedOn w:val="840"/>
    <w:link w:val="857"/>
    <w:uiPriority w:val="30"/>
    <w:pPr>
      <w:pBdr/>
      <w:spacing/>
      <w:ind/>
    </w:pPr>
    <w:rPr>
      <w:i/>
      <w:iCs/>
      <w:color w:val="0f4761" w:themeColor="accent1" w:themeShade="BF"/>
    </w:rPr>
  </w:style>
  <w:style w:type="character" w:styleId="859">
    <w:name w:val="Intense Reference"/>
    <w:basedOn w:val="840"/>
    <w:uiPriority w:val="32"/>
    <w:qFormat/>
    <w:pPr>
      <w:pBdr/>
      <w:spacing/>
      <w:ind/>
    </w:pPr>
    <w:rPr>
      <w:b/>
      <w:bCs/>
      <w:smallCaps/>
      <w:color w:val="0f4761" w:themeColor="accent1" w:themeShade="BF"/>
      <w:spacing w:val="5"/>
    </w:rPr>
  </w:style>
  <w:style w:type="character" w:styleId="860">
    <w:name w:val="Subtle Emphasis"/>
    <w:basedOn w:val="840"/>
    <w:uiPriority w:val="19"/>
    <w:qFormat/>
    <w:pPr>
      <w:pBdr/>
      <w:spacing/>
      <w:ind/>
    </w:pPr>
    <w:rPr>
      <w:i/>
      <w:iCs/>
      <w:color w:val="404040" w:themeColor="text1" w:themeTint="BF"/>
    </w:rPr>
  </w:style>
  <w:style w:type="character" w:styleId="861">
    <w:name w:val="Emphasis"/>
    <w:basedOn w:val="840"/>
    <w:uiPriority w:val="20"/>
    <w:qFormat/>
    <w:pPr>
      <w:pBdr/>
      <w:spacing/>
      <w:ind/>
    </w:pPr>
    <w:rPr>
      <w:i/>
      <w:iCs/>
    </w:rPr>
  </w:style>
  <w:style w:type="character" w:styleId="862">
    <w:name w:val="Strong"/>
    <w:basedOn w:val="840"/>
    <w:uiPriority w:val="22"/>
    <w:qFormat/>
    <w:pPr>
      <w:pBdr/>
      <w:spacing/>
      <w:ind/>
    </w:pPr>
    <w:rPr>
      <w:b/>
      <w:bCs/>
    </w:rPr>
  </w:style>
  <w:style w:type="character" w:styleId="863">
    <w:name w:val="Subtle Reference"/>
    <w:basedOn w:val="840"/>
    <w:uiPriority w:val="31"/>
    <w:qFormat/>
    <w:pPr>
      <w:pBdr/>
      <w:spacing/>
      <w:ind/>
    </w:pPr>
    <w:rPr>
      <w:smallCaps/>
      <w:color w:val="5a5a5a" w:themeColor="text1" w:themeTint="A5"/>
    </w:rPr>
  </w:style>
  <w:style w:type="character" w:styleId="864">
    <w:name w:val="Book Title"/>
    <w:basedOn w:val="840"/>
    <w:uiPriority w:val="33"/>
    <w:qFormat/>
    <w:pPr>
      <w:pBdr/>
      <w:spacing/>
      <w:ind/>
    </w:pPr>
    <w:rPr>
      <w:b/>
      <w:bCs/>
      <w:i/>
      <w:iCs/>
      <w:spacing w:val="5"/>
    </w:rPr>
  </w:style>
  <w:style w:type="paragraph" w:styleId="865">
    <w:name w:val="Header"/>
    <w:basedOn w:val="890"/>
    <w:link w:val="866"/>
    <w:uiPriority w:val="99"/>
    <w:unhideWhenUsed/>
    <w:pPr>
      <w:pBdr/>
      <w:tabs>
        <w:tab w:val="center" w:leader="none" w:pos="4844"/>
        <w:tab w:val="right" w:leader="none" w:pos="9689"/>
      </w:tabs>
      <w:spacing w:after="0" w:line="240" w:lineRule="auto"/>
      <w:ind/>
    </w:pPr>
  </w:style>
  <w:style w:type="character" w:styleId="866">
    <w:name w:val="Header Char"/>
    <w:basedOn w:val="840"/>
    <w:link w:val="865"/>
    <w:uiPriority w:val="99"/>
    <w:pPr>
      <w:pBdr/>
      <w:spacing/>
      <w:ind/>
    </w:pPr>
  </w:style>
  <w:style w:type="paragraph" w:styleId="867">
    <w:name w:val="Footer"/>
    <w:basedOn w:val="890"/>
    <w:link w:val="868"/>
    <w:uiPriority w:val="99"/>
    <w:unhideWhenUsed/>
    <w:pPr>
      <w:pBdr/>
      <w:tabs>
        <w:tab w:val="center" w:leader="none" w:pos="4844"/>
        <w:tab w:val="right" w:leader="none" w:pos="9689"/>
      </w:tabs>
      <w:spacing w:after="0" w:line="240" w:lineRule="auto"/>
      <w:ind/>
    </w:pPr>
  </w:style>
  <w:style w:type="character" w:styleId="868">
    <w:name w:val="Footer Char"/>
    <w:basedOn w:val="840"/>
    <w:link w:val="867"/>
    <w:uiPriority w:val="99"/>
    <w:pPr>
      <w:pBdr/>
      <w:spacing/>
      <w:ind/>
    </w:pPr>
  </w:style>
  <w:style w:type="paragraph" w:styleId="869">
    <w:name w:val="Caption"/>
    <w:basedOn w:val="890"/>
    <w:next w:val="890"/>
    <w:uiPriority w:val="35"/>
    <w:unhideWhenUsed/>
    <w:qFormat/>
    <w:pPr>
      <w:pBdr/>
      <w:spacing w:after="200" w:line="240" w:lineRule="auto"/>
      <w:ind/>
    </w:pPr>
    <w:rPr>
      <w:i/>
      <w:iCs/>
      <w:color w:val="0e2841" w:themeColor="text2"/>
      <w:sz w:val="18"/>
      <w:szCs w:val="18"/>
    </w:rPr>
  </w:style>
  <w:style w:type="paragraph" w:styleId="870">
    <w:name w:val="footnote text"/>
    <w:basedOn w:val="890"/>
    <w:link w:val="871"/>
    <w:uiPriority w:val="99"/>
    <w:semiHidden/>
    <w:unhideWhenUsed/>
    <w:pPr>
      <w:pBdr/>
      <w:spacing w:after="0" w:line="240" w:lineRule="auto"/>
      <w:ind/>
    </w:pPr>
    <w:rPr>
      <w:sz w:val="20"/>
      <w:szCs w:val="20"/>
    </w:rPr>
  </w:style>
  <w:style w:type="character" w:styleId="871">
    <w:name w:val="Footnote Text Char"/>
    <w:basedOn w:val="840"/>
    <w:link w:val="870"/>
    <w:uiPriority w:val="99"/>
    <w:semiHidden/>
    <w:pPr>
      <w:pBdr/>
      <w:spacing/>
      <w:ind/>
    </w:pPr>
    <w:rPr>
      <w:sz w:val="20"/>
      <w:szCs w:val="20"/>
    </w:rPr>
  </w:style>
  <w:style w:type="character" w:styleId="872">
    <w:name w:val="footnote reference"/>
    <w:basedOn w:val="840"/>
    <w:uiPriority w:val="99"/>
    <w:semiHidden/>
    <w:unhideWhenUsed/>
    <w:pPr>
      <w:pBdr/>
      <w:spacing/>
      <w:ind/>
    </w:pPr>
    <w:rPr>
      <w:vertAlign w:val="superscript"/>
    </w:rPr>
  </w:style>
  <w:style w:type="paragraph" w:styleId="873">
    <w:name w:val="endnote text"/>
    <w:basedOn w:val="890"/>
    <w:link w:val="874"/>
    <w:uiPriority w:val="99"/>
    <w:semiHidden/>
    <w:unhideWhenUsed/>
    <w:pPr>
      <w:pBdr/>
      <w:spacing w:after="0" w:line="240" w:lineRule="auto"/>
      <w:ind/>
    </w:pPr>
    <w:rPr>
      <w:sz w:val="20"/>
      <w:szCs w:val="20"/>
    </w:rPr>
  </w:style>
  <w:style w:type="character" w:styleId="874">
    <w:name w:val="Endnote Text Char"/>
    <w:basedOn w:val="840"/>
    <w:link w:val="873"/>
    <w:uiPriority w:val="99"/>
    <w:semiHidden/>
    <w:pPr>
      <w:pBdr/>
      <w:spacing/>
      <w:ind/>
    </w:pPr>
    <w:rPr>
      <w:sz w:val="20"/>
      <w:szCs w:val="20"/>
    </w:rPr>
  </w:style>
  <w:style w:type="character" w:styleId="875">
    <w:name w:val="endnote reference"/>
    <w:basedOn w:val="840"/>
    <w:uiPriority w:val="99"/>
    <w:semiHidden/>
    <w:unhideWhenUsed/>
    <w:pPr>
      <w:pBdr/>
      <w:spacing/>
      <w:ind/>
    </w:pPr>
    <w:rPr>
      <w:vertAlign w:val="superscript"/>
    </w:rPr>
  </w:style>
  <w:style w:type="character" w:styleId="876">
    <w:name w:val="Hyperlink"/>
    <w:basedOn w:val="840"/>
    <w:uiPriority w:val="99"/>
    <w:unhideWhenUsed/>
    <w:pPr>
      <w:pBdr/>
      <w:spacing/>
      <w:ind/>
    </w:pPr>
    <w:rPr>
      <w:color w:val="0563c1" w:themeColor="hyperlink"/>
      <w:u w:val="single"/>
    </w:rPr>
  </w:style>
  <w:style w:type="character" w:styleId="877">
    <w:name w:val="FollowedHyperlink"/>
    <w:basedOn w:val="840"/>
    <w:uiPriority w:val="99"/>
    <w:semiHidden/>
    <w:unhideWhenUsed/>
    <w:pPr>
      <w:pBdr/>
      <w:spacing/>
      <w:ind/>
    </w:pPr>
    <w:rPr>
      <w:color w:val="954f72" w:themeColor="followedHyperlink"/>
      <w:u w:val="single"/>
    </w:rPr>
  </w:style>
  <w:style w:type="paragraph" w:styleId="878">
    <w:name w:val="toc 1"/>
    <w:basedOn w:val="890"/>
    <w:next w:val="890"/>
    <w:uiPriority w:val="39"/>
    <w:unhideWhenUsed/>
    <w:pPr>
      <w:pBdr/>
      <w:spacing w:after="100"/>
      <w:ind/>
    </w:pPr>
  </w:style>
  <w:style w:type="paragraph" w:styleId="879">
    <w:name w:val="toc 2"/>
    <w:basedOn w:val="890"/>
    <w:next w:val="890"/>
    <w:uiPriority w:val="39"/>
    <w:unhideWhenUsed/>
    <w:pPr>
      <w:pBdr/>
      <w:spacing w:after="100"/>
      <w:ind w:left="220"/>
    </w:pPr>
  </w:style>
  <w:style w:type="paragraph" w:styleId="880">
    <w:name w:val="toc 3"/>
    <w:basedOn w:val="890"/>
    <w:next w:val="890"/>
    <w:uiPriority w:val="39"/>
    <w:unhideWhenUsed/>
    <w:pPr>
      <w:pBdr/>
      <w:spacing w:after="100"/>
      <w:ind w:left="440"/>
    </w:pPr>
  </w:style>
  <w:style w:type="paragraph" w:styleId="881">
    <w:name w:val="toc 4"/>
    <w:basedOn w:val="890"/>
    <w:next w:val="890"/>
    <w:uiPriority w:val="39"/>
    <w:unhideWhenUsed/>
    <w:pPr>
      <w:pBdr/>
      <w:spacing w:after="100"/>
      <w:ind w:left="660"/>
    </w:pPr>
  </w:style>
  <w:style w:type="paragraph" w:styleId="882">
    <w:name w:val="toc 5"/>
    <w:basedOn w:val="890"/>
    <w:next w:val="890"/>
    <w:uiPriority w:val="39"/>
    <w:unhideWhenUsed/>
    <w:pPr>
      <w:pBdr/>
      <w:spacing w:after="100"/>
      <w:ind w:left="880"/>
    </w:pPr>
  </w:style>
  <w:style w:type="paragraph" w:styleId="883">
    <w:name w:val="toc 6"/>
    <w:basedOn w:val="890"/>
    <w:next w:val="890"/>
    <w:uiPriority w:val="39"/>
    <w:unhideWhenUsed/>
    <w:pPr>
      <w:pBdr/>
      <w:spacing w:after="100"/>
      <w:ind w:left="1100"/>
    </w:pPr>
  </w:style>
  <w:style w:type="paragraph" w:styleId="884">
    <w:name w:val="toc 7"/>
    <w:basedOn w:val="890"/>
    <w:next w:val="890"/>
    <w:uiPriority w:val="39"/>
    <w:unhideWhenUsed/>
    <w:pPr>
      <w:pBdr/>
      <w:spacing w:after="100"/>
      <w:ind w:left="1320"/>
    </w:pPr>
  </w:style>
  <w:style w:type="paragraph" w:styleId="885">
    <w:name w:val="toc 8"/>
    <w:basedOn w:val="890"/>
    <w:next w:val="890"/>
    <w:uiPriority w:val="39"/>
    <w:unhideWhenUsed/>
    <w:pPr>
      <w:pBdr/>
      <w:spacing w:after="100"/>
      <w:ind w:left="1540"/>
    </w:pPr>
  </w:style>
  <w:style w:type="paragraph" w:styleId="886">
    <w:name w:val="toc 9"/>
    <w:basedOn w:val="890"/>
    <w:next w:val="890"/>
    <w:uiPriority w:val="39"/>
    <w:unhideWhenUsed/>
    <w:pPr>
      <w:pBdr/>
      <w:spacing w:after="100"/>
      <w:ind w:left="1760"/>
    </w:pPr>
  </w:style>
  <w:style w:type="character" w:styleId="887">
    <w:name w:val="Placeholder Text"/>
    <w:basedOn w:val="840"/>
    <w:uiPriority w:val="99"/>
    <w:semiHidden/>
    <w:pPr>
      <w:pBdr/>
      <w:spacing/>
      <w:ind/>
    </w:pPr>
    <w:rPr>
      <w:color w:val="666666"/>
    </w:rPr>
  </w:style>
  <w:style w:type="paragraph" w:styleId="888">
    <w:name w:val="TOC Heading"/>
    <w:uiPriority w:val="39"/>
    <w:unhideWhenUsed/>
    <w:pPr>
      <w:pBdr/>
      <w:spacing/>
      <w:ind/>
    </w:pPr>
  </w:style>
  <w:style w:type="paragraph" w:styleId="889">
    <w:name w:val="table of figures"/>
    <w:basedOn w:val="890"/>
    <w:next w:val="890"/>
    <w:uiPriority w:val="99"/>
    <w:unhideWhenUsed/>
    <w:pPr>
      <w:pBdr/>
      <w:spacing w:after="0" w:afterAutospacing="0"/>
      <w:ind/>
    </w:pPr>
  </w:style>
  <w:style w:type="paragraph" w:styleId="890" w:default="1">
    <w:name w:val="Normal"/>
    <w:qFormat/>
    <w:pPr>
      <w:pBdr/>
      <w:spacing/>
      <w:ind/>
    </w:pPr>
  </w:style>
  <w:style w:type="table" w:styleId="89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2" w:default="1">
    <w:name w:val="No List"/>
    <w:uiPriority w:val="99"/>
    <w:semiHidden/>
    <w:unhideWhenUsed/>
    <w:pPr>
      <w:pBdr/>
      <w:spacing/>
      <w:ind/>
    </w:pPr>
  </w:style>
  <w:style w:type="paragraph" w:styleId="893">
    <w:name w:val="No Spacing"/>
    <w:basedOn w:val="890"/>
    <w:uiPriority w:val="1"/>
    <w:qFormat/>
    <w:pPr>
      <w:pBdr/>
      <w:spacing w:after="0" w:line="240" w:lineRule="auto"/>
      <w:ind/>
    </w:pPr>
  </w:style>
  <w:style w:type="paragraph" w:styleId="894">
    <w:name w:val="List Paragraph"/>
    <w:basedOn w:val="890"/>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yperlink" Target="https://github.com/vishvish2/ELEC0148_Lab_Component.git"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hyperlink" Target="https://github.com/vishvish2/ELEC0148_Lab_Component.git" TargetMode="External"/><Relationship Id="rId15" Type="http://schemas.openxmlformats.org/officeDocument/2006/relationships/hyperlink" Target="https://doi.org/10.1021/acs.chemrev.6b00136" TargetMode="External"/><Relationship Id="rId16" Type="http://schemas.openxmlformats.org/officeDocument/2006/relationships/hyperlink" Target="https://doi.org/10.53894/ijirss.v8i8.10543"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ONLYOFFICE/9.1.0.173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5</cp:revision>
  <dcterms:modified xsi:type="dcterms:W3CDTF">2025-11-22T17:03:29Z</dcterms:modified>
</cp:coreProperties>
</file>