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50"/>
        <w:pBdr/>
        <w:spacing/>
        <w:ind/>
        <w:jc w:val="center"/>
        <w:rPr>
          <w:b w:val="0"/>
          <w:bCs w:val="0"/>
        </w:rPr>
      </w:pPr>
      <w:r>
        <w:rPr>
          <w:b w:val="0"/>
          <w:bCs w:val="0"/>
        </w:rPr>
        <w:t xml:space="preserve">ELEC0148 Lab Report</w:t>
      </w:r>
      <w:r>
        <w:rPr>
          <w:b w:val="0"/>
          <w:bCs w:val="0"/>
        </w:rPr>
      </w:r>
      <w:r>
        <w:rPr>
          <w:b w:val="0"/>
          <w:bCs w:val="0"/>
        </w:rPr>
      </w:r>
    </w:p>
    <w:p>
      <w:pPr>
        <w:pStyle w:val="831"/>
        <w:pBdr/>
        <w:spacing/>
        <w:ind/>
        <w:rPr>
          <w:b w:val="0"/>
          <w:bCs w:val="0"/>
        </w:rPr>
      </w:pPr>
      <w:r>
        <w:rPr>
          <w:b w:val="0"/>
          <w:bCs w:val="0"/>
        </w:rPr>
        <w:t xml:space="preserve">Introduction</w:t>
      </w:r>
      <w:r>
        <w:rPr>
          <w:b w:val="0"/>
          <w:bCs w:val="0"/>
        </w:rPr>
      </w:r>
      <w:r>
        <w:rPr>
          <w:b w:val="0"/>
          <w:bCs w:val="0"/>
        </w:rPr>
      </w:r>
    </w:p>
    <w:p>
      <w:pPr>
        <w:pBdr/>
        <w:spacing/>
        <w:ind w:right="-45" w:firstLine="0" w:left="0"/>
        <w:rPr>
          <w:b w:val="0"/>
          <w:bCs w:val="0"/>
          <w:highlight w:val="none"/>
        </w:rPr>
      </w:pPr>
      <w:r>
        <w:rPr>
          <w:b w:val="0"/>
          <w:bCs w:val="0"/>
        </w:rPr>
        <w:t xml:space="preserve">A photovoltaic cell is a semiconductor device that can convert sunlight into electricity without pollution or the need for moving parts. It is renewable since it doesn’t rely on a finite resource like fossil fuels. </w:t>
      </w:r>
      <w:r>
        <w:rPr>
          <w:b w:val="0"/>
          <w:bCs w:val="0"/>
          <w:highlight w:val="none"/>
        </w:rPr>
      </w:r>
      <w:r>
        <w:rPr>
          <w:b w:val="0"/>
          <w:bCs w:val="0"/>
          <w:highlight w:val="none"/>
        </w:rPr>
      </w:r>
    </w:p>
    <w:p>
      <w:pPr>
        <w:pBdr/>
        <w:spacing/>
        <w:ind/>
        <w:rPr>
          <w:b w:val="0"/>
          <w:bCs w:val="0"/>
          <w:highlight w:val="none"/>
        </w:rPr>
      </w:pPr>
      <w:r>
        <w:rPr>
          <w:b w:val="0"/>
          <w:bCs w:val="0"/>
          <w:highlight w:val="none"/>
        </w:rPr>
        <w:t xml:space="preserve">A Perovskite solar cell (PSC) is a specific type of solar cell that has perovskite-structured compounds which are crystalline materials with a chemical formula of </w:t>
      </w:r>
      <m:oMath>
        <m:sSub>
          <m:sSubPr>
            <m:ctrlPr>
              <w:rPr>
                <w:rFonts w:ascii="Cambria Math" w:hAnsi="Cambria Math" w:eastAsia="Cambria Math" w:cs="Cambria Math"/>
                <w:b w:val="0"/>
                <w:i w:val="0"/>
                <w:highlight w:val="none"/>
              </w:rPr>
            </m:ctrlPr>
          </m:sSubPr>
          <m:e>
            <m:r>
              <w:rPr>
                <w:rFonts w:hint="default" w:ascii="Cambria Math" w:hAnsi="Cambria Math" w:eastAsia="Cambria Math" w:cs="Cambria Math"/>
                <w:highlight w:val="none"/>
              </w:rPr>
              <m:rPr>
                <m:sty m:val="p"/>
              </m:rPr>
              <m:t>ABX</m:t>
            </m:r>
          </m:e>
          <m:sub>
            <m:r>
              <w:rPr>
                <w:rFonts w:hint="default" w:ascii="Cambria Math" w:hAnsi="Cambria Math" w:eastAsia="Cambria Math" w:cs="Cambria Math"/>
                <w:highlight w:val="none"/>
              </w:rPr>
              <m:rPr>
                <m:sty m:val="p"/>
              </m:rPr>
              <m:t>3</m:t>
            </m:r>
          </m:sub>
        </m:sSub>
      </m:oMath>
      <w:r>
        <w:rPr>
          <w:b w:val="0"/>
          <w:bCs w:val="0"/>
          <w:highlight w:val="none"/>
        </w:rPr>
        <w:t xml:space="preserve">, often derived from Calcium Titanate (</w:t>
      </w:r>
      <m:oMath>
        <m:sSub>
          <m:sSubPr>
            <m:ctrlPr>
              <w:rPr>
                <w:rFonts w:ascii="Cambria Math" w:hAnsi="Cambria Math" w:eastAsia="Cambria Math" w:cs="Cambria Math"/>
                <w:b w:val="0"/>
                <w:i w:val="0"/>
                <w:highlight w:val="none"/>
              </w:rPr>
            </m:ctrlPr>
          </m:sSubPr>
          <m:e>
            <m:r>
              <w:rPr>
                <w:rFonts w:hint="default" w:ascii="Cambria Math" w:hAnsi="Cambria Math" w:eastAsia="Cambria Math" w:cs="Cambria Math"/>
                <w:highlight w:val="none"/>
              </w:rPr>
              <m:rPr>
                <m:sty m:val="p"/>
              </m:rPr>
              <m:t>CaTiO</m:t>
            </m:r>
          </m:e>
          <m:sub>
            <m:r>
              <w:rPr>
                <w:rFonts w:hint="default" w:ascii="Cambria Math" w:hAnsi="Cambria Math" w:eastAsia="Cambria Math" w:cs="Cambria Math"/>
                <w:highlight w:val="none"/>
              </w:rPr>
              <m:rPr>
                <m:sty m:val="p"/>
              </m:rPr>
              <m:t>3</m:t>
            </m:r>
          </m:sub>
        </m:sSub>
      </m:oMath>
      <w:r>
        <w:rPr>
          <w:b w:val="0"/>
          <w:bCs w:val="0"/>
          <w:highlight w:val="none"/>
        </w:rPr>
        <w:t xml:space="preserve">). On the other hand, organic solar cells (OSC) are primarily composed of carbon and hydrogen. OSCs display enhanced absorption near infrared and visible light wavelengths whereas PSCs better at absorbing blue and u</w:t>
      </w:r>
      <w:r>
        <w:rPr>
          <w:b w:val="0"/>
          <w:bCs w:val="0"/>
          <w:highlight w:val="none"/>
        </w:rPr>
        <w:t xml:space="preserve">ltraviolet (UV) wavelengths suggesting PSCs are well suited for high energy photons. The active layer of OSCs is usually &lt;100 nanometres but for PSCs its &gt;500 nanometres due to a larger carrier mobility which is more efficient for charge extraction. [1][2]</w:t>
      </w:r>
      <w:r>
        <w:rPr>
          <w:b w:val="0"/>
          <w:bCs w:val="0"/>
          <w:highlight w:val="none"/>
        </w:rPr>
      </w:r>
      <w:r>
        <w:rPr>
          <w:b w:val="0"/>
          <w:bCs w:val="0"/>
          <w:highlight w:val="none"/>
        </w:rPr>
      </w:r>
    </w:p>
    <w:p>
      <w:pPr>
        <w:pBdr/>
        <w:spacing/>
        <w:ind/>
        <w:rPr>
          <w:b w:val="0"/>
          <w:bCs w:val="0"/>
          <w:highlight w:val="none"/>
        </w:rPr>
      </w:pPr>
      <w:r>
        <w:rPr>
          <w:b w:val="0"/>
          <w:bCs w:val="0"/>
          <w:highlight w:val="none"/>
        </w:rPr>
        <w:t xml:space="preserve">The JV curve is a plot of current density against the voltage produced by the solar cell. It can be used to characterise the performance limits of a solar cell. The plot can be used to compute parameters such as the following:</w:t>
      </w:r>
      <w:r>
        <w:rPr>
          <w:b w:val="0"/>
          <w:bCs w:val="0"/>
          <w:highlight w:val="none"/>
        </w:rPr>
      </w:r>
      <w:r>
        <w:rPr>
          <w:b w:val="0"/>
          <w:bCs w:val="0"/>
          <w:highlight w:val="none"/>
        </w:rPr>
      </w:r>
    </w:p>
    <w:p>
      <w:pPr>
        <w:pStyle w:val="894"/>
        <w:numPr>
          <w:ilvl w:val="0"/>
          <w:numId w:val="1"/>
        </w:numPr>
        <w:pBdr/>
        <w:spacing/>
        <w:ind/>
        <w:rPr>
          <w:b w:val="0"/>
          <w:bCs w:val="0"/>
          <w:highlight w:val="none"/>
        </w:rPr>
      </w:pPr>
      <w:r>
        <w:rPr>
          <w:b w:val="0"/>
          <w:bCs w:val="0"/>
          <w:highlight w:val="none"/>
        </w:rPr>
        <w:t xml:space="preserve">Open circuit voltage</w:t>
      </w:r>
      <w:r>
        <w:rPr>
          <w:b w:val="0"/>
          <w:bCs w:val="0"/>
          <w:highlight w:val="none"/>
        </w:rPr>
        <w:t xml:space="preserve"> (</w:t>
      </w: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V</m:t>
            </m:r>
          </m:e>
          <m:sub>
            <m:r>
              <w:rPr>
                <w:rFonts w:hint="default" w:ascii="Cambria Math" w:hAnsi="Cambria Math" w:eastAsia="Cambria Math" w:cs="Cambria Math"/>
                <w:highlight w:val="none"/>
              </w:rPr>
              <m:rPr>
                <m:sty m:val="i"/>
              </m:rPr>
              <m:t>OC</m:t>
            </m:r>
          </m:sub>
        </m:sSub>
      </m:oMath>
      <w:r>
        <w:rPr>
          <w:b w:val="0"/>
          <w:bCs w:val="0"/>
          <w:highlight w:val="none"/>
        </w:rPr>
        <w:t xml:space="preserve">) – The voltage when the current is zero, this would be the voltage produced by the cell when the terminals are open without a load connected</w:t>
      </w:r>
      <w:r>
        <w:rPr>
          <w:b w:val="0"/>
          <w:bCs w:val="0"/>
          <w:highlight w:val="none"/>
        </w:rPr>
      </w:r>
      <w:r>
        <w:rPr>
          <w:b w:val="0"/>
          <w:bCs w:val="0"/>
          <w:highlight w:val="none"/>
        </w:rPr>
      </w:r>
    </w:p>
    <w:p>
      <w:pPr>
        <w:pStyle w:val="894"/>
        <w:numPr>
          <w:ilvl w:val="0"/>
          <w:numId w:val="1"/>
        </w:numPr>
        <w:pBdr/>
        <w:spacing/>
        <w:ind/>
        <w:rPr>
          <w:b w:val="0"/>
          <w:bCs w:val="0"/>
          <w:highlight w:val="none"/>
        </w:rPr>
      </w:pPr>
      <w:r>
        <w:rPr>
          <w:b w:val="0"/>
          <w:bCs w:val="0"/>
          <w:highlight w:val="none"/>
        </w:rPr>
        <w:t xml:space="preserve">Short circuit current (</w:t>
      </w: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I</m:t>
            </m:r>
          </m:e>
          <m:sub>
            <m:r>
              <w:rPr>
                <w:rFonts w:hint="default" w:ascii="Cambria Math" w:hAnsi="Cambria Math" w:eastAsia="Cambria Math" w:cs="Cambria Math"/>
                <w:highlight w:val="none"/>
              </w:rPr>
              <m:rPr>
                <m:sty m:val="i"/>
              </m:rPr>
              <m:t>SC</m:t>
            </m:r>
          </m:sub>
        </m:sSub>
      </m:oMath>
      <w:r>
        <w:rPr>
          <w:b w:val="0"/>
          <w:bCs w:val="0"/>
          <w:highlight w:val="none"/>
        </w:rPr>
        <w:t xml:space="preserve">) – The current p</w:t>
      </w:r>
      <w:r>
        <w:rPr>
          <w:b w:val="0"/>
          <w:bCs w:val="0"/>
          <w:highlight w:val="none"/>
        </w:rPr>
        <w:t xml:space="preserve">roduced by the cell when the voltage is zero. This happens when the terminals are shorted, indicating the maximum current the cell can generate under illumination</w:t>
      </w:r>
      <w:r>
        <w:rPr>
          <w:b w:val="0"/>
          <w:bCs w:val="0"/>
          <w:highlight w:val="none"/>
        </w:rPr>
      </w:r>
      <w:r>
        <w:rPr>
          <w:b w:val="0"/>
          <w:bCs w:val="0"/>
          <w:highlight w:val="none"/>
        </w:rPr>
      </w:r>
    </w:p>
    <w:p>
      <w:pPr>
        <w:pStyle w:val="894"/>
        <w:numPr>
          <w:ilvl w:val="0"/>
          <w:numId w:val="1"/>
        </w:numPr>
        <w:pBdr/>
        <w:spacing/>
        <w:ind/>
        <w:rPr>
          <w:b w:val="0"/>
          <w:bCs w:val="0"/>
          <w:highlight w:val="none"/>
        </w:rPr>
      </w:pPr>
      <w:r>
        <w:rPr>
          <w:b w:val="0"/>
          <w:bCs w:val="0"/>
          <w:highlight w:val="none"/>
        </w:rPr>
        <w:t xml:space="preserve">Maximum Power Point (</w:t>
      </w: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V</m:t>
            </m:r>
          </m:e>
          <m:sub>
            <m:r>
              <w:rPr>
                <w:rFonts w:hint="default" w:ascii="Cambria Math" w:hAnsi="Cambria Math" w:eastAsia="Cambria Math" w:cs="Cambria Math"/>
                <w:highlight w:val="none"/>
              </w:rPr>
              <m:rPr>
                <m:sty m:val="i"/>
              </m:rPr>
              <m:t>MP,</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I</m:t>
            </m:r>
          </m:e>
          <m:sub>
            <m:r>
              <w:rPr>
                <w:rFonts w:hint="default" w:ascii="Cambria Math" w:hAnsi="Cambria Math" w:eastAsia="Cambria Math" w:cs="Cambria Math"/>
                <w:highlight w:val="none"/>
              </w:rPr>
              <m:rPr/>
              <m:t>MP</m:t>
            </m:r>
          </m:sub>
        </m:sSub>
        <m:r>
          <w:rPr>
            <w:rFonts w:hint="default" w:ascii="Cambria Math" w:hAnsi="Cambria Math" w:eastAsia="Cambria Math" w:cs="Cambria Math"/>
            <w:highlight w:val="none"/>
          </w:rPr>
          <m:rPr/>
          <m:t>)</m:t>
        </m:r>
      </m:oMath>
      <w:r>
        <w:rPr>
          <w:b w:val="0"/>
          <w:bCs w:val="0"/>
          <w:highlight w:val="none"/>
        </w:rPr>
        <w:t xml:space="preserve"> – The instant at which the solar cell produces the maximum possible power</w:t>
      </w:r>
      <w:r>
        <w:rPr>
          <w:b w:val="0"/>
          <w:bCs w:val="0"/>
          <w:highlight w:val="none"/>
        </w:rPr>
        <w:t xml:space="preserve"> (</w:t>
      </w:r>
      <m:oMath>
        <m:r>
          <w:rPr>
            <w:rFonts w:hint="default" w:ascii="Cambria Math" w:hAnsi="Cambria Math" w:eastAsia="Cambria Math" w:cs="Cambria Math"/>
            <w:highlight w:val="none"/>
          </w:rPr>
          <m:rPr>
            <m:sty m:val="i"/>
          </m:rPr>
          <m:t>P = IV</m:t>
        </m:r>
      </m:oMath>
      <w:r>
        <w:rPr>
          <w:b w:val="0"/>
          <w:bCs w:val="0"/>
          <w:highlight w:val="none"/>
        </w:rPr>
        <w:t xml:space="preserve">) for the specific light intensity.</w:t>
      </w:r>
      <w:r>
        <w:rPr>
          <w:b w:val="0"/>
          <w:bCs w:val="0"/>
          <w:highlight w:val="none"/>
        </w:rPr>
      </w:r>
      <w:r>
        <w:rPr>
          <w:b w:val="0"/>
          <w:bCs w:val="0"/>
          <w:highlight w:val="none"/>
        </w:rPr>
      </w:r>
    </w:p>
    <w:p>
      <w:pPr>
        <w:pStyle w:val="894"/>
        <w:numPr>
          <w:ilvl w:val="0"/>
          <w:numId w:val="1"/>
        </w:numPr>
        <w:pBdr/>
        <w:spacing/>
        <w:ind/>
        <w:rPr>
          <w:b w:val="0"/>
          <w:bCs w:val="0"/>
          <w:highlight w:val="none"/>
        </w:rPr>
      </w:pPr>
      <w:r>
        <w:rPr>
          <w:b w:val="0"/>
          <w:bCs w:val="0"/>
          <w:highlight w:val="none"/>
        </w:rPr>
        <w:t xml:space="preserve">Fill Factor (FF) – A measure of the squareness of the JV curve, displaying the solar cell’s sensitivity to a change in conditions</w:t>
      </w:r>
      <w:r>
        <w:rPr>
          <w:b w:val="0"/>
          <w:bCs w:val="0"/>
          <w:highlight w:val="none"/>
        </w:rPr>
      </w:r>
      <w:r>
        <w:rPr>
          <w:b w:val="0"/>
          <w:bCs w:val="0"/>
          <w:highlight w:val="none"/>
        </w:rPr>
      </w:r>
    </w:p>
    <w:p>
      <w:pPr>
        <w:pStyle w:val="894"/>
        <w:numPr>
          <w:ilvl w:val="0"/>
          <w:numId w:val="1"/>
        </w:numPr>
        <w:pBdr/>
        <w:spacing/>
        <w:ind/>
        <w:rPr>
          <w:b w:val="0"/>
          <w:bCs w:val="0"/>
          <w:highlight w:val="none"/>
        </w:rPr>
      </w:pPr>
      <w:r>
        <w:rPr>
          <w:b w:val="0"/>
          <w:bCs w:val="0"/>
          <w:highlight w:val="none"/>
        </w:rPr>
        <w:t xml:space="preserve">Efficiency (</w:t>
      </w:r>
      <w:r>
        <w:rPr>
          <w:b w:val="0"/>
          <w:bCs w:val="0"/>
          <w:highlight w:val="none"/>
        </w:rPr>
      </w:r>
      <m:oMath>
        <m:r>
          <w:rPr>
            <w:rFonts w:hint="default" w:ascii="Cambria Math" w:hAnsi="Cambria Math" w:eastAsia="Cambria Math" w:cs="Cambria Math"/>
            <w:highlight w:val="none"/>
          </w:rPr>
          <m:rPr>
            <m:sty m:val="i"/>
          </m:rPr>
          <m:t>η</m:t>
        </m:r>
      </m:oMath>
      <w:r>
        <w:rPr>
          <w:b w:val="0"/>
          <w:bCs w:val="0"/>
          <w:highlight w:val="none"/>
        </w:rPr>
        <w:t xml:space="preserve">) – The proportion that the maximum power makes of </w:t>
      </w:r>
      <w:r>
        <w:rPr>
          <w:b w:val="0"/>
          <w:bCs w:val="0"/>
          <w:highlight w:val="none"/>
        </w:rPr>
        <w:t xml:space="preserve">the incident optical power </w:t>
      </w:r>
      <w:r>
        <w:rPr>
          <w:b w:val="0"/>
          <w:bCs w:val="0"/>
          <w:highlight w:val="none"/>
        </w:rPr>
        <w:t xml:space="preserve">.</w:t>
      </w:r>
      <w:r>
        <w:rPr>
          <w:b w:val="0"/>
          <w:bCs w:val="0"/>
          <w:highlight w:val="none"/>
        </w:rPr>
      </w:r>
      <w:r>
        <w:rPr>
          <w:b w:val="0"/>
          <w:bCs w:val="0"/>
          <w:highlight w:val="none"/>
        </w:rPr>
      </w:r>
    </w:p>
    <w:p>
      <w:pPr>
        <w:pStyle w:val="831"/>
        <w:pBdr/>
        <w:spacing/>
        <w:ind/>
        <w:rPr>
          <w:b w:val="0"/>
          <w:bCs w:val="0"/>
          <w:highlight w:val="none"/>
        </w:rPr>
      </w:pPr>
      <w:r>
        <w:rPr>
          <w:b w:val="0"/>
          <w:bCs w:val="0"/>
          <w:highlight w:val="none"/>
        </w:rPr>
      </w:r>
      <w:r>
        <w:rPr>
          <w:b w:val="0"/>
          <w:bCs w:val="0"/>
          <w:highlight w:val="none"/>
        </w:rPr>
        <w:t xml:space="preserve">Data Analysis</w:t>
      </w:r>
      <w:r>
        <w:rPr>
          <w:b w:val="0"/>
          <w:bCs w:val="0"/>
          <w:highlight w:val="none"/>
        </w:rPr>
      </w:r>
      <w:r>
        <w:rPr>
          <w:b w:val="0"/>
          <w:bCs w:val="0"/>
          <w:highlight w:val="none"/>
        </w:rPr>
      </w:r>
    </w:p>
    <w:p>
      <w:pPr>
        <w:pBdr/>
        <w:spacing/>
        <w:ind w:right="851"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731510" cy="329893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8873" name=""/>
                        <pic:cNvPicPr>
                          <a:picLocks noChangeAspect="1"/>
                        </pic:cNvPicPr>
                        <pic:nvPr/>
                      </pic:nvPicPr>
                      <pic:blipFill rotWithShape="1">
                        <a:blip r:embed="rId9"/>
                        <a:stretch/>
                      </pic:blipFill>
                      <pic:spPr bwMode="auto">
                        <a:xfrm>
                          <a:off x="0" y="0"/>
                          <a:ext cx="5731509" cy="3298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59.76pt;mso-wrap-distance-left:0.00pt;mso-wrap-distance-top:0.00pt;mso-wrap-distance-right:0.00pt;mso-wrap-distance-bottom:0.00pt;z-index:1;" stroked="false">
                <v:imagedata r:id="rId9" o:title=""/>
                <o:lock v:ext="edit" rotation="t"/>
              </v:shape>
            </w:pict>
          </mc:Fallback>
        </mc:AlternateContent>
      </w:r>
      <w:r>
        <w:rPr>
          <w:b w:val="0"/>
          <w:bCs w:val="0"/>
          <w:highlight w:val="none"/>
        </w:rPr>
      </w:r>
      <w:r>
        <w:rPr>
          <w:b w:val="0"/>
          <w:bCs w:val="0"/>
          <w:highlight w:val="none"/>
        </w:rPr>
      </w:r>
    </w:p>
    <w:p>
      <w:pPr>
        <w:pStyle w:val="869"/>
        <w:pBdr/>
        <w:spacing/>
        <w:ind/>
        <w:jc w:val="center"/>
        <w:rPr/>
      </w:pPr>
      <w:r>
        <w:t xml:space="preserve">Figure </w:t>
      </w:r>
      <w:r>
        <w:fldChar w:fldCharType="begin"/>
        <w:instrText xml:space="preserve"> SEQ Figure \* Arabic </w:instrText>
        <w:fldChar w:fldCharType="separate"/>
      </w:r>
      <w:r>
        <w:t xml:space="preserve">1</w:t>
      </w:r>
      <w:r/>
      <w:r>
        <w:fldChar w:fldCharType="end"/>
      </w:r>
      <w:r>
        <w:t xml:space="preserve">: JV curves of all the light intensities given in the data set </w:t>
      </w:r>
      <w:r/>
    </w:p>
    <w:p>
      <w:pPr>
        <w:pStyle w:val="869"/>
        <w:pBdr/>
        <w:spacing/>
        <w:ind/>
        <w:jc w:val="center"/>
        <w:rPr/>
      </w:pPr>
      <w:r/>
      <w:r>
        <mc:AlternateContent>
          <mc:Choice Requires="wpg">
            <w:drawing>
              <wp:inline xmlns:wp="http://schemas.openxmlformats.org/drawingml/2006/wordprocessingDrawing" distT="0" distB="0" distL="0" distR="0">
                <wp:extent cx="5731510" cy="330145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53786" name=""/>
                        <pic:cNvPicPr>
                          <a:picLocks noChangeAspect="1"/>
                        </pic:cNvPicPr>
                        <pic:nvPr/>
                      </pic:nvPicPr>
                      <pic:blipFill rotWithShape="1">
                        <a:blip r:embed="rId10"/>
                        <a:stretch/>
                      </pic:blipFill>
                      <pic:spPr bwMode="auto">
                        <a:xfrm>
                          <a:off x="0" y="0"/>
                          <a:ext cx="5731509" cy="33014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59.96pt;mso-wrap-distance-left:0.00pt;mso-wrap-distance-top:0.00pt;mso-wrap-distance-right:0.00pt;mso-wrap-distance-bottom:0.00pt;z-index:1;" stroked="false">
                <v:imagedata r:id="rId10" o:title=""/>
                <o:lock v:ext="edit" rotation="t"/>
              </v:shape>
            </w:pict>
          </mc:Fallback>
        </mc:AlternateContent>
      </w:r>
      <w:r/>
      <w:r/>
      <w:r/>
      <w:r/>
    </w:p>
    <w:p>
      <w:pPr>
        <w:pStyle w:val="869"/>
        <w:pBdr/>
        <w:spacing/>
        <w:ind/>
        <w:jc w:val="center"/>
        <w:rPr/>
      </w:pPr>
      <w:r>
        <w:t xml:space="preserve">Figure </w:t>
      </w:r>
      <w:r>
        <w:fldChar w:fldCharType="begin"/>
        <w:instrText xml:space="preserve"> SEQ Figure \* Arabic </w:instrText>
        <w:fldChar w:fldCharType="separate"/>
      </w:r>
      <w:r>
        <w:t xml:space="preserve">2</w:t>
      </w:r>
      <w:r/>
      <w:r>
        <w:fldChar w:fldCharType="end"/>
      </w:r>
      <w:r>
        <w:t xml:space="preserve">: JV curves of light intensities 10%, 50% and 100% with Maximum Power Point Labelled as MPP</w:t>
      </w:r>
      <w:r/>
    </w:p>
    <w:p>
      <w:pPr>
        <w:pBdr/>
        <w:spacing/>
        <w:ind/>
        <w:rPr/>
      </w:pPr>
      <w:r>
        <w:rPr>
          <w:highlight w:val="none"/>
        </w:rPr>
      </w:r>
      <w:r>
        <w:rPr>
          <w:highlight w:val="none"/>
        </w:rPr>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731510" cy="332775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40401" name=""/>
                        <pic:cNvPicPr>
                          <a:picLocks noChangeAspect="1"/>
                        </pic:cNvPicPr>
                        <pic:nvPr/>
                      </pic:nvPicPr>
                      <pic:blipFill rotWithShape="1">
                        <a:blip r:embed="rId11"/>
                        <a:stretch/>
                      </pic:blipFill>
                      <pic:spPr bwMode="auto">
                        <a:xfrm>
                          <a:off x="0" y="0"/>
                          <a:ext cx="5731509" cy="3327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262.03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
        <w:rPr>
          <w:highlight w:val="none"/>
        </w:rPr>
      </w:r>
      <w:r>
        <w:rPr>
          <w:highlight w:val="none"/>
        </w:rPr>
      </w:r>
    </w:p>
    <w:p>
      <w:pPr>
        <w:pStyle w:val="869"/>
        <w:pBdr/>
        <w:spacing/>
        <w:ind/>
        <w:rPr/>
      </w:pPr>
      <w:r>
        <w:t xml:space="preserve">Figure </w:t>
      </w:r>
      <w:r>
        <w:fldChar w:fldCharType="begin"/>
        <w:instrText xml:space="preserve"> SEQ Figure \* Arabic </w:instrText>
        <w:fldChar w:fldCharType="separate"/>
      </w:r>
      <w:r>
        <w:t xml:space="preserve">3</w:t>
      </w:r>
      <w:r/>
      <w:r>
        <w:fldChar w:fldCharType="end"/>
      </w:r>
      <w:r>
        <w:t xml:space="preserve">: Power-Voltage plots of light intensities 10%, 50% and 100% with Max Power Point Labelled as MPP </w:t>
      </w:r>
      <w:r/>
    </w:p>
    <w:p>
      <w:pPr>
        <w:pBdr/>
        <w:spacing/>
        <w:ind/>
        <w:rPr>
          <w:highlight w:val="none"/>
        </w:rPr>
      </w:pPr>
      <w:r>
        <w:t xml:space="preserve">From zooming into the graphs, the values in the table below can be deduced for the different light intensities.</w:t>
      </w:r>
      <w:r>
        <w:rPr>
          <w:highlight w:val="none"/>
        </w:rPr>
      </w:r>
      <w:r>
        <w:rPr>
          <w:highlight w:val="none"/>
        </w:rPr>
      </w:r>
    </w:p>
    <w:tbl>
      <w:tblPr>
        <w:tblStyle w:val="705"/>
        <w:tblW w:w="0" w:type="auto"/>
        <w:tblBorders/>
        <w:tblLayout w:type="fixed"/>
        <w:tblLook w:val="04A0" w:firstRow="1" w:lastRow="0" w:firstColumn="1" w:lastColumn="0" w:noHBand="0" w:noVBand="1"/>
      </w:tblPr>
      <w:tblGrid>
        <w:gridCol w:w="686"/>
        <w:gridCol w:w="2693"/>
        <w:gridCol w:w="2835"/>
        <w:gridCol w:w="2812"/>
      </w:tblGrid>
      <w:tr>
        <w:trPr/>
        <w:tc>
          <w:tcPr>
            <w:tcBorders/>
            <w:tcW w:w="686" w:type="dxa"/>
            <w:vMerge w:val="restart"/>
            <w:textDirection w:val="lrTb"/>
            <w:noWrap w:val="false"/>
          </w:tcPr>
          <w:p>
            <w:pPr>
              <w:pBdr/>
              <w:spacing/>
              <w:ind/>
              <w:jc w:val="center"/>
              <w:rPr>
                <w:b w:val="0"/>
                <w:bCs w:val="0"/>
                <w:highlight w:val="none"/>
              </w:rPr>
            </w:pPr>
            <w:r>
              <w:rPr>
                <w:b w:val="0"/>
                <w:bCs w:val="0"/>
                <w:highlight w:val="none"/>
              </w:rPr>
            </w:r>
            <w:r>
              <w:rPr>
                <w:b w:val="0"/>
                <w:bCs w:val="0"/>
                <w:highlight w:val="none"/>
              </w:rPr>
            </w:r>
            <w:r>
              <w:rPr>
                <w:b w:val="0"/>
                <w:bCs w:val="0"/>
                <w:highlight w:val="none"/>
              </w:rPr>
            </w:r>
          </w:p>
        </w:tc>
        <w:tc>
          <w:tcPr>
            <w:gridSpan w:val="3"/>
            <w:tcBorders/>
            <w:tcW w:w="8340" w:type="dxa"/>
            <w:vMerge w:val="restart"/>
            <w:textDirection w:val="lrTb"/>
            <w:noWrap w:val="false"/>
          </w:tcPr>
          <w:p>
            <w:pPr>
              <w:pBdr/>
              <w:spacing/>
              <w:ind/>
              <w:jc w:val="center"/>
              <w:rPr>
                <w:b/>
                <w:bCs/>
                <w:highlight w:val="none"/>
                <w:u w:val="single"/>
              </w:rPr>
            </w:pPr>
            <w:r>
              <w:rPr>
                <w:b/>
                <w:bCs/>
                <w:highlight w:val="none"/>
                <w:u w:val="single"/>
              </w:rPr>
              <w:t xml:space="preserve">Light intensities</w:t>
            </w:r>
            <w:r>
              <w:rPr>
                <w:b/>
                <w:bCs/>
                <w:highlight w:val="none"/>
                <w:u w:val="single"/>
              </w:rPr>
            </w:r>
            <w:r>
              <w:rPr>
                <w:b/>
                <w:bCs/>
                <w:highlight w:val="none"/>
                <w:u w:val="single"/>
              </w:rPr>
            </w:r>
          </w:p>
        </w:tc>
      </w:tr>
      <w:tr>
        <w:trPr/>
        <w:tc>
          <w:tcPr>
            <w:tcBorders/>
            <w:tcW w:w="686" w:type="dxa"/>
            <w:vMerge w:val="continue"/>
            <w:textDirection w:val="lrTb"/>
            <w:noWrap w:val="false"/>
          </w:tcPr>
          <w:p>
            <w:pPr>
              <w:pBdr/>
              <w:spacing/>
              <w:ind/>
              <w:rPr/>
            </w:pPr>
            <w:r/>
            <w:r/>
          </w:p>
        </w:tc>
        <w:tc>
          <w:tcPr>
            <w:tcBorders/>
            <w:tcW w:w="2693" w:type="dxa"/>
            <w:textDirection w:val="lrTb"/>
            <w:noWrap w:val="false"/>
          </w:tcPr>
          <w:p>
            <w:pPr>
              <w:pBdr/>
              <w:spacing/>
              <w:ind/>
              <w:jc w:val="center"/>
              <w:rPr>
                <w:b/>
                <w:bCs/>
                <w:highlight w:val="none"/>
                <w:u w:val="single"/>
              </w:rPr>
            </w:pPr>
            <w:r>
              <w:rPr>
                <w:b/>
                <w:bCs/>
                <w:highlight w:val="none"/>
                <w:u w:val="single"/>
              </w:rPr>
            </w:r>
            <m:oMathPara>
              <m:oMathParaPr/>
              <m:oMath>
                <m:r>
                  <w:rPr>
                    <w:rFonts w:ascii="Cambria Math" w:hAnsi="Cambria Math" w:eastAsia="Cambria Math" w:cs="Cambria Math"/>
                    <w:highlight w:val="none"/>
                    <w:u w:val="single"/>
                  </w:rPr>
                  <m:rPr>
                    <m:sty m:val="bi"/>
                  </m:rPr>
                  <m:t>10%</m:t>
                </m:r>
              </m:oMath>
            </m:oMathPara>
            <w:r>
              <w:rPr>
                <w:b/>
                <w:bCs/>
                <w:highlight w:val="none"/>
                <w:u w:val="single"/>
              </w:rPr>
            </w:r>
            <w:r>
              <w:rPr>
                <w:b/>
                <w:bCs/>
                <w:highlight w:val="none"/>
                <w:u w:val="single"/>
              </w:rPr>
            </w:r>
          </w:p>
        </w:tc>
        <w:tc>
          <w:tcPr>
            <w:tcBorders/>
            <w:tcW w:w="2835" w:type="dxa"/>
            <w:textDirection w:val="lrTb"/>
            <w:noWrap w:val="false"/>
          </w:tcPr>
          <w:p>
            <w:pPr>
              <w:pBdr/>
              <w:spacing/>
              <w:ind/>
              <w:jc w:val="center"/>
              <w:rPr>
                <w:b/>
                <w:bCs/>
                <w:highlight w:val="none"/>
                <w:u w:val="single"/>
              </w:rPr>
            </w:pPr>
            <w:r>
              <w:rPr>
                <w:b/>
                <w:bCs/>
                <w:highlight w:val="none"/>
                <w:u w:val="single"/>
              </w:rPr>
            </w:r>
            <m:oMathPara>
              <m:oMathParaPr/>
              <m:oMath>
                <m:r>
                  <w:rPr>
                    <w:rFonts w:ascii="Cambria Math" w:hAnsi="Cambria Math" w:eastAsia="Cambria Math" w:cs="Cambria Math"/>
                    <w:highlight w:val="none"/>
                    <w:u w:val="single"/>
                  </w:rPr>
                  <m:rPr>
                    <m:sty m:val="bi"/>
                  </m:rPr>
                  <m:t>50%</m:t>
                </m:r>
              </m:oMath>
            </m:oMathPara>
            <w:r>
              <w:rPr>
                <w:b/>
                <w:bCs/>
                <w:highlight w:val="none"/>
                <w:u w:val="single"/>
              </w:rPr>
            </w:r>
            <w:r>
              <w:rPr>
                <w:b/>
                <w:bCs/>
                <w:highlight w:val="none"/>
                <w:u w:val="single"/>
              </w:rPr>
            </w:r>
          </w:p>
        </w:tc>
        <w:tc>
          <w:tcPr>
            <w:tcBorders/>
            <w:tcW w:w="2812" w:type="dxa"/>
            <w:textDirection w:val="lrTb"/>
            <w:noWrap w:val="false"/>
          </w:tcPr>
          <w:p>
            <w:pPr>
              <w:pBdr/>
              <w:spacing/>
              <w:ind/>
              <w:jc w:val="center"/>
              <w:rPr>
                <w:b/>
                <w:bCs/>
                <w:highlight w:val="none"/>
                <w:u w:val="single"/>
              </w:rPr>
            </w:pPr>
            <w:r>
              <w:rPr>
                <w:b/>
                <w:bCs/>
                <w:highlight w:val="none"/>
                <w:u w:val="single"/>
              </w:rPr>
            </w:r>
            <m:oMathPara>
              <m:oMathParaPr/>
              <m:oMath>
                <m:r>
                  <w:rPr>
                    <w:rFonts w:ascii="Cambria Math" w:hAnsi="Cambria Math" w:eastAsia="Cambria Math" w:cs="Cambria Math"/>
                    <w:highlight w:val="none"/>
                    <w:u w:val="single"/>
                  </w:rPr>
                  <m:rPr>
                    <m:sty m:val="bi"/>
                  </m:rPr>
                  <m:t>100%</m:t>
                </m:r>
              </m:oMath>
            </m:oMathPara>
            <w:r>
              <w:rPr>
                <w:b/>
                <w:bCs/>
                <w:highlight w:val="none"/>
                <w:u w:val="single"/>
              </w:rPr>
            </w:r>
            <w:r>
              <w:rPr>
                <w:b/>
                <w:bCs/>
                <w:highlight w:val="none"/>
                <w:u w:val="single"/>
              </w:rPr>
            </w:r>
          </w:p>
        </w:tc>
      </w:tr>
      <w:tr>
        <w:trPr/>
        <w:tc>
          <w:tcPr>
            <w:tcBorders/>
            <w:tcW w:w="686" w:type="dxa"/>
            <w:textDirection w:val="lrTb"/>
            <w:noWrap w:val="false"/>
          </w:tcPr>
          <w:p>
            <w:pPr>
              <w:pBdr/>
              <w:spacing/>
              <w:ind/>
              <w:jc w:val="center"/>
              <w:rPr>
                <w:b/>
                <w:bCs/>
                <w:highlight w:val="none"/>
                <w:u w:val="none"/>
              </w:rPr>
            </w:pPr>
            <w:r>
              <w:rPr>
                <w:b w:val="0"/>
                <w:bCs w:val="0"/>
                <w:highlight w:val="none"/>
              </w:rPr>
            </w:r>
            <m:oMathPara>
              <m:oMathParaPr>
                <m:jc m:val="center"/>
              </m:oMathParaPr>
              <m:oMath>
                <m:sSub>
                  <m:sSubPr>
                    <m:ctrlPr>
                      <w:rPr>
                        <w:rFonts w:ascii="Cambria Math" w:hAnsi="Cambria Math" w:eastAsia="Cambria Math" w:cs="Cambria Math"/>
                        <w:highlight w:val="none"/>
                        <w:u w:val="none"/>
                      </w:rPr>
                    </m:ctrlPr>
                  </m:sSubPr>
                  <m:e>
                    <m:r>
                      <w:rPr>
                        <w:rFonts w:hint="default" w:ascii="Cambria Math" w:hAnsi="Cambria Math" w:eastAsia="Cambria Math" w:cs="Cambria Math"/>
                        <w:highlight w:val="none"/>
                        <w:u w:val="none"/>
                      </w:rPr>
                      <m:rPr>
                        <m:sty m:val="bi"/>
                      </m:rPr>
                      <m:t>V</m:t>
                    </m:r>
                  </m:e>
                  <m:sub>
                    <m:r>
                      <w:rPr>
                        <w:rFonts w:hint="default" w:ascii="Cambria Math" w:hAnsi="Cambria Math" w:eastAsia="Cambria Math" w:cs="Cambria Math"/>
                        <w:highlight w:val="none"/>
                        <w:u w:val="none"/>
                      </w:rPr>
                      <m:rPr>
                        <m:sty m:val="bi"/>
                      </m:rPr>
                      <m:t>OC</m:t>
                    </m:r>
                  </m:sub>
                </m:sSub>
              </m:oMath>
            </m:oMathPara>
            <w:r>
              <w:rPr>
                <w:b/>
                <w:bCs/>
                <w:highlight w:val="none"/>
                <w:u w:val="none"/>
              </w:rPr>
            </w:r>
            <w:r>
              <w:rPr>
                <w:b/>
                <w:bCs/>
                <w:highlight w:val="none"/>
                <w:u w:val="none"/>
              </w:rPr>
            </w:r>
          </w:p>
        </w:tc>
        <w:tc>
          <w:tcPr>
            <w:tcBorders/>
            <w:tcW w:w="2693" w:type="dxa"/>
            <w:textDirection w:val="lrTb"/>
            <w:noWrap w:val="false"/>
          </w:tcPr>
          <w:p>
            <w:pPr>
              <w:pBdr/>
              <w:spacing/>
              <w:ind/>
              <w:jc w:val="center"/>
              <w:rPr>
                <w:b w:val="0"/>
                <w:bCs w:val="0"/>
                <w:highlight w:val="none"/>
              </w:rPr>
            </w:pPr>
            <w:r>
              <w:rPr>
                <w:b w:val="0"/>
                <w:bCs w:val="0"/>
                <w:highlight w:val="none"/>
              </w:rPr>
            </w:r>
            <m:oMathPara>
              <m:oMathParaPr/>
              <m:oMath>
                <m:r>
                  <w:rPr>
                    <w:rFonts w:ascii="Cambria Math" w:hAnsi="Cambria Math" w:eastAsia="Cambria Math" w:cs="Cambria Math"/>
                    <w:highlight w:val="none"/>
                  </w:rPr>
                  <m:rPr>
                    <m:sty m:val="i"/>
                  </m:rPr>
                  <m:t>0.98V</m:t>
                </m:r>
              </m:oMath>
            </m:oMathPara>
            <w:r>
              <w:rPr>
                <w:b w:val="0"/>
                <w:bCs w:val="0"/>
                <w:highlight w:val="none"/>
              </w:rPr>
            </w:r>
            <w:r>
              <w:rPr>
                <w:b w:val="0"/>
                <w:bCs w:val="0"/>
                <w:highlight w:val="none"/>
              </w:rPr>
            </w:r>
          </w:p>
        </w:tc>
        <w:tc>
          <w:tcPr>
            <w:tcBorders/>
            <w:tcW w:w="2835" w:type="dxa"/>
            <w:textDirection w:val="lrTb"/>
            <w:noWrap w:val="false"/>
          </w:tcPr>
          <w:p>
            <w:pPr>
              <w:pBdr/>
              <w:spacing/>
              <w:ind/>
              <w:jc w:val="center"/>
              <w:rPr>
                <w:b w:val="0"/>
                <w:bCs w:val="0"/>
                <w:highlight w:val="none"/>
              </w:rPr>
            </w:pPr>
            <w:r>
              <w:rPr>
                <w:b w:val="0"/>
                <w:bCs w:val="0"/>
                <w:highlight w:val="none"/>
              </w:rPr>
            </w:r>
            <m:oMathPara>
              <m:oMathParaPr/>
              <m:oMath>
                <m:r>
                  <w:rPr>
                    <w:rFonts w:ascii="Cambria Math" w:hAnsi="Cambria Math" w:eastAsia="Cambria Math" w:cs="Cambria Math"/>
                    <w:highlight w:val="none"/>
                  </w:rPr>
                  <m:rPr>
                    <m:sty m:val="i"/>
                  </m:rPr>
                  <m:t>1.04V</m:t>
                </m:r>
              </m:oMath>
            </m:oMathPara>
            <w:r>
              <w:rPr>
                <w:b w:val="0"/>
                <w:bCs w:val="0"/>
                <w:highlight w:val="none"/>
              </w:rPr>
            </w:r>
            <w:r>
              <w:rPr>
                <w:b w:val="0"/>
                <w:bCs w:val="0"/>
                <w:highlight w:val="none"/>
              </w:rPr>
            </w:r>
          </w:p>
        </w:tc>
        <w:tc>
          <w:tcPr>
            <w:tcBorders/>
            <w:tcW w:w="2812" w:type="dxa"/>
            <w:textDirection w:val="lrTb"/>
            <w:noWrap w:val="false"/>
          </w:tcPr>
          <w:p>
            <w:pPr>
              <w:pBdr/>
              <w:spacing/>
              <w:ind/>
              <w:jc w:val="center"/>
              <w:rPr>
                <w:b w:val="0"/>
                <w:bCs w:val="0"/>
                <w:highlight w:val="none"/>
              </w:rPr>
            </w:pPr>
            <w:r>
              <w:rPr>
                <w:b w:val="0"/>
                <w:bCs w:val="0"/>
                <w:highlight w:val="none"/>
              </w:rPr>
            </w:r>
            <m:oMathPara>
              <m:oMathParaPr/>
              <m:oMath>
                <m:r>
                  <w:rPr>
                    <w:rFonts w:ascii="Cambria Math" w:hAnsi="Cambria Math" w:eastAsia="Cambria Math" w:cs="Cambria Math"/>
                    <w:highlight w:val="none"/>
                  </w:rPr>
                  <m:rPr>
                    <m:sty m:val="i"/>
                  </m:rPr>
                  <m:t>1.06V</m:t>
                </m:r>
              </m:oMath>
            </m:oMathPara>
            <w:r>
              <w:rPr>
                <w:b w:val="0"/>
                <w:bCs w:val="0"/>
                <w:highlight w:val="none"/>
              </w:rPr>
            </w:r>
            <w:r>
              <w:rPr>
                <w:b w:val="0"/>
                <w:bCs w:val="0"/>
                <w:highlight w:val="none"/>
              </w:rPr>
            </w:r>
          </w:p>
        </w:tc>
      </w:tr>
      <w:tr>
        <w:trPr/>
        <w:tc>
          <w:tcPr>
            <w:tcBorders/>
            <w:tcW w:w="686" w:type="dxa"/>
            <w:vMerge w:val="restart"/>
            <w:textDirection w:val="lrTb"/>
            <w:noWrap w:val="false"/>
          </w:tcPr>
          <w:p>
            <w:pPr>
              <w:pBdr/>
              <w:spacing/>
              <w:ind/>
              <w:jc w:val="center"/>
              <w:rPr>
                <w:b/>
                <w:bCs/>
                <w:highlight w:val="none"/>
              </w:rPr>
            </w:pPr>
            <w:r>
              <w:rPr>
                <w:b w:val="0"/>
                <w:bCs w:val="0"/>
                <w:highlight w:val="none"/>
              </w:rPr>
            </w:r>
            <m:oMathPara>
              <m:oMathParaPr>
                <m:jc m:val="center"/>
              </m:oMathParaP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bi"/>
                      </m:rPr>
                      <m:t>J</m:t>
                    </m:r>
                  </m:e>
                  <m:sub>
                    <m:r>
                      <w:rPr>
                        <w:rFonts w:hint="default" w:ascii="Cambria Math" w:hAnsi="Cambria Math" w:eastAsia="Cambria Math" w:cs="Cambria Math"/>
                        <w:highlight w:val="none"/>
                      </w:rPr>
                      <m:rPr>
                        <m:sty m:val="bi"/>
                      </m:rPr>
                      <m:t>SC</m:t>
                    </m:r>
                  </m:sub>
                </m:sSub>
              </m:oMath>
            </m:oMathPara>
            <w:r>
              <w:rPr>
                <w:b/>
                <w:bCs/>
                <w:highlight w:val="none"/>
              </w:rPr>
            </w:r>
            <w:r>
              <w:rPr>
                <w:b/>
                <w:bCs/>
                <w:highlight w:val="none"/>
              </w:rPr>
            </w:r>
          </w:p>
        </w:tc>
        <w:tc>
          <w:tcPr>
            <w:tcBorders/>
            <w:tcW w:w="2693"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m:t>
                </m:r>
                <m:sSup>
                  <m:sSupPr>
                    <m:ctrlPr>
                      <w:rPr>
                        <w:rFonts w:ascii="Cambria Math" w:hAnsi="Cambria Math" w:eastAsia="Cambria Math" w:cs="Cambria Math"/>
                        <w:highlight w:val="none"/>
                      </w:rPr>
                    </m:ctrlPr>
                  </m:sSupPr>
                  <m:e>
                    <m:r>
                      <w:rPr>
                        <w:rFonts w:hint="default" w:ascii="Cambria Math" w:hAnsi="Cambria Math" w:eastAsia="Cambria Math" w:cs="Cambria Math"/>
                        <w:highlight w:val="none"/>
                      </w:rPr>
                      <m:rPr>
                        <m:sty m:val="i"/>
                      </m:rPr>
                      <m:t>2.7mAcm</m:t>
                    </m:r>
                  </m:e>
                  <m:sup>
                    <m:r>
                      <w:rPr>
                        <w:rFonts w:ascii="Cambria Math" w:hAnsi="Cambria Math" w:eastAsia="Cambria Math" w:cs="Cambria Math"/>
                      </w:rPr>
                      <m:rPr/>
                      <m:t>-2</m:t>
                    </m:r>
                  </m:sup>
                </m:sSup>
              </m:oMath>
            </m:oMathPara>
            <w:r>
              <w:rPr>
                <w:b w:val="0"/>
                <w:bCs w:val="0"/>
                <w:highlight w:val="none"/>
              </w:rPr>
            </w:r>
            <w:r>
              <w:rPr>
                <w:b w:val="0"/>
                <w:bCs w:val="0"/>
                <w:highlight w:val="none"/>
              </w:rPr>
            </w:r>
          </w:p>
        </w:tc>
        <w:tc>
          <w:tcPr>
            <w:tcBorders/>
            <w:tcW w:w="2835"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m:t>
                </m:r>
                <m:sSup>
                  <m:sSupPr>
                    <m:ctrlPr>
                      <w:rPr>
                        <w:rFonts w:ascii="Cambria Math" w:hAnsi="Cambria Math" w:eastAsia="Cambria Math" w:cs="Cambria Math"/>
                        <w:highlight w:val="none"/>
                      </w:rPr>
                    </m:ctrlPr>
                  </m:sSupPr>
                  <m:e>
                    <m:r>
                      <w:rPr>
                        <w:rFonts w:hint="default" w:ascii="Cambria Math" w:hAnsi="Cambria Math" w:eastAsia="Cambria Math" w:cs="Cambria Math"/>
                        <w:highlight w:val="none"/>
                      </w:rPr>
                      <m:rPr>
                        <m:sty m:val="i"/>
                      </m:rPr>
                      <m:t>12.2mAcm</m:t>
                    </m:r>
                  </m:e>
                  <m:sup>
                    <m:r>
                      <w:rPr>
                        <w:rFonts w:ascii="Cambria Math" w:hAnsi="Cambria Math" w:eastAsia="Cambria Math" w:cs="Cambria Math"/>
                      </w:rPr>
                      <m:rPr/>
                      <m:t>-2</m:t>
                    </m:r>
                  </m:sup>
                </m:sSup>
              </m:oMath>
            </m:oMathPara>
            <w:r>
              <w:rPr>
                <w:b w:val="0"/>
                <w:bCs w:val="0"/>
                <w:highlight w:val="none"/>
              </w:rPr>
            </w:r>
            <w:r>
              <w:rPr>
                <w:b w:val="0"/>
                <w:bCs w:val="0"/>
                <w:highlight w:val="none"/>
              </w:rPr>
            </w:r>
          </w:p>
        </w:tc>
        <w:tc>
          <w:tcPr>
            <w:tcBorders/>
            <w:tcW w:w="2812"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m:t>
                </m:r>
                <m:sSup>
                  <m:sSupPr>
                    <m:ctrlPr>
                      <w:rPr>
                        <w:rFonts w:ascii="Cambria Math" w:hAnsi="Cambria Math" w:eastAsia="Cambria Math" w:cs="Cambria Math"/>
                        <w:highlight w:val="none"/>
                      </w:rPr>
                    </m:ctrlPr>
                  </m:sSupPr>
                  <m:e>
                    <m:r>
                      <w:rPr>
                        <w:rFonts w:hint="default" w:ascii="Cambria Math" w:hAnsi="Cambria Math" w:eastAsia="Cambria Math" w:cs="Cambria Math"/>
                        <w:highlight w:val="none"/>
                      </w:rPr>
                      <m:rPr>
                        <m:sty m:val="i"/>
                      </m:rPr>
                      <m:t>23.3mAcm</m:t>
                    </m:r>
                  </m:e>
                  <m:sup>
                    <m:r>
                      <w:rPr>
                        <w:rFonts w:ascii="Cambria Math" w:hAnsi="Cambria Math" w:eastAsia="Cambria Math" w:cs="Cambria Math"/>
                      </w:rPr>
                      <m:rPr/>
                      <m:t>-2</m:t>
                    </m:r>
                  </m:sup>
                </m:sSup>
              </m:oMath>
            </m:oMathPara>
            <w:r>
              <w:rPr>
                <w:b w:val="0"/>
                <w:bCs w:val="0"/>
                <w:highlight w:val="none"/>
              </w:rPr>
            </w:r>
            <w:r>
              <w:rPr>
                <w:b w:val="0"/>
                <w:bCs w:val="0"/>
                <w:highlight w:val="none"/>
              </w:rPr>
            </w:r>
          </w:p>
        </w:tc>
      </w:tr>
      <w:tr>
        <w:trPr>
          <w:trHeight w:val="686"/>
        </w:trPr>
        <w:tc>
          <w:tcPr>
            <w:tcBorders/>
            <w:tcW w:w="686" w:type="dxa"/>
            <w:vMerge w:val="restart"/>
            <w:textDirection w:val="lrTb"/>
            <w:noWrap w:val="false"/>
          </w:tcPr>
          <w:p>
            <w:pPr>
              <w:pBdr/>
              <w:spacing/>
              <w:ind/>
              <w:jc w:val="center"/>
              <w:rPr>
                <w:b/>
                <w:bCs/>
                <w:highlight w:val="none"/>
              </w:rPr>
            </w:pPr>
            <w:r>
              <w:rPr>
                <w:b w:val="0"/>
                <w:bCs w:val="0"/>
                <w:highlight w:val="none"/>
              </w:rPr>
            </w:r>
            <m:oMathPara>
              <m:oMathParaPr>
                <m:jc m:val="center"/>
              </m:oMathParaP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bi"/>
                      </m:rPr>
                      <m:t>I</m:t>
                    </m:r>
                  </m:e>
                  <m:sub>
                    <m:r>
                      <w:rPr>
                        <w:rFonts w:hint="default" w:ascii="Cambria Math" w:hAnsi="Cambria Math" w:eastAsia="Cambria Math" w:cs="Cambria Math"/>
                        <w:highlight w:val="none"/>
                      </w:rPr>
                      <m:rPr>
                        <m:sty m:val="bi"/>
                      </m:rPr>
                      <m:t>SC</m:t>
                    </m:r>
                  </m:sub>
                </m:sSub>
              </m:oMath>
            </m:oMathPara>
            <w:r>
              <w:rPr>
                <w:b/>
                <w:bCs/>
                <w:highlight w:val="none"/>
              </w:rPr>
            </w:r>
            <w:r>
              <w:rPr>
                <w:b/>
                <w:bCs/>
                <w:highlight w:val="none"/>
              </w:rPr>
            </w:r>
          </w:p>
        </w:tc>
        <w:tc>
          <w:tcPr>
            <w:tcBorders/>
            <w:tcW w:w="2693" w:type="dxa"/>
            <w:vMerge w:val="restart"/>
            <w:textDirection w:val="lrTb"/>
            <w:noWrap w:val="false"/>
          </w:tcPr>
          <w:p>
            <w:pPr>
              <w:pBdr/>
              <w:spacing/>
              <w:ind/>
              <w:jc w:val="center"/>
              <w:rPr>
                <w:b w:val="0"/>
                <w:bCs w:val="0"/>
                <w:highlight w:val="none"/>
              </w:rPr>
            </w:pPr>
            <w:r>
              <w:rPr>
                <w:b w:val="0"/>
                <w:bCs w:val="0"/>
                <w:highlight w:val="none"/>
              </w:rPr>
            </w:r>
            <m:oMathPara>
              <m:oMathParaPr/>
              <m:oMath>
                <m:sSub>
                  <m:sSubPr>
                    <m:ctrlPr>
                      <w:rPr>
                        <w:rFonts w:ascii="Cambria Math" w:hAnsi="Cambria Math" w:eastAsia="Cambria Math" w:cs="Cambria Math"/>
                        <w:highlight w:val="none"/>
                        <w:u w:val="none"/>
                      </w:rPr>
                    </m:ctrlPr>
                  </m:sSubPr>
                  <m:e>
                    <m:r>
                      <w:rPr>
                        <w:rFonts w:hint="default" w:ascii="Cambria Math" w:hAnsi="Cambria Math" w:eastAsia="Cambria Math" w:cs="Cambria Math"/>
                        <w:highlight w:val="none"/>
                        <w:u w:val="none"/>
                      </w:rPr>
                      <m:rPr>
                        <m:sty m:val="i"/>
                      </m:rPr>
                      <m:t>I</m:t>
                    </m:r>
                  </m:e>
                  <m:sub>
                    <m:r>
                      <w:rPr>
                        <w:rFonts w:hint="default" w:ascii="Cambria Math" w:hAnsi="Cambria Math" w:eastAsia="Cambria Math" w:cs="Cambria Math"/>
                        <w:highlight w:val="none"/>
                      </w:rPr>
                      <m:rPr>
                        <m:sty m:val="i"/>
                      </m:rPr>
                      <m:t>SC</m:t>
                    </m:r>
                  </m:sub>
                </m:sSub>
                <m:r>
                  <w:rPr>
                    <w:rFonts w:hint="default" w:ascii="Cambria Math" w:hAnsi="Cambria Math" w:eastAsia="Cambria Math" w:cs="Cambria Math"/>
                    <w:highlight w:val="none"/>
                    <w:u w:val="none"/>
                  </w:rPr>
                  <m:rPr/>
                  <m:t>=</m:t>
                </m:r>
                <m:sSub>
                  <m:sSubPr>
                    <m:ctrlPr>
                      <w:rPr>
                        <w:rFonts w:ascii="Cambria Math" w:hAnsi="Cambria Math" w:eastAsia="Cambria Math" w:cs="Cambria Math"/>
                        <w:highlight w:val="none"/>
                        <w:u w:val="none"/>
                      </w:rPr>
                    </m:ctrlPr>
                  </m:sSubPr>
                  <m:e>
                    <m:r>
                      <w:rPr>
                        <w:rFonts w:hint="default" w:ascii="Cambria Math" w:hAnsi="Cambria Math" w:eastAsia="Cambria Math" w:cs="Cambria Math"/>
                        <w:highlight w:val="none"/>
                        <w:u w:val="none"/>
                      </w:rPr>
                      <m:rPr/>
                      <m:t>J</m:t>
                    </m:r>
                  </m:e>
                  <m:sub>
                    <m:r>
                      <w:rPr>
                        <w:rFonts w:hint="default" w:ascii="Cambria Math" w:hAnsi="Cambria Math" w:eastAsia="Cambria Math" w:cs="Cambria Math"/>
                        <w:highlight w:val="none"/>
                      </w:rPr>
                      <m:rPr/>
                      <m:t>SC</m:t>
                    </m:r>
                  </m:sub>
                </m:sSub>
                <m:r>
                  <w:rPr>
                    <w:rFonts w:hint="default" w:ascii="Cambria Math" w:hAnsi="Cambria Math" w:eastAsia="Cambria Math" w:cs="Cambria Math"/>
                    <w:highlight w:val="none"/>
                    <w:u w:val="none"/>
                  </w:rPr>
                  <m:rPr>
                    <m:sty m:val="i"/>
                  </m:rPr>
                  <m:t>×Area=-2.7</m:t>
                </m:r>
                <m:r>
                  <w:rPr>
                    <w:rFonts w:hint="default" w:ascii="Cambria Math" w:hAnsi="Cambria Math" w:eastAsia="Cambria Math" w:cs="Cambria Math"/>
                    <w:highlight w:val="none"/>
                    <w:u w:val="none"/>
                  </w:rPr>
                  <m:rPr>
                    <m:sty m:val="i"/>
                  </m:rPr>
                  <m:t>×</m:t>
                </m:r>
                <m:r>
                  <w:rPr>
                    <w:rFonts w:hint="default" w:ascii="Cambria Math" w:hAnsi="Cambria Math" w:eastAsia="Cambria Math" w:cs="Cambria Math"/>
                    <w:highlight w:val="none"/>
                    <w:u w:val="none"/>
                  </w:rPr>
                  <m:rPr>
                    <m:sty m:val="i"/>
                  </m:rPr>
                  <m:t>0.045</m:t>
                </m:r>
                <m:r>
                  <w:rPr>
                    <w:rFonts w:hint="default" w:ascii="Cambria Math" w:hAnsi="Cambria Math" w:eastAsia="Cambria Math" w:cs="Cambria Math"/>
                    <w:highlight w:val="none"/>
                    <w:u w:val="none"/>
                  </w:rPr>
                  <m:rPr>
                    <m:sty m:val="i"/>
                  </m:rPr>
                  <m:t> =</m:t>
                </m:r>
                <m:r>
                  <w:rPr>
                    <w:rFonts w:hint="default" w:ascii="Cambria Math" w:hAnsi="Cambria Math" w:eastAsia="Cambria Math" w:cs="Cambria Math"/>
                    <w:highlight w:val="none"/>
                    <w:u w:val="none"/>
                  </w:rPr>
                  <m:rPr>
                    <m:sty m:val="bi"/>
                  </m:rPr>
                  <m:t>-0.122mA</m:t>
                </m:r>
              </m:oMath>
            </m:oMathPara>
            <w:r>
              <w:rPr>
                <w:b w:val="0"/>
                <w:bCs w:val="0"/>
                <w:highlight w:val="none"/>
              </w:rPr>
            </w:r>
            <w:r>
              <w:rPr>
                <w:b w:val="0"/>
                <w:bCs w:val="0"/>
                <w:highlight w:val="none"/>
              </w:rPr>
            </w:r>
          </w:p>
        </w:tc>
        <w:tc>
          <w:tcPr>
            <w:tcBorders/>
            <w:tcW w:w="2835" w:type="dxa"/>
            <w:vMerge w:val="restart"/>
            <w:textDirection w:val="lrTb"/>
            <w:noWrap w:val="false"/>
          </w:tcPr>
          <w:p>
            <w:pPr>
              <w:pBdr/>
              <w:spacing/>
              <w:ind/>
              <w:jc w:val="center"/>
              <w:rPr>
                <w:b/>
                <w:bCs/>
                <w:highlight w:val="none"/>
              </w:rPr>
            </w:pPr>
            <w:r>
              <w:rPr>
                <w:b w:val="0"/>
                <w:bCs w:val="0"/>
                <w:highlight w:val="none"/>
              </w:rPr>
            </w:r>
            <m:oMathPara>
              <m:oMathParaP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I</m:t>
                    </m:r>
                  </m:e>
                  <m:sub>
                    <m:r>
                      <w:rPr>
                        <w:rFonts w:hint="default" w:ascii="Cambria Math" w:hAnsi="Cambria Math" w:eastAsia="Cambria Math" w:cs="Cambria Math"/>
                        <w:highlight w:val="none"/>
                      </w:rPr>
                      <m:rPr>
                        <m:sty m:val="i"/>
                      </m:rPr>
                      <m:t>SC</m:t>
                    </m:r>
                  </m:sub>
                </m:sSub>
                <m:r>
                  <w:rPr>
                    <w:rFonts w:hint="default" w:ascii="Cambria Math" w:hAnsi="Cambria Math" w:eastAsia="Cambria Math" w:cs="Cambria Math"/>
                    <w:highlight w:val="none"/>
                  </w:rPr>
                  <m:rPr/>
                  <m:t>=</m:t>
                </m:r>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J</m:t>
                    </m:r>
                  </m:e>
                  <m:sub>
                    <m:r>
                      <w:rPr>
                        <w:rFonts w:hint="default" w:ascii="Cambria Math" w:hAnsi="Cambria Math" w:eastAsia="Cambria Math" w:cs="Cambria Math"/>
                        <w:highlight w:val="none"/>
                      </w:rPr>
                      <m:rPr/>
                      <m:t>SC</m:t>
                    </m:r>
                  </m:sub>
                </m:sSub>
                <m:r>
                  <w:rPr>
                    <w:rFonts w:hint="default" w:ascii="Cambria Math" w:hAnsi="Cambria Math" w:eastAsia="Cambria Math" w:cs="Cambria Math"/>
                    <w:highlight w:val="none"/>
                  </w:rPr>
                  <m:rPr>
                    <m:sty m:val="i"/>
                  </m:rPr>
                  <m:t>×Area=-</m:t>
                </m:r>
                <m:r>
                  <w:rPr>
                    <w:rFonts w:hint="default" w:ascii="Cambria Math" w:hAnsi="Cambria Math" w:eastAsia="Cambria Math" w:cs="Cambria Math"/>
                    <w:highlight w:val="none"/>
                  </w:rPr>
                  <m:rPr>
                    <m:sty m:val="i"/>
                  </m:rPr>
                  <m:t>12.2×0.045 =</m:t>
                </m:r>
                <m:r>
                  <w:rPr>
                    <w:rFonts w:hint="default" w:ascii="Cambria Math" w:hAnsi="Cambria Math" w:eastAsia="Cambria Math" w:cs="Cambria Math"/>
                    <w:highlight w:val="none"/>
                  </w:rPr>
                  <m:rPr>
                    <m:sty m:val="bi"/>
                  </m:rPr>
                  <m:t>-0.549mA</m:t>
                </m:r>
              </m:oMath>
            </m:oMathPara>
            <w:r>
              <w:rPr>
                <w:b/>
                <w:bCs/>
                <w:highlight w:val="none"/>
              </w:rPr>
            </w:r>
            <w:r>
              <w:rPr>
                <w:b/>
                <w:bCs/>
                <w:highlight w:val="none"/>
              </w:rPr>
            </w:r>
          </w:p>
        </w:tc>
        <w:tc>
          <w:tcPr>
            <w:tcBorders/>
            <w:tcW w:w="2812" w:type="dxa"/>
            <w:vMerge w:val="restart"/>
            <w:textDirection w:val="lrTb"/>
            <w:noWrap w:val="false"/>
          </w:tcPr>
          <w:p>
            <w:pPr>
              <w:pBdr/>
              <w:spacing/>
              <w:ind/>
              <w:jc w:val="center"/>
              <w:rPr>
                <w:b/>
                <w:bCs/>
                <w:highlight w:val="none"/>
              </w:rPr>
            </w:pPr>
            <w:r>
              <w:rPr>
                <w:b w:val="0"/>
                <w:bCs w:val="0"/>
                <w:highlight w:val="none"/>
              </w:rPr>
            </w:r>
            <m:oMathPara>
              <m:oMathParaP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I</m:t>
                    </m:r>
                  </m:e>
                  <m:sub>
                    <m:r>
                      <w:rPr>
                        <w:rFonts w:hint="default" w:ascii="Cambria Math" w:hAnsi="Cambria Math" w:eastAsia="Cambria Math" w:cs="Cambria Math"/>
                        <w:highlight w:val="none"/>
                      </w:rPr>
                      <m:rPr>
                        <m:sty m:val="i"/>
                      </m:rPr>
                      <m:t>SC</m:t>
                    </m:r>
                  </m:sub>
                </m:sSub>
                <m:r>
                  <w:rPr>
                    <w:rFonts w:hint="default" w:ascii="Cambria Math" w:hAnsi="Cambria Math" w:eastAsia="Cambria Math" w:cs="Cambria Math"/>
                    <w:highlight w:val="none"/>
                  </w:rPr>
                  <m:rPr/>
                  <m:t>=</m:t>
                </m:r>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J</m:t>
                    </m:r>
                  </m:e>
                  <m:sub>
                    <m:r>
                      <w:rPr>
                        <w:rFonts w:hint="default" w:ascii="Cambria Math" w:hAnsi="Cambria Math" w:eastAsia="Cambria Math" w:cs="Cambria Math"/>
                        <w:highlight w:val="none"/>
                      </w:rPr>
                      <m:rPr/>
                      <m:t>SC</m:t>
                    </m:r>
                  </m:sub>
                </m:sSub>
                <m:r>
                  <w:rPr>
                    <w:rFonts w:hint="default" w:ascii="Cambria Math" w:hAnsi="Cambria Math" w:eastAsia="Cambria Math" w:cs="Cambria Math"/>
                    <w:highlight w:val="none"/>
                  </w:rPr>
                  <m:rPr>
                    <m:sty m:val="i"/>
                  </m:rPr>
                  <m:t>×Area=-23.3</m:t>
                </m:r>
                <m:r>
                  <w:rPr>
                    <w:rFonts w:hint="default" w:ascii="Cambria Math" w:hAnsi="Cambria Math" w:eastAsia="Cambria Math" w:cs="Cambria Math"/>
                    <w:highlight w:val="none"/>
                  </w:rPr>
                  <m:rPr>
                    <m:sty m:val="i"/>
                  </m:rPr>
                  <m:t>×0.045 =</m:t>
                </m:r>
                <m:r>
                  <w:rPr>
                    <w:rFonts w:hint="default" w:ascii="Cambria Math" w:hAnsi="Cambria Math" w:eastAsia="Cambria Math" w:cs="Cambria Math"/>
                    <w:highlight w:val="none"/>
                  </w:rPr>
                  <m:rPr>
                    <m:sty m:val="bi"/>
                  </m:rPr>
                  <m:t>-1.049mA</m:t>
                </m:r>
              </m:oMath>
            </m:oMathPara>
            <w:r>
              <w:rPr>
                <w:b/>
                <w:bCs/>
                <w:highlight w:val="none"/>
              </w:rPr>
            </w:r>
            <w:r>
              <w:rPr>
                <w:b/>
                <w:bCs/>
                <w:highlight w:val="none"/>
              </w:rPr>
            </w:r>
          </w:p>
        </w:tc>
      </w:tr>
      <w:tr>
        <w:trPr/>
        <w:tc>
          <w:tcPr>
            <w:tcBorders/>
            <w:tcW w:w="686" w:type="dxa"/>
            <w:vMerge w:val="restart"/>
            <w:textDirection w:val="lrTb"/>
            <w:noWrap w:val="false"/>
          </w:tcPr>
          <w:p>
            <w:pPr>
              <w:pBdr/>
              <w:spacing/>
              <w:ind/>
              <w:jc w:val="center"/>
              <w:rPr>
                <w:b w:val="0"/>
                <w:bCs w:val="0"/>
                <w:highlight w:val="none"/>
              </w:rPr>
            </w:pPr>
            <w:r>
              <w:rPr>
                <w:b w:val="0"/>
                <w:bCs w:val="0"/>
                <w:highlight w:val="none"/>
              </w:rPr>
            </w:r>
            <w:r>
              <w:rPr>
                <w:b w:val="0"/>
                <w:bCs w:val="0"/>
                <w:highlight w:val="none"/>
              </w:rPr>
            </w:r>
            <m:oMathPara>
              <m:oMathParaP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bi"/>
                      </m:rPr>
                      <m:t>V</m:t>
                    </m:r>
                  </m:e>
                  <m:sub>
                    <m:r>
                      <w:rPr>
                        <w:rFonts w:hint="default" w:ascii="Cambria Math" w:hAnsi="Cambria Math" w:eastAsia="Cambria Math" w:cs="Cambria Math"/>
                        <w:highlight w:val="none"/>
                      </w:rPr>
                      <m:rPr>
                        <m:sty m:val="bi"/>
                      </m:rPr>
                      <m:t>MP</m:t>
                    </m:r>
                  </m:sub>
                </m:sSub>
              </m:oMath>
            </m:oMathPara>
            <w:r>
              <w:rPr>
                <w:b w:val="0"/>
                <w:bCs w:val="0"/>
                <w:highlight w:val="none"/>
              </w:rPr>
            </w:r>
            <w:r>
              <w:rPr>
                <w:b w:val="0"/>
                <w:bCs w:val="0"/>
                <w:highlight w:val="none"/>
              </w:rPr>
            </w:r>
          </w:p>
        </w:tc>
        <w:tc>
          <w:tcPr>
            <w:tcBorders/>
            <w:tcW w:w="2693"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0.85V</m:t>
                </m:r>
              </m:oMath>
            </m:oMathPara>
            <w:r>
              <w:rPr>
                <w:b w:val="0"/>
                <w:bCs w:val="0"/>
                <w:highlight w:val="none"/>
              </w:rPr>
            </w:r>
            <w:r>
              <w:rPr>
                <w:b w:val="0"/>
                <w:bCs w:val="0"/>
                <w:highlight w:val="none"/>
              </w:rPr>
            </w:r>
          </w:p>
        </w:tc>
        <w:tc>
          <w:tcPr>
            <w:tcBorders/>
            <w:tcW w:w="2835"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0.89V</m:t>
                </m:r>
              </m:oMath>
            </m:oMathPara>
            <w:r>
              <w:rPr>
                <w:b w:val="0"/>
                <w:bCs w:val="0"/>
                <w:highlight w:val="none"/>
              </w:rPr>
            </w:r>
            <w:r>
              <w:rPr>
                <w:b w:val="0"/>
                <w:bCs w:val="0"/>
                <w:highlight w:val="none"/>
              </w:rPr>
            </w:r>
          </w:p>
        </w:tc>
        <w:tc>
          <w:tcPr>
            <w:tcBorders/>
            <w:tcW w:w="2812"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0.89V</m:t>
                </m:r>
              </m:oMath>
            </m:oMathPara>
            <w:r>
              <w:rPr>
                <w:b w:val="0"/>
                <w:bCs w:val="0"/>
                <w:highlight w:val="none"/>
              </w:rPr>
            </w:r>
            <w:r>
              <w:rPr>
                <w:b w:val="0"/>
                <w:bCs w:val="0"/>
                <w:highlight w:val="none"/>
              </w:rPr>
            </w:r>
          </w:p>
        </w:tc>
      </w:tr>
      <w:tr>
        <w:trPr/>
        <w:tc>
          <w:tcPr>
            <w:tcBorders/>
            <w:tcW w:w="686" w:type="dxa"/>
            <w:vMerge w:val="restart"/>
            <w:textDirection w:val="lrTb"/>
            <w:noWrap w:val="false"/>
          </w:tcPr>
          <w:p>
            <w:pPr>
              <w:pBdr/>
              <w:spacing/>
              <w:ind/>
              <w:jc w:val="center"/>
              <w:rPr>
                <w:b w:val="0"/>
                <w:bCs w:val="0"/>
                <w:highlight w:val="none"/>
              </w:rPr>
            </w:pPr>
            <w:r>
              <w:rPr>
                <w:b w:val="0"/>
                <w:bCs w:val="0"/>
                <w:highlight w:val="none"/>
              </w:rPr>
            </w:r>
            <m:oMathPara>
              <m:oMathParaP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bi"/>
                      </m:rPr>
                      <m:t>I</m:t>
                    </m:r>
                  </m:e>
                  <m:sub>
                    <m:r>
                      <w:rPr>
                        <w:rFonts w:hint="default" w:ascii="Cambria Math" w:hAnsi="Cambria Math" w:eastAsia="Cambria Math" w:cs="Cambria Math"/>
                        <w:highlight w:val="none"/>
                      </w:rPr>
                      <m:rPr>
                        <m:sty m:val="bi"/>
                      </m:rPr>
                      <m:t>MP</m:t>
                    </m:r>
                  </m:sub>
                </m:sSub>
              </m:oMath>
            </m:oMathPara>
            <w:r>
              <w:rPr>
                <w:b w:val="0"/>
                <w:bCs w:val="0"/>
                <w:highlight w:val="none"/>
              </w:rPr>
            </w:r>
            <w:r>
              <w:rPr>
                <w:b w:val="0"/>
                <w:bCs w:val="0"/>
                <w:highlight w:val="none"/>
              </w:rPr>
            </w:r>
          </w:p>
        </w:tc>
        <w:tc>
          <w:tcPr>
            <w:tcBorders/>
            <w:tcW w:w="2693"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-0.11mA</m:t>
                </m:r>
              </m:oMath>
            </m:oMathPara>
            <w:r>
              <w:rPr>
                <w:b w:val="0"/>
                <w:bCs w:val="0"/>
                <w:highlight w:val="none"/>
              </w:rPr>
            </w:r>
            <w:r>
              <w:rPr>
                <w:b w:val="0"/>
                <w:bCs w:val="0"/>
                <w:highlight w:val="none"/>
              </w:rPr>
            </w:r>
          </w:p>
        </w:tc>
        <w:tc>
          <w:tcPr>
            <w:tcBorders/>
            <w:tcW w:w="2835"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-0.51mA</m:t>
                </m:r>
              </m:oMath>
            </m:oMathPara>
            <w:r>
              <w:rPr>
                <w:b w:val="0"/>
                <w:bCs w:val="0"/>
                <w:highlight w:val="none"/>
              </w:rPr>
            </w:r>
            <w:r>
              <w:rPr>
                <w:b w:val="0"/>
                <w:bCs w:val="0"/>
                <w:highlight w:val="none"/>
              </w:rPr>
            </w:r>
          </w:p>
        </w:tc>
        <w:tc>
          <w:tcPr>
            <w:tcBorders/>
            <w:tcW w:w="2812"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-0.97mA</m:t>
                </m:r>
              </m:oMath>
            </m:oMathPara>
            <w:r>
              <w:rPr>
                <w:b w:val="0"/>
                <w:bCs w:val="0"/>
                <w:highlight w:val="none"/>
              </w:rPr>
            </w:r>
            <w:r>
              <w:rPr>
                <w:b w:val="0"/>
                <w:bCs w:val="0"/>
                <w:highlight w:val="none"/>
              </w:rPr>
            </w:r>
          </w:p>
        </w:tc>
      </w:tr>
      <w:tr>
        <w:trPr/>
        <w:tc>
          <w:tcPr>
            <w:tcBorders/>
            <w:tcW w:w="686" w:type="dxa"/>
            <w:vMerge w:val="restart"/>
            <w:textDirection w:val="lrTb"/>
            <w:noWrap w:val="false"/>
          </w:tcPr>
          <w:p>
            <w:pPr>
              <w:pBdr/>
              <w:spacing/>
              <w:ind/>
              <w:jc w:val="center"/>
              <w:rPr>
                <w:b w:val="0"/>
                <w:bCs w:val="0"/>
                <w:highlight w:val="none"/>
              </w:rPr>
            </w:pPr>
            <w:r>
              <w:rPr>
                <w:b w:val="0"/>
                <w:bCs w:val="0"/>
                <w:highlight w:val="none"/>
              </w:rPr>
            </w:r>
            <w:r>
              <w:rPr>
                <w:b w:val="0"/>
                <w:bCs w:val="0"/>
                <w:highlight w:val="none"/>
              </w:rPr>
            </w:r>
            <m:oMathPara>
              <m:oMathParaPr/>
              <m:oMath>
                <m:r>
                  <w:rPr>
                    <w:rFonts w:hint="default" w:ascii="Cambria Math" w:hAnsi="Cambria Math" w:eastAsia="Cambria Math" w:cs="Cambria Math"/>
                    <w:highlight w:val="none"/>
                  </w:rPr>
                  <m:rPr>
                    <m:sty m:val="bi"/>
                  </m:rPr>
                  <m:t>FF</m:t>
                </m:r>
              </m:oMath>
            </m:oMathPara>
            <w:r>
              <w:rPr>
                <w:b w:val="0"/>
                <w:bCs w:val="0"/>
                <w:highlight w:val="none"/>
              </w:rPr>
            </w:r>
            <w:r>
              <w:rPr>
                <w:b w:val="0"/>
                <w:bCs w:val="0"/>
                <w:highlight w:val="none"/>
              </w:rPr>
            </w:r>
          </w:p>
        </w:tc>
        <w:tc>
          <w:tcPr>
            <w:tcBorders/>
            <w:tcW w:w="2693"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FF =</m:t>
                </m:r>
                <m:f>
                  <m:fPr>
                    <m:ctrlPr>
                      <w:rPr>
                        <w:rFonts w:ascii="Cambria Math" w:hAnsi="Cambria Math" w:eastAsia="Cambria Math" w:cs="Cambria Math"/>
                        <w:highlight w:val="none"/>
                      </w:rPr>
                    </m:ctrlPr>
                  </m:fPr>
                  <m:num>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V</m:t>
                        </m:r>
                      </m:e>
                      <m:sub>
                        <m:r>
                          <w:rPr>
                            <w:rFonts w:hint="default" w:ascii="Cambria Math" w:hAnsi="Cambria Math" w:eastAsia="Cambria Math" w:cs="Cambria Math"/>
                            <w:highlight w:val="none"/>
                          </w:rPr>
                          <m:rPr>
                            <m:sty m:val="i"/>
                          </m:rPr>
                          <m:t>MP</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I</m:t>
                        </m:r>
                      </m:e>
                      <m:sub>
                        <m:r>
                          <w:rPr>
                            <w:rFonts w:hint="default" w:ascii="Cambria Math" w:hAnsi="Cambria Math" w:eastAsia="Cambria Math" w:cs="Cambria Math"/>
                            <w:highlight w:val="none"/>
                          </w:rPr>
                          <m:rPr>
                            <m:sty m:val="i"/>
                          </m:rPr>
                          <m:t>MP</m:t>
                        </m:r>
                      </m:sub>
                    </m:sSub>
                  </m:num>
                  <m:den>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V</m:t>
                        </m:r>
                      </m:e>
                      <m:sub>
                        <m:r>
                          <w:rPr>
                            <w:rFonts w:hint="default" w:ascii="Cambria Math" w:hAnsi="Cambria Math" w:eastAsia="Cambria Math" w:cs="Cambria Math"/>
                            <w:highlight w:val="none"/>
                          </w:rPr>
                          <m:rPr/>
                          <m:t>OC</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I</m:t>
                        </m:r>
                      </m:e>
                      <m:sub>
                        <m:r>
                          <w:rPr>
                            <w:rFonts w:hint="default" w:ascii="Cambria Math" w:hAnsi="Cambria Math" w:eastAsia="Cambria Math" w:cs="Cambria Math"/>
                            <w:highlight w:val="none"/>
                          </w:rPr>
                          <m:rPr/>
                          <m:t>SC</m:t>
                        </m:r>
                      </m:sub>
                    </m:sSub>
                  </m:den>
                </m:f>
                <m:r>
                  <w:rPr>
                    <w:rFonts w:hint="default" w:ascii="Cambria Math" w:hAnsi="Cambria Math" w:eastAsia="Cambria Math" w:cs="Cambria Math"/>
                    <w:highlight w:val="none"/>
                  </w:rPr>
                  <m:rPr/>
                  <m:t>=</m:t>
                </m:r>
                <m:f>
                  <m:fPr>
                    <m:ctrlPr>
                      <w:rPr>
                        <w:rFonts w:ascii="Cambria Math" w:hAnsi="Cambria Math" w:eastAsia="Cambria Math" w:cs="Cambria Math"/>
                        <w:highlight w:val="none"/>
                      </w:rPr>
                    </m:ctrlPr>
                  </m:fPr>
                  <m:num>
                    <m:r>
                      <w:rPr>
                        <w:rFonts w:hint="default" w:ascii="Cambria Math" w:hAnsi="Cambria Math" w:eastAsia="Cambria Math" w:cs="Cambria Math"/>
                        <w:highlight w:val="none"/>
                      </w:rPr>
                      <m:rPr/>
                      <m:t>0.85(0.11)</m:t>
                    </m:r>
                  </m:num>
                  <m:den>
                    <m:r>
                      <w:rPr>
                        <w:rFonts w:hint="default" w:ascii="Cambria Math" w:hAnsi="Cambria Math" w:eastAsia="Cambria Math" w:cs="Cambria Math"/>
                        <w:highlight w:val="none"/>
                      </w:rPr>
                      <m:rPr/>
                      <m:t>0.98(0.122)</m:t>
                    </m:r>
                  </m:den>
                </m:f>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sty m:val="bi"/>
                  </m:rPr>
                  <m:t>78.2%</m:t>
                </m:r>
              </m:oMath>
            </m:oMathPara>
            <w:r>
              <w:rPr>
                <w:b w:val="0"/>
                <w:bCs w:val="0"/>
                <w:highlight w:val="none"/>
              </w:rPr>
            </w:r>
            <w:r>
              <w:rPr>
                <w:b w:val="0"/>
                <w:bCs w:val="0"/>
                <w:highlight w:val="none"/>
              </w:rPr>
            </w:r>
          </w:p>
        </w:tc>
        <w:tc>
          <w:tcPr>
            <w:tcBorders/>
            <w:tcW w:w="2835"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FF =</m:t>
                </m:r>
                <m:f>
                  <m:fPr>
                    <m:ctrlPr>
                      <w:rPr>
                        <w:rFonts w:ascii="Cambria Math" w:hAnsi="Cambria Math" w:eastAsia="Cambria Math" w:cs="Cambria Math"/>
                        <w:highlight w:val="none"/>
                      </w:rPr>
                    </m:ctrlPr>
                  </m:fPr>
                  <m:num>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V</m:t>
                        </m:r>
                      </m:e>
                      <m:sub>
                        <m:r>
                          <w:rPr>
                            <w:rFonts w:hint="default" w:ascii="Cambria Math" w:hAnsi="Cambria Math" w:eastAsia="Cambria Math" w:cs="Cambria Math"/>
                            <w:highlight w:val="none"/>
                          </w:rPr>
                          <m:rPr>
                            <m:sty m:val="i"/>
                          </m:rPr>
                          <m:t>MP</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I</m:t>
                        </m:r>
                      </m:e>
                      <m:sub>
                        <m:r>
                          <w:rPr>
                            <w:rFonts w:hint="default" w:ascii="Cambria Math" w:hAnsi="Cambria Math" w:eastAsia="Cambria Math" w:cs="Cambria Math"/>
                            <w:highlight w:val="none"/>
                          </w:rPr>
                          <m:rPr>
                            <m:sty m:val="i"/>
                          </m:rPr>
                          <m:t>MP</m:t>
                        </m:r>
                      </m:sub>
                    </m:sSub>
                  </m:num>
                  <m:den>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V</m:t>
                        </m:r>
                      </m:e>
                      <m:sub>
                        <m:r>
                          <w:rPr>
                            <w:rFonts w:hint="default" w:ascii="Cambria Math" w:hAnsi="Cambria Math" w:eastAsia="Cambria Math" w:cs="Cambria Math"/>
                            <w:highlight w:val="none"/>
                          </w:rPr>
                          <m:rPr/>
                          <m:t>OC</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I</m:t>
                        </m:r>
                      </m:e>
                      <m:sub>
                        <m:r>
                          <w:rPr>
                            <w:rFonts w:hint="default" w:ascii="Cambria Math" w:hAnsi="Cambria Math" w:eastAsia="Cambria Math" w:cs="Cambria Math"/>
                            <w:highlight w:val="none"/>
                          </w:rPr>
                          <m:rPr/>
                          <m:t>SC</m:t>
                        </m:r>
                      </m:sub>
                    </m:sSub>
                  </m:den>
                </m:f>
                <m:r>
                  <w:rPr>
                    <w:rFonts w:hint="default" w:ascii="Cambria Math" w:hAnsi="Cambria Math" w:eastAsia="Cambria Math" w:cs="Cambria Math"/>
                    <w:highlight w:val="none"/>
                  </w:rPr>
                  <m:rPr/>
                  <m:t>=</m:t>
                </m:r>
                <m:f>
                  <m:fPr>
                    <m:ctrlPr>
                      <w:rPr>
                        <w:rFonts w:ascii="Cambria Math" w:hAnsi="Cambria Math" w:eastAsia="Cambria Math" w:cs="Cambria Math"/>
                        <w:highlight w:val="none"/>
                      </w:rPr>
                    </m:ctrlPr>
                  </m:fPr>
                  <m:num>
                    <m:r>
                      <w:rPr>
                        <w:rFonts w:hint="default" w:ascii="Cambria Math" w:hAnsi="Cambria Math" w:eastAsia="Cambria Math" w:cs="Cambria Math"/>
                        <w:highlight w:val="none"/>
                      </w:rPr>
                      <m:rPr/>
                      <m:t>0.89(0.51)</m:t>
                    </m:r>
                  </m:num>
                  <m:den>
                    <m:r>
                      <w:rPr>
                        <w:rFonts w:hint="default" w:ascii="Cambria Math" w:hAnsi="Cambria Math" w:eastAsia="Cambria Math" w:cs="Cambria Math"/>
                        <w:highlight w:val="none"/>
                      </w:rPr>
                      <m:rPr/>
                      <m:t>1.04(0.549)</m:t>
                    </m:r>
                  </m:den>
                </m:f>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sty m:val="bi"/>
                  </m:rPr>
                  <m:t>79.5%</m:t>
                </m:r>
              </m:oMath>
            </m:oMathPara>
            <w:r>
              <w:rPr>
                <w:b w:val="0"/>
                <w:bCs w:val="0"/>
                <w:highlight w:val="none"/>
              </w:rPr>
            </w:r>
            <w:r>
              <w:rPr>
                <w:b w:val="0"/>
                <w:bCs w:val="0"/>
                <w:highlight w:val="none"/>
              </w:rPr>
            </w:r>
          </w:p>
        </w:tc>
        <w:tc>
          <w:tcPr>
            <w:tcBorders/>
            <w:tcW w:w="2812" w:type="dxa"/>
            <w:vMerge w:val="restart"/>
            <w:textDirection w:val="lrTb"/>
            <w:noWrap w:val="false"/>
          </w:tcPr>
          <w:p>
            <w:pPr>
              <w:pBdr/>
              <w:spacing/>
              <w:ind/>
              <w:jc w:val="center"/>
              <w:rPr>
                <w:b w:val="0"/>
                <w:bCs w:val="0"/>
                <w:highlight w:val="none"/>
              </w:rPr>
            </w:pPr>
            <w:r>
              <w:rPr>
                <w:b w:val="0"/>
                <w:bCs w:val="0"/>
                <w:highlight w:val="none"/>
              </w:rPr>
            </w:r>
            <m:oMathPara>
              <m:oMathParaPr/>
              <m:oMath>
                <m:r>
                  <w:rPr>
                    <w:rFonts w:hint="default" w:ascii="Cambria Math" w:hAnsi="Cambria Math" w:eastAsia="Cambria Math" w:cs="Cambria Math"/>
                    <w:highlight w:val="none"/>
                  </w:rPr>
                  <m:rPr>
                    <m:sty m:val="i"/>
                  </m:rPr>
                  <m:t>FF =</m:t>
                </m:r>
                <m:f>
                  <m:fPr>
                    <m:ctrlPr>
                      <w:rPr>
                        <w:rFonts w:ascii="Cambria Math" w:hAnsi="Cambria Math" w:eastAsia="Cambria Math" w:cs="Cambria Math"/>
                        <w:highlight w:val="none"/>
                      </w:rPr>
                    </m:ctrlPr>
                  </m:fPr>
                  <m:num>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V</m:t>
                        </m:r>
                      </m:e>
                      <m:sub>
                        <m:r>
                          <w:rPr>
                            <w:rFonts w:hint="default" w:ascii="Cambria Math" w:hAnsi="Cambria Math" w:eastAsia="Cambria Math" w:cs="Cambria Math"/>
                            <w:highlight w:val="none"/>
                          </w:rPr>
                          <m:rPr>
                            <m:sty m:val="i"/>
                          </m:rPr>
                          <m:t>MP</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I</m:t>
                        </m:r>
                      </m:e>
                      <m:sub>
                        <m:r>
                          <w:rPr>
                            <w:rFonts w:hint="default" w:ascii="Cambria Math" w:hAnsi="Cambria Math" w:eastAsia="Cambria Math" w:cs="Cambria Math"/>
                            <w:highlight w:val="none"/>
                          </w:rPr>
                          <m:rPr>
                            <m:sty m:val="i"/>
                          </m:rPr>
                          <m:t>MP</m:t>
                        </m:r>
                      </m:sub>
                    </m:sSub>
                  </m:num>
                  <m:den>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V</m:t>
                        </m:r>
                      </m:e>
                      <m:sub>
                        <m:r>
                          <w:rPr>
                            <w:rFonts w:hint="default" w:ascii="Cambria Math" w:hAnsi="Cambria Math" w:eastAsia="Cambria Math" w:cs="Cambria Math"/>
                            <w:highlight w:val="none"/>
                          </w:rPr>
                          <m:rPr/>
                          <m:t>OC</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I</m:t>
                        </m:r>
                      </m:e>
                      <m:sub>
                        <m:r>
                          <w:rPr>
                            <w:rFonts w:hint="default" w:ascii="Cambria Math" w:hAnsi="Cambria Math" w:eastAsia="Cambria Math" w:cs="Cambria Math"/>
                            <w:highlight w:val="none"/>
                          </w:rPr>
                          <m:rPr/>
                          <m:t>SC</m:t>
                        </m:r>
                      </m:sub>
                    </m:sSub>
                  </m:den>
                </m:f>
                <m:r>
                  <w:rPr>
                    <w:rFonts w:hint="default" w:ascii="Cambria Math" w:hAnsi="Cambria Math" w:eastAsia="Cambria Math" w:cs="Cambria Math"/>
                    <w:highlight w:val="none"/>
                  </w:rPr>
                  <m:rPr/>
                  <m:t>=</m:t>
                </m:r>
                <m:f>
                  <m:fPr>
                    <m:ctrlPr>
                      <w:rPr>
                        <w:rFonts w:ascii="Cambria Math" w:hAnsi="Cambria Math" w:eastAsia="Cambria Math" w:cs="Cambria Math"/>
                        <w:highlight w:val="none"/>
                      </w:rPr>
                    </m:ctrlPr>
                  </m:fPr>
                  <m:num>
                    <m:r>
                      <w:rPr>
                        <w:rFonts w:hint="default" w:ascii="Cambria Math" w:hAnsi="Cambria Math" w:eastAsia="Cambria Math" w:cs="Cambria Math"/>
                        <w:highlight w:val="none"/>
                      </w:rPr>
                      <m:rPr/>
                      <m:t>0.89(0.97)</m:t>
                    </m:r>
                  </m:num>
                  <m:den>
                    <m:r>
                      <w:rPr>
                        <w:rFonts w:hint="default" w:ascii="Cambria Math" w:hAnsi="Cambria Math" w:eastAsia="Cambria Math" w:cs="Cambria Math"/>
                        <w:highlight w:val="none"/>
                      </w:rPr>
                      <m:rPr/>
                      <m:t>1.06(1.049)</m:t>
                    </m:r>
                  </m:den>
                </m:f>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sty m:val="bi"/>
                  </m:rPr>
                  <m:t>77.6%</m:t>
                </m:r>
              </m:oMath>
            </m:oMathPara>
            <w:r>
              <w:rPr>
                <w:b w:val="0"/>
                <w:bCs w:val="0"/>
                <w:highlight w:val="none"/>
              </w:rPr>
            </w:r>
            <w:r>
              <w:rPr>
                <w:b w:val="0"/>
                <w:bCs w:val="0"/>
                <w:highlight w:val="none"/>
              </w:rPr>
            </w:r>
          </w:p>
          <w:p>
            <w:pPr>
              <w:pBdr/>
              <w:spacing/>
              <w:ind/>
              <w:jc w:val="left"/>
              <w:rPr>
                <w:b w:val="0"/>
                <w:bCs w:val="0"/>
                <w:highlight w:val="none"/>
              </w:rPr>
            </w:pPr>
            <w:r>
              <w:rPr>
                <w:b w:val="0"/>
                <w:bCs w:val="0"/>
                <w:highlight w:val="none"/>
              </w:rPr>
            </w:r>
            <w:r>
              <w:rPr>
                <w:b w:val="0"/>
                <w:bCs w:val="0"/>
                <w:highlight w:val="none"/>
              </w:rPr>
            </w:r>
            <w:r>
              <w:rPr>
                <w:b w:val="0"/>
                <w:bCs w:val="0"/>
                <w:highlight w:val="none"/>
              </w:rPr>
            </w:r>
          </w:p>
        </w:tc>
      </w:tr>
      <w:tr>
        <w:trPr/>
        <w:tc>
          <w:tcPr>
            <w:tcBorders/>
            <w:tcW w:w="686" w:type="dxa"/>
            <w:vMerge w:val="restart"/>
            <w:textDirection w:val="lrTb"/>
            <w:noWrap w:val="false"/>
          </w:tcPr>
          <w:p>
            <w:pPr>
              <w:pBdr/>
              <w:spacing/>
              <w:ind/>
              <w:jc w:val="center"/>
              <w:rPr>
                <w:b/>
                <w:bCs/>
                <w:highlight w:val="none"/>
              </w:rPr>
            </w:pPr>
            <w:r>
              <w:rPr>
                <w:b w:val="0"/>
                <w:bCs w:val="0"/>
                <w:highlight w:val="none"/>
              </w:rPr>
            </w:r>
            <w:r>
              <w:rPr>
                <w:b w:val="0"/>
                <w:bCs w:val="0"/>
                <w:highlight w:val="none"/>
              </w:rPr>
            </w:r>
            <m:oMathPara>
              <m:oMathParaPr/>
              <m:oMath>
                <m:r>
                  <w:rPr>
                    <w:rFonts w:hint="default" w:ascii="Cambria Math" w:hAnsi="Cambria Math" w:eastAsia="Cambria Math" w:cs="Cambria Math"/>
                    <w:highlight w:val="none"/>
                  </w:rPr>
                  <m:rPr>
                    <m:sty m:val="bi"/>
                  </m:rPr>
                  <m:t>η</m:t>
                </m:r>
              </m:oMath>
            </m:oMathPara>
            <w:r>
              <w:rPr>
                <w:b/>
                <w:bCs/>
                <w:highlight w:val="none"/>
              </w:rPr>
            </w:r>
            <w:r>
              <w:rPr>
                <w:b/>
                <w:bCs/>
                <w:highlight w:val="none"/>
              </w:rPr>
            </w:r>
          </w:p>
        </w:tc>
        <w:tc>
          <w:tcPr>
            <w:tcBorders/>
            <w:tcW w:w="2693" w:type="dxa"/>
            <w:vMerge w:val="restart"/>
            <w:textDirection w:val="lrTb"/>
            <w:noWrap w:val="false"/>
          </w:tcPr>
          <w:p>
            <w:pPr>
              <w:pBdr/>
              <w:spacing/>
              <w:ind/>
              <w:jc w:val="center"/>
              <w:rPr>
                <w:b/>
                <w:bCs/>
                <w:highlight w:val="none"/>
              </w:rPr>
            </w:pPr>
            <w:r>
              <w:rPr>
                <w:b w:val="0"/>
                <w:bCs w:val="0"/>
                <w:highlight w:val="none"/>
              </w:rPr>
            </w:r>
            <m:oMathPara>
              <m:oMathParaPr/>
              <m:oMath>
                <m:r>
                  <w:rPr>
                    <w:rFonts w:hint="default" w:ascii="Cambria Math" w:hAnsi="Cambria Math" w:eastAsia="Cambria Math" w:cs="Cambria Math"/>
                    <w:highlight w:val="none"/>
                  </w:rPr>
                  <m:rPr>
                    <m:sty m:val="i"/>
                  </m:rPr>
                  <m:t>η=</m:t>
                </m:r>
                <m:f>
                  <m:fPr>
                    <m:ctrlPr>
                      <w:rPr>
                        <w:rFonts w:ascii="Cambria Math" w:hAnsi="Cambria Math" w:eastAsia="Cambria Math" w:cs="Cambria Math"/>
                        <w:highlight w:val="none"/>
                      </w:rPr>
                    </m:ctrlPr>
                  </m:fPr>
                  <m:num>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V</m:t>
                        </m:r>
                      </m:e>
                      <m:sub>
                        <m:r>
                          <w:rPr>
                            <w:rFonts w:hint="default" w:ascii="Cambria Math" w:hAnsi="Cambria Math" w:eastAsia="Cambria Math" w:cs="Cambria Math"/>
                            <w:highlight w:val="none"/>
                          </w:rPr>
                          <m:rPr>
                            <m:sty m:val="i"/>
                          </m:rPr>
                          <m:t>OC</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I</m:t>
                        </m:r>
                      </m:e>
                      <m:sub>
                        <m:r>
                          <w:rPr>
                            <w:rFonts w:hint="default" w:ascii="Cambria Math" w:hAnsi="Cambria Math" w:eastAsia="Cambria Math" w:cs="Cambria Math"/>
                            <w:highlight w:val="none"/>
                          </w:rPr>
                          <m:rPr/>
                          <m:t>SC</m:t>
                        </m:r>
                      </m:sub>
                    </m:sSub>
                    <m:r>
                      <w:rPr>
                        <w:rFonts w:hint="default" w:ascii="Cambria Math" w:hAnsi="Cambria Math" w:eastAsia="Cambria Math" w:cs="Cambria Math"/>
                        <w:highlight w:val="none"/>
                      </w:rPr>
                      <m:rPr/>
                      <m:t>FF</m:t>
                    </m:r>
                  </m:num>
                  <m:den>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P</m:t>
                        </m:r>
                      </m:e>
                      <m:sub>
                        <m:r>
                          <w:rPr>
                            <w:rFonts w:hint="default" w:ascii="Cambria Math" w:hAnsi="Cambria Math" w:eastAsia="Cambria Math" w:cs="Cambria Math"/>
                            <w:highlight w:val="none"/>
                          </w:rPr>
                          <m:rPr/>
                          <m:t>in</m:t>
                        </m:r>
                      </m:sub>
                    </m:sSub>
                  </m:den>
                </m:f>
                <m:r>
                  <w:rPr>
                    <w:rFonts w:hint="default" w:ascii="Cambria Math" w:hAnsi="Cambria Math" w:eastAsia="Cambria Math" w:cs="Cambria Math"/>
                    <w:highlight w:val="none"/>
                  </w:rPr>
                  <m:rPr/>
                  <m:t>=</m:t>
                </m:r>
                <m:f>
                  <m:fPr>
                    <m:ctrlPr>
                      <w:rPr>
                        <w:rFonts w:ascii="Cambria Math" w:hAnsi="Cambria Math" w:eastAsia="Cambria Math" w:cs="Cambria Math"/>
                        <w:highlight w:val="none"/>
                      </w:rPr>
                    </m:ctrlPr>
                  </m:fPr>
                  <m:num>
                    <m:r>
                      <w:rPr>
                        <w:rFonts w:hint="default" w:ascii="Cambria Math" w:hAnsi="Cambria Math" w:eastAsia="Cambria Math" w:cs="Cambria Math"/>
                        <w:highlight w:val="none"/>
                      </w:rPr>
                      <m:rPr/>
                      <m:t>0.98(0.122)(0.782)</m:t>
                    </m:r>
                  </m:num>
                  <m:den>
                    <m:r>
                      <w:rPr>
                        <w:rFonts w:hint="default" w:ascii="Cambria Math" w:hAnsi="Cambria Math" w:eastAsia="Cambria Math" w:cs="Cambria Math"/>
                        <w:highlight w:val="none"/>
                      </w:rPr>
                      <m:rPr/>
                      <m:t>10</m:t>
                    </m:r>
                    <m:d>
                      <m:dPr>
                        <m:begChr m:val="("/>
                        <m:endChr m:val=")"/>
                        <m:ctrlPr>
                          <w:rPr>
                            <w:rFonts w:ascii="Cambria Math" w:hAnsi="Cambria Math" w:eastAsia="Cambria Math" w:cs="Cambria Math"/>
                            <w:highlight w:val="none"/>
                          </w:rPr>
                        </m:ctrlPr>
                      </m:dPr>
                      <m:e>
                        <m:r>
                          <w:rPr>
                            <w:rFonts w:hint="default" w:ascii="Cambria Math" w:hAnsi="Cambria Math" w:eastAsia="Cambria Math" w:cs="Cambria Math"/>
                            <w:highlight w:val="none"/>
                          </w:rPr>
                          <m:rPr/>
                          <m:t>0.045</m:t>
                        </m:r>
                      </m:e>
                    </m:d>
                  </m:den>
                </m:f>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sty m:val="bi"/>
                  </m:rPr>
                  <m:t>20.8%</m:t>
                </m:r>
              </m:oMath>
            </m:oMathPara>
            <w:r>
              <w:rPr>
                <w:b w:val="0"/>
                <w:bCs w:val="0"/>
                <w:highlight w:val="none"/>
              </w:rPr>
            </w:r>
            <w:r>
              <w:rPr>
                <w:b/>
                <w:bCs/>
                <w:highlight w:val="none"/>
              </w:rPr>
            </w:r>
          </w:p>
        </w:tc>
        <w:tc>
          <w:tcPr>
            <w:tcBorders/>
            <w:tcW w:w="2835" w:type="dxa"/>
            <w:vMerge w:val="restart"/>
            <w:textDirection w:val="lrTb"/>
            <w:noWrap w:val="false"/>
          </w:tcPr>
          <w:p>
            <w:pPr>
              <w:pBdr/>
              <w:spacing/>
              <w:ind/>
              <w:jc w:val="center"/>
              <w:rPr>
                <w:b w:val="0"/>
                <w:bCs w:val="0"/>
                <w:highlight w:val="none"/>
              </w:rPr>
            </w:pPr>
            <w:r>
              <w:rPr>
                <w:b w:val="0"/>
                <w:bCs w:val="0"/>
                <w:highlight w:val="none"/>
              </w:rPr>
            </w:r>
            <w:r>
              <w:rPr>
                <w:b w:val="0"/>
                <w:bCs w:val="0"/>
                <w:highlight w:val="none"/>
              </w:rPr>
            </w:r>
            <m:oMathPara>
              <m:oMathParaPr/>
              <m:oMath>
                <m:r>
                  <w:rPr>
                    <w:rFonts w:hint="default" w:ascii="Cambria Math" w:hAnsi="Cambria Math" w:eastAsia="Cambria Math" w:cs="Cambria Math"/>
                    <w:highlight w:val="none"/>
                  </w:rPr>
                  <m:rPr>
                    <m:sty m:val="i"/>
                  </m:rPr>
                  <m:t>η=</m:t>
                </m:r>
                <m:f>
                  <m:fPr>
                    <m:ctrlPr>
                      <w:rPr>
                        <w:rFonts w:ascii="Cambria Math" w:hAnsi="Cambria Math" w:eastAsia="Cambria Math" w:cs="Cambria Math"/>
                        <w:highlight w:val="none"/>
                      </w:rPr>
                    </m:ctrlPr>
                  </m:fPr>
                  <m:num>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V</m:t>
                        </m:r>
                      </m:e>
                      <m:sub>
                        <m:r>
                          <w:rPr>
                            <w:rFonts w:hint="default" w:ascii="Cambria Math" w:hAnsi="Cambria Math" w:eastAsia="Cambria Math" w:cs="Cambria Math"/>
                            <w:highlight w:val="none"/>
                          </w:rPr>
                          <m:rPr>
                            <m:sty m:val="i"/>
                          </m:rPr>
                          <m:t>OC</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I</m:t>
                        </m:r>
                      </m:e>
                      <m:sub>
                        <m:r>
                          <w:rPr>
                            <w:rFonts w:hint="default" w:ascii="Cambria Math" w:hAnsi="Cambria Math" w:eastAsia="Cambria Math" w:cs="Cambria Math"/>
                            <w:highlight w:val="none"/>
                          </w:rPr>
                          <m:rPr/>
                          <m:t>SC</m:t>
                        </m:r>
                      </m:sub>
                    </m:sSub>
                    <m:r>
                      <w:rPr>
                        <w:rFonts w:hint="default" w:ascii="Cambria Math" w:hAnsi="Cambria Math" w:eastAsia="Cambria Math" w:cs="Cambria Math"/>
                        <w:highlight w:val="none"/>
                      </w:rPr>
                      <m:rPr/>
                      <m:t>FF</m:t>
                    </m:r>
                  </m:num>
                  <m:den>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P</m:t>
                        </m:r>
                      </m:e>
                      <m:sub>
                        <m:r>
                          <w:rPr>
                            <w:rFonts w:hint="default" w:ascii="Cambria Math" w:hAnsi="Cambria Math" w:eastAsia="Cambria Math" w:cs="Cambria Math"/>
                            <w:highlight w:val="none"/>
                          </w:rPr>
                          <m:rPr/>
                          <m:t>in</m:t>
                        </m:r>
                      </m:sub>
                    </m:sSub>
                  </m:den>
                </m:f>
                <m:r>
                  <w:rPr>
                    <w:rFonts w:hint="default" w:ascii="Cambria Math" w:hAnsi="Cambria Math" w:eastAsia="Cambria Math" w:cs="Cambria Math"/>
                    <w:highlight w:val="none"/>
                  </w:rPr>
                  <m:rPr/>
                  <m:t>=</m:t>
                </m:r>
                <m:f>
                  <m:fPr>
                    <m:ctrlPr>
                      <w:rPr>
                        <w:rFonts w:ascii="Cambria Math" w:hAnsi="Cambria Math" w:eastAsia="Cambria Math" w:cs="Cambria Math"/>
                        <w:highlight w:val="none"/>
                      </w:rPr>
                    </m:ctrlPr>
                  </m:fPr>
                  <m:num>
                    <m:r>
                      <w:rPr>
                        <w:rFonts w:hint="default" w:ascii="Cambria Math" w:hAnsi="Cambria Math" w:eastAsia="Cambria Math" w:cs="Cambria Math"/>
                        <w:highlight w:val="none"/>
                      </w:rPr>
                      <m:rPr/>
                      <m:t>1.04(0.549)(0.795)</m:t>
                    </m:r>
                  </m:num>
                  <m:den>
                    <m:r>
                      <w:rPr>
                        <w:rFonts w:hint="default" w:ascii="Cambria Math" w:hAnsi="Cambria Math" w:eastAsia="Cambria Math" w:cs="Cambria Math"/>
                        <w:highlight w:val="none"/>
                      </w:rPr>
                      <m:rPr/>
                      <m:t>50</m:t>
                    </m:r>
                    <m:d>
                      <m:dPr>
                        <m:begChr m:val="("/>
                        <m:endChr m:val=")"/>
                        <m:ctrlPr>
                          <w:rPr>
                            <w:rFonts w:ascii="Cambria Math" w:hAnsi="Cambria Math" w:eastAsia="Cambria Math" w:cs="Cambria Math"/>
                            <w:highlight w:val="none"/>
                          </w:rPr>
                        </m:ctrlPr>
                      </m:dPr>
                      <m:e>
                        <m:r>
                          <w:rPr>
                            <w:rFonts w:hint="default" w:ascii="Cambria Math" w:hAnsi="Cambria Math" w:eastAsia="Cambria Math" w:cs="Cambria Math"/>
                            <w:highlight w:val="none"/>
                          </w:rPr>
                          <m:rPr/>
                          <m:t>0.045</m:t>
                        </m:r>
                      </m:e>
                    </m:d>
                  </m:den>
                </m:f>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sty m:val="bi"/>
                  </m:rPr>
                  <m:t>20.2%</m:t>
                </m:r>
              </m:oMath>
            </m:oMathPara>
            <w:r>
              <w:rPr>
                <w:b w:val="0"/>
                <w:bCs w:val="0"/>
                <w:highlight w:val="none"/>
              </w:rPr>
            </w:r>
            <w:r>
              <w:rPr>
                <w:b w:val="0"/>
                <w:bCs w:val="0"/>
                <w:highlight w:val="none"/>
              </w:rPr>
            </w:r>
          </w:p>
        </w:tc>
        <w:tc>
          <w:tcPr>
            <w:tcBorders/>
            <w:tcW w:w="2812" w:type="dxa"/>
            <w:vMerge w:val="restart"/>
            <w:textDirection w:val="lrTb"/>
            <w:noWrap w:val="false"/>
          </w:tcPr>
          <w:p>
            <w:pPr>
              <w:pBdr/>
              <w:spacing/>
              <w:ind/>
              <w:jc w:val="center"/>
              <w:rPr>
                <w:b w:val="0"/>
                <w:bCs w:val="0"/>
                <w:highlight w:val="none"/>
              </w:rPr>
            </w:pPr>
            <w:r>
              <w:rPr>
                <w:b w:val="0"/>
                <w:bCs w:val="0"/>
                <w:highlight w:val="none"/>
              </w:rPr>
            </w:r>
            <w:r>
              <w:rPr>
                <w:b w:val="0"/>
                <w:bCs w:val="0"/>
                <w:highlight w:val="none"/>
              </w:rPr>
            </w:r>
            <m:oMathPara>
              <m:oMathParaPr/>
              <m:oMath>
                <m:r>
                  <w:rPr>
                    <w:rFonts w:hint="default" w:ascii="Cambria Math" w:hAnsi="Cambria Math" w:eastAsia="Cambria Math" w:cs="Cambria Math"/>
                    <w:highlight w:val="none"/>
                  </w:rPr>
                  <m:rPr>
                    <m:sty m:val="i"/>
                  </m:rPr>
                  <m:t>η=</m:t>
                </m:r>
                <m:f>
                  <m:fPr>
                    <m:ctrlPr>
                      <w:rPr>
                        <w:rFonts w:ascii="Cambria Math" w:hAnsi="Cambria Math" w:eastAsia="Cambria Math" w:cs="Cambria Math"/>
                        <w:highlight w:val="none"/>
                      </w:rPr>
                    </m:ctrlPr>
                  </m:fPr>
                  <m:num>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V</m:t>
                        </m:r>
                      </m:e>
                      <m:sub>
                        <m:r>
                          <w:rPr>
                            <w:rFonts w:hint="default" w:ascii="Cambria Math" w:hAnsi="Cambria Math" w:eastAsia="Cambria Math" w:cs="Cambria Math"/>
                            <w:highlight w:val="none"/>
                          </w:rPr>
                          <m:rPr>
                            <m:sty m:val="i"/>
                          </m:rPr>
                          <m:t>OC</m:t>
                        </m:r>
                      </m:sub>
                    </m:sSub>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I</m:t>
                        </m:r>
                      </m:e>
                      <m:sub>
                        <m:r>
                          <w:rPr>
                            <w:rFonts w:hint="default" w:ascii="Cambria Math" w:hAnsi="Cambria Math" w:eastAsia="Cambria Math" w:cs="Cambria Math"/>
                            <w:highlight w:val="none"/>
                          </w:rPr>
                          <m:rPr/>
                          <m:t>SC</m:t>
                        </m:r>
                      </m:sub>
                    </m:sSub>
                    <m:r>
                      <w:rPr>
                        <w:rFonts w:hint="default" w:ascii="Cambria Math" w:hAnsi="Cambria Math" w:eastAsia="Cambria Math" w:cs="Cambria Math"/>
                        <w:highlight w:val="none"/>
                      </w:rPr>
                      <m:rPr/>
                      <m:t>FF</m:t>
                    </m:r>
                  </m:num>
                  <m:den>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t>P</m:t>
                        </m:r>
                      </m:e>
                      <m:sub>
                        <m:r>
                          <w:rPr>
                            <w:rFonts w:hint="default" w:ascii="Cambria Math" w:hAnsi="Cambria Math" w:eastAsia="Cambria Math" w:cs="Cambria Math"/>
                            <w:highlight w:val="none"/>
                          </w:rPr>
                          <m:rPr/>
                          <m:t>in</m:t>
                        </m:r>
                      </m:sub>
                    </m:sSub>
                  </m:den>
                </m:f>
                <m:r>
                  <w:rPr>
                    <w:rFonts w:hint="default" w:ascii="Cambria Math" w:hAnsi="Cambria Math" w:eastAsia="Cambria Math" w:cs="Cambria Math"/>
                    <w:highlight w:val="none"/>
                  </w:rPr>
                  <m:rPr/>
                  <m:t>=</m:t>
                </m:r>
                <m:f>
                  <m:fPr>
                    <m:ctrlPr>
                      <w:rPr>
                        <w:rFonts w:ascii="Cambria Math" w:hAnsi="Cambria Math" w:eastAsia="Cambria Math" w:cs="Cambria Math"/>
                        <w:highlight w:val="none"/>
                      </w:rPr>
                    </m:ctrlPr>
                  </m:fPr>
                  <m:num>
                    <m:r>
                      <w:rPr>
                        <w:rFonts w:hint="default" w:ascii="Cambria Math" w:hAnsi="Cambria Math" w:eastAsia="Cambria Math" w:cs="Cambria Math"/>
                        <w:highlight w:val="none"/>
                      </w:rPr>
                      <m:rPr/>
                      <m:t>1.06(1.049)(0.776)</m:t>
                    </m:r>
                  </m:num>
                  <m:den>
                    <m:r>
                      <w:rPr>
                        <w:rFonts w:hint="default" w:ascii="Cambria Math" w:hAnsi="Cambria Math" w:eastAsia="Cambria Math" w:cs="Cambria Math"/>
                        <w:highlight w:val="none"/>
                      </w:rPr>
                      <m:rPr/>
                      <m:t>100</m:t>
                    </m:r>
                    <m:d>
                      <m:dPr>
                        <m:begChr m:val="("/>
                        <m:endChr m:val=")"/>
                        <m:ctrlPr>
                          <w:rPr>
                            <w:rFonts w:ascii="Cambria Math" w:hAnsi="Cambria Math" w:eastAsia="Cambria Math" w:cs="Cambria Math"/>
                            <w:highlight w:val="none"/>
                          </w:rPr>
                        </m:ctrlPr>
                      </m:dPr>
                      <m:e>
                        <m:r>
                          <w:rPr>
                            <w:rFonts w:hint="default" w:ascii="Cambria Math" w:hAnsi="Cambria Math" w:eastAsia="Cambria Math" w:cs="Cambria Math"/>
                            <w:highlight w:val="none"/>
                          </w:rPr>
                          <m:rPr/>
                          <m:t>0.045</m:t>
                        </m:r>
                      </m:e>
                    </m:d>
                  </m:den>
                </m:f>
                <m:r>
                  <w:rPr>
                    <w:rFonts w:hint="default" w:ascii="Cambria Math" w:hAnsi="Cambria Math" w:eastAsia="Cambria Math" w:cs="Cambria Math"/>
                    <w:highlight w:val="none"/>
                  </w:rPr>
                  <m:rPr/>
                  <m:t>=</m:t>
                </m:r>
                <m:r>
                  <w:rPr>
                    <w:rFonts w:hint="default" w:ascii="Cambria Math" w:hAnsi="Cambria Math" w:eastAsia="Cambria Math" w:cs="Cambria Math"/>
                    <w:highlight w:val="none"/>
                  </w:rPr>
                  <m:rPr>
                    <m:sty m:val="bi"/>
                  </m:rPr>
                  <m:t>19.2%</m:t>
                </m:r>
              </m:oMath>
            </m:oMathPara>
            <w:r>
              <w:rPr>
                <w:b w:val="0"/>
                <w:bCs w:val="0"/>
                <w:highlight w:val="none"/>
              </w:rPr>
            </w:r>
            <w:r>
              <w:rPr>
                <w:b w:val="0"/>
                <w:bCs w:val="0"/>
                <w:highlight w:val="none"/>
              </w:rPr>
            </w:r>
          </w:p>
        </w:tc>
      </w:tr>
    </w:tbl>
    <w:p>
      <w:pPr>
        <w:pStyle w:val="831"/>
        <w:pBdr/>
        <w:spacing/>
        <w:ind/>
        <w:rPr>
          <w:b w:val="0"/>
          <w:bCs w:val="0"/>
          <w:highlight w:val="none"/>
        </w:rPr>
      </w:pPr>
      <w:r>
        <w:rPr>
          <w:b w:val="0"/>
          <w:bCs w:val="0"/>
          <w:highlight w:val="none"/>
        </w:rPr>
        <w:t xml:space="preserve">Discussion &amp; Interpretation</w:t>
      </w:r>
      <w:r>
        <w:rPr>
          <w:b w:val="0"/>
          <w:bCs w:val="0"/>
          <w:highlight w:val="none"/>
        </w:rPr>
      </w:r>
      <w:r>
        <w:rPr>
          <w:b w:val="0"/>
          <w:bCs w:val="0"/>
          <w:highlight w:val="none"/>
        </w:rPr>
      </w:r>
    </w:p>
    <w:p>
      <w:pPr>
        <w:pBdr/>
        <w:spacing/>
        <w:ind/>
        <w:rPr/>
      </w:pPr>
      <w:r>
        <w:rPr>
          <w:b w:val="0"/>
          <w:bCs w:val="0"/>
          <w:highlight w:val="none"/>
        </w:rPr>
        <w:t xml:space="preserve">Light intensity is directly proportional to the rate of photon incidence on the solar cell in photons per second per unit area. Current is induced when </w:t>
      </w:r>
      <w:r>
        <w:rPr>
          <w:b w:val="0"/>
          <w:bCs w:val="0"/>
          <w:highlight w:val="none"/>
        </w:rPr>
        <w:t xml:space="preserve">an electron absorbs a photon with energy larger than or equal to the bandgap of the material exciting it from the valence to the conduction band. Assuming all the excited electrons contribute to the photocurrent at short circuit condition, this would mean </w:t>
      </w:r>
      <m:oMath>
        <m:sSub>
          <m:sSubPr>
            <m:ctrlPr>
              <w:rPr>
                <w:rFonts w:ascii="Cambria Math" w:hAnsi="Cambria Math" w:eastAsia="Cambria Math" w:cs="Cambria Math"/>
                <w:highlight w:val="none"/>
              </w:rPr>
            </m:ctrlPr>
          </m:sSubPr>
          <m:e>
            <m:r>
              <w:rPr>
                <w:rFonts w:hint="default" w:ascii="Cambria Math" w:hAnsi="Cambria Math" w:eastAsia="Cambria Math" w:cs="Cambria Math"/>
                <w:highlight w:val="none"/>
              </w:rPr>
              <m:rPr>
                <m:sty m:val="i"/>
              </m:rPr>
              <m:t>I</m:t>
            </m:r>
          </m:e>
          <m:sub>
            <m:r>
              <w:rPr>
                <w:rFonts w:hint="default" w:ascii="Cambria Math" w:hAnsi="Cambria Math" w:eastAsia="Cambria Math" w:cs="Cambria Math"/>
                <w:highlight w:val="none"/>
              </w:rPr>
              <m:rPr>
                <m:sty m:val="i"/>
              </m:rPr>
              <m:t>SC</m:t>
            </m:r>
          </m:sub>
        </m:sSub>
      </m:oMath>
      <w:r>
        <w:rPr>
          <w:b w:val="0"/>
          <w:bCs w:val="0"/>
          <w:highlight w:val="none"/>
        </w:rPr>
        <w:t xml:space="preserve"> is directly proportional the light intensity.</w:t>
      </w:r>
      <w:r/>
    </w:p>
    <w:p>
      <w:pPr>
        <w:pBdr/>
        <w:spacing/>
        <w:ind/>
        <w:rPr>
          <w:b w:val="0"/>
          <w:bCs w:val="0"/>
          <w:highlight w:val="none"/>
        </w:rPr>
      </w:pPr>
      <w:r>
        <w:rPr>
          <w:b w:val="0"/>
          <w:bCs w:val="0"/>
          <w:highlight w:val="none"/>
        </w:rPr>
        <w:t xml:space="preserve">Qs:</w:t>
      </w:r>
      <w:r>
        <w:rPr>
          <w:b w:val="0"/>
          <w:bCs w:val="0"/>
          <w:highlight w:val="none"/>
        </w:rPr>
      </w:r>
      <w:r>
        <w:rPr>
          <w:b w:val="0"/>
          <w:bCs w:val="0"/>
          <w:highlight w:val="none"/>
        </w:rPr>
      </w:r>
    </w:p>
    <w:p>
      <w:pPr>
        <w:pBdr/>
        <w:spacing/>
        <w:ind/>
        <w:rPr>
          <w:b w:val="0"/>
          <w:bCs w:val="0"/>
          <w:highlight w:val="none"/>
        </w:rPr>
      </w:pPr>
      <w:r>
        <w:rPr>
          <w:b w:val="0"/>
          <w:bCs w:val="0"/>
          <w:highlight w:val="none"/>
        </w:rPr>
        <w:t xml:space="preserve">One or multiple plots for JV</w:t>
      </w:r>
      <w:r>
        <w:rPr>
          <w:b w:val="0"/>
          <w:bCs w:val="0"/>
          <w:highlight w:val="none"/>
        </w:rPr>
        <w:t xml:space="preserve"> - One</w:t>
      </w:r>
      <w:r>
        <w:rPr>
          <w:b w:val="0"/>
          <w:bCs w:val="0"/>
          <w:highlight w:val="none"/>
        </w:rPr>
      </w:r>
      <w:r>
        <w:rPr>
          <w:b w:val="0"/>
          <w:bCs w:val="0"/>
          <w:highlight w:val="none"/>
        </w:rPr>
      </w:r>
    </w:p>
    <w:p>
      <w:pPr>
        <w:pBdr/>
        <w:spacing/>
        <w:ind/>
        <w:rPr>
          <w:b w:val="0"/>
          <w:bCs w:val="0"/>
          <w:highlight w:val="none"/>
        </w:rPr>
      </w:pPr>
      <w:r>
        <w:rPr>
          <w:b w:val="0"/>
          <w:bCs w:val="0"/>
          <w:highlight w:val="none"/>
        </w:rPr>
        <w:t xml:space="preserve">Power plots</w:t>
      </w:r>
      <w:r>
        <w:rPr>
          <w:b w:val="0"/>
          <w:bCs w:val="0"/>
          <w:highlight w:val="none"/>
        </w:rPr>
        <w:t xml:space="preserve"> – show MPP point</w:t>
      </w:r>
      <w:r>
        <w:rPr>
          <w:b w:val="0"/>
          <w:bCs w:val="0"/>
          <w:highlight w:val="none"/>
        </w:rPr>
      </w:r>
      <w:r>
        <w:rPr>
          <w:b w:val="0"/>
          <w:bCs w:val="0"/>
          <w:highlight w:val="none"/>
        </w:rPr>
      </w:r>
    </w:p>
    <w:p>
      <w:pPr>
        <w:pBdr/>
        <w:spacing/>
        <w:ind/>
        <w:rPr>
          <w:b w:val="0"/>
          <w:bCs w:val="0"/>
          <w:highlight w:val="none"/>
        </w:rPr>
      </w:pPr>
      <w:r>
        <w:rPr>
          <w:b w:val="0"/>
          <w:bCs w:val="0"/>
          <w:highlight w:val="none"/>
        </w:rPr>
        <w:t xml:space="preserve">Show values in table on graph or just state them</w:t>
      </w:r>
      <w:r>
        <w:rPr>
          <w:b w:val="0"/>
          <w:bCs w:val="0"/>
          <w:highlight w:val="none"/>
        </w:rPr>
        <w:t xml:space="preserve"> – Fine except MPP</w:t>
      </w:r>
      <w:r>
        <w:rPr>
          <w:b w:val="0"/>
          <w:bCs w:val="0"/>
          <w:highlight w:val="none"/>
        </w:rPr>
      </w:r>
      <w:r>
        <w:rPr>
          <w:b w:val="0"/>
          <w:bCs w:val="0"/>
          <w:highlight w:val="none"/>
        </w:rPr>
      </w:r>
    </w:p>
    <w:p>
      <w:pPr>
        <w:pBdr/>
        <w:spacing/>
        <w:ind/>
        <w:rPr>
          <w:b w:val="0"/>
          <w:bCs w:val="0"/>
          <w:highlight w:val="none"/>
        </w:rPr>
      </w:pPr>
      <w:r>
        <w:rPr>
          <w:b w:val="0"/>
          <w:bCs w:val="0"/>
          <w:highlight w:val="none"/>
        </w:rPr>
        <w:t xml:space="preserve">P_in for efficiency calculation -</w:t>
      </w:r>
      <w:r>
        <w:rPr>
          <w:b w:val="0"/>
          <w:bCs w:val="0"/>
          <w:highlight w:val="none"/>
        </w:rPr>
        <w:t xml:space="preserve"> % in mW/cm^2</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Style w:val="831"/>
        <w:pBdr/>
        <w:spacing/>
        <w:ind/>
        <w:rPr>
          <w:b w:val="0"/>
          <w:bCs w:val="0"/>
          <w:highlight w:val="none"/>
        </w:rPr>
      </w:pPr>
      <w:r>
        <w:rPr>
          <w:b w:val="0"/>
          <w:bCs w:val="0"/>
          <w:highlight w:val="none"/>
        </w:rPr>
      </w:r>
      <w:r>
        <w:rPr>
          <w:b w:val="0"/>
          <w:bCs w:val="0"/>
          <w:highlight w:val="none"/>
        </w:rPr>
        <w:t xml:space="preserve">References</w:t>
      </w:r>
      <w:r>
        <w:rPr>
          <w:b w:val="0"/>
          <w:bCs w:val="0"/>
          <w:highlight w:val="none"/>
        </w:rPr>
      </w:r>
      <w:r>
        <w:rPr>
          <w:b w:val="0"/>
          <w:bCs w:val="0"/>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sz w:val="20"/>
          <w:szCs w:val="20"/>
          <w:highlight w:val="none"/>
        </w:rPr>
      </w:pPr>
      <w:r>
        <w:rPr>
          <w:rFonts w:ascii="Arial" w:hAnsi="Arial" w:eastAsia="Arial" w:cs="Arial"/>
          <w:b w:val="0"/>
          <w:bCs w:val="0"/>
          <w:color w:val="000000"/>
          <w:sz w:val="22"/>
          <w:szCs w:val="20"/>
        </w:rPr>
        <w:t xml:space="preserve">[1]</w:t>
      </w:r>
      <w:r>
        <w:rPr>
          <w:rFonts w:ascii="Arial" w:hAnsi="Arial" w:eastAsia="Arial" w:cs="Arial"/>
          <w:b w:val="0"/>
          <w:bCs w:val="0"/>
          <w:color w:val="000000"/>
          <w:sz w:val="22"/>
          <w:szCs w:val="20"/>
        </w:rPr>
        <w:t xml:space="preserve"> J. S. Manser, J. A. Christians, and P. V. Kamat, “Intriguing Optoelectronic Properties of Metal Halide Perovskites,” </w:t>
      </w:r>
      <w:r>
        <w:rPr>
          <w:rFonts w:ascii="Arial" w:hAnsi="Arial" w:eastAsia="Arial" w:cs="Arial"/>
          <w:b w:val="0"/>
          <w:bCs w:val="0"/>
          <w:i/>
          <w:color w:val="000000"/>
          <w:sz w:val="22"/>
          <w:szCs w:val="20"/>
        </w:rPr>
        <w:t xml:space="preserve">Chemical Reviews</w:t>
      </w:r>
      <w:r>
        <w:rPr>
          <w:rFonts w:ascii="Arial" w:hAnsi="Arial" w:eastAsia="Arial" w:cs="Arial"/>
          <w:b w:val="0"/>
          <w:bCs w:val="0"/>
          <w:color w:val="000000"/>
          <w:sz w:val="22"/>
          <w:szCs w:val="20"/>
        </w:rPr>
        <w:t xml:space="preserve">, vol. 116, no. 21, pp. 12956–13008, Jun. 2016, doi: </w:t>
      </w:r>
      <w:hyperlink r:id="rId12" w:tooltip="https://doi.org/10.1021/acs.chemrev.6b00136" w:history="1">
        <w:r>
          <w:rPr>
            <w:rStyle w:val="876"/>
            <w:rFonts w:ascii="Arial" w:hAnsi="Arial" w:eastAsia="Arial" w:cs="Arial"/>
            <w:b w:val="0"/>
            <w:bCs w:val="0"/>
            <w:sz w:val="22"/>
            <w:szCs w:val="20"/>
          </w:rPr>
          <w:t xml:space="preserve">https://doi.org/10.1021/acs.chemrev.6b00136</w:t>
        </w:r>
        <w:r>
          <w:rPr>
            <w:rStyle w:val="876"/>
            <w:rFonts w:ascii="Arial" w:hAnsi="Arial" w:eastAsia="Arial" w:cs="Arial"/>
            <w:b w:val="0"/>
            <w:bCs w:val="0"/>
            <w:sz w:val="20"/>
            <w:szCs w:val="20"/>
          </w:rPr>
        </w:r>
        <w:r>
          <w:rPr>
            <w:rStyle w:val="876"/>
            <w:rFonts w:ascii="Arial" w:hAnsi="Arial" w:cs="Arial"/>
            <w:b w:val="0"/>
            <w:bCs w:val="0"/>
            <w:sz w:val="22"/>
            <w:szCs w:val="20"/>
          </w:rPr>
        </w:r>
      </w:hyperlink>
      <w:r>
        <w:rPr>
          <w:rFonts w:ascii="Arial" w:hAnsi="Arial" w:eastAsia="Arial" w:cs="Arial"/>
          <w:b w:val="0"/>
          <w:bCs w:val="0"/>
          <w:sz w:val="20"/>
          <w:szCs w:val="20"/>
          <w:highlight w:val="none"/>
        </w:rPr>
      </w:r>
      <w:r>
        <w:rPr>
          <w:rFonts w:ascii="Arial" w:hAnsi="Arial" w:eastAsia="Arial" w:cs="Arial"/>
          <w:b w:val="0"/>
          <w:bCs w:val="0"/>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2"/>
          <w:szCs w:val="22"/>
          <w:highlight w:val="none"/>
        </w:rPr>
      </w:pPr>
      <w:r>
        <w:rPr>
          <w:rFonts w:ascii="Arial" w:hAnsi="Arial" w:eastAsia="Arial" w:cs="Arial"/>
          <w:b w:val="0"/>
          <w:bCs w:val="0"/>
          <w:sz w:val="22"/>
          <w:szCs w:val="22"/>
          <w:highlight w:val="none"/>
        </w:rPr>
      </w:r>
      <w:r>
        <w:rPr>
          <w:rFonts w:ascii="Arial" w:hAnsi="Arial" w:eastAsia="Arial" w:cs="Arial"/>
          <w:b w:val="0"/>
          <w:bCs w:val="0"/>
          <w:sz w:val="22"/>
          <w:szCs w:val="22"/>
          <w:highlight w:val="none"/>
        </w:rPr>
        <w:t xml:space="preserve">[2] </w:t>
      </w:r>
      <w:r>
        <w:rPr>
          <w:rFonts w:ascii="Arial" w:hAnsi="Arial" w:eastAsia="Arial" w:cs="Arial"/>
          <w:b w:val="0"/>
          <w:bCs w:val="0"/>
          <w:color w:val="000000"/>
          <w:sz w:val="22"/>
          <w:szCs w:val="22"/>
        </w:rPr>
        <w:t xml:space="preserve">S. Min, D. Chowdhury, Muhammad, and M. Iqbal, “Comparison between organic solar cells and perovskite photovoltaic cells: Minireview,” </w:t>
      </w:r>
      <w:r>
        <w:rPr>
          <w:rFonts w:ascii="Arial" w:hAnsi="Arial" w:eastAsia="Arial" w:cs="Arial"/>
          <w:b w:val="0"/>
          <w:bCs w:val="0"/>
          <w:i/>
          <w:color w:val="000000"/>
          <w:sz w:val="22"/>
          <w:szCs w:val="22"/>
        </w:rPr>
        <w:t xml:space="preserve">International Journal of Innovative Research and Scientific Studies</w:t>
      </w:r>
      <w:r>
        <w:rPr>
          <w:rFonts w:ascii="Arial" w:hAnsi="Arial" w:eastAsia="Arial" w:cs="Arial"/>
          <w:b w:val="0"/>
          <w:bCs w:val="0"/>
          <w:color w:val="000000"/>
          <w:sz w:val="22"/>
          <w:szCs w:val="22"/>
        </w:rPr>
        <w:t xml:space="preserve">, vol. 8, no. 8, pp. 33–54, Oct. 2025, doi: </w:t>
      </w:r>
      <w:hyperlink r:id="rId13" w:tooltip="https://doi.org/10.53894/ijirss.v8i8.10543" w:history="1">
        <w:r>
          <w:rPr>
            <w:rStyle w:val="876"/>
            <w:rFonts w:ascii="Arial" w:hAnsi="Arial" w:eastAsia="Arial" w:cs="Arial"/>
            <w:b w:val="0"/>
            <w:bCs w:val="0"/>
            <w:sz w:val="22"/>
            <w:szCs w:val="22"/>
          </w:rPr>
          <w:t xml:space="preserve">https://doi.org/10.53894/ijirss.v8i8.10543</w:t>
        </w:r>
        <w:r>
          <w:rPr>
            <w:rStyle w:val="876"/>
            <w:rFonts w:ascii="Arial" w:hAnsi="Arial" w:cs="Arial"/>
            <w:b w:val="0"/>
            <w:bCs w:val="0"/>
            <w:sz w:val="22"/>
            <w:szCs w:val="22"/>
          </w:rPr>
        </w:r>
      </w:hyperlink>
      <w:r>
        <w:rPr>
          <w:rFonts w:ascii="Arial" w:hAnsi="Arial" w:eastAsia="Arial" w:cs="Arial"/>
          <w:b w:val="0"/>
          <w:bCs w:val="0"/>
          <w:color w:val="000000"/>
          <w:sz w:val="22"/>
          <w:szCs w:val="22"/>
          <w:highlight w:val="none"/>
        </w:rPr>
      </w:r>
      <w:r>
        <w:rPr>
          <w:rFonts w:ascii="Arial" w:hAnsi="Arial" w:eastAsia="Arial" w:cs="Arial"/>
          <w:b w:val="0"/>
          <w:bCs w:val="0"/>
          <w:color w:val="000000"/>
          <w:sz w:val="22"/>
          <w:szCs w:val="22"/>
          <w:highlight w:val="none"/>
        </w:rPr>
      </w:r>
    </w:p>
    <w:p>
      <w:pPr>
        <w:pBdr/>
        <w:spacing/>
        <w:ind/>
        <w:rPr>
          <w:b w:val="0"/>
          <w:bCs w:val="0"/>
        </w:rPr>
      </w:pPr>
      <w:r>
        <w:rPr>
          <w:b w:val="0"/>
          <w:bCs w:val="0"/>
          <w:highlight w:val="none"/>
        </w:rPr>
      </w:r>
      <w:r>
        <w:rPr>
          <w:b w:val="0"/>
          <w:bCs w:val="0"/>
        </w:rPr>
      </w:r>
      <w:r>
        <w:rPr>
          <w:b w:val="0"/>
          <w:bCs w:val="0"/>
        </w:rPr>
      </w:r>
    </w:p>
    <w:sectPr>
      <w:footnotePr/>
      <w:endnotePr/>
      <w:type w:val="nextPage"/>
      <w:pgSz w:h="16838" w:orient="portrait" w:w="11906"/>
      <w:pgMar w:top="1440" w:right="1440" w:bottom="1440" w:left="144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CF9B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ACF9B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doi.org/10.1021/acs.chemrev.6b00136" TargetMode="External"/><Relationship Id="rId13" Type="http://schemas.openxmlformats.org/officeDocument/2006/relationships/hyperlink" Target="https://doi.org/10.53894/ijirss.v8i8.10543"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2025-11-20T21:38:08Z</dcterms:modified>
</cp:coreProperties>
</file>