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50"/>
        <w:pBdr/>
        <w:spacing/>
        <w:ind/>
        <w:jc w:val="center"/>
        <w:rPr>
          <w:b w:val="0"/>
          <w:bCs w:val="0"/>
        </w:rPr>
      </w:pPr>
      <w:r>
        <w:rPr>
          <w:b w:val="0"/>
          <w:bCs w:val="0"/>
        </w:rPr>
        <w:t xml:space="preserve">ELEC0148 Lab Report</w:t>
      </w:r>
      <w:r>
        <w:rPr>
          <w:b w:val="0"/>
          <w:bCs w:val="0"/>
        </w:rPr>
      </w:r>
      <w:r>
        <w:rPr>
          <w:b w:val="0"/>
          <w:bCs w:val="0"/>
        </w:rPr>
      </w:r>
    </w:p>
    <w:p>
      <w:pPr>
        <w:pStyle w:val="831"/>
        <w:pBdr/>
        <w:spacing/>
        <w:ind/>
        <w:rPr>
          <w:b w:val="0"/>
          <w:bCs w:val="0"/>
        </w:rPr>
      </w:pPr>
      <w:r>
        <w:rPr>
          <w:b w:val="0"/>
          <w:bCs w:val="0"/>
        </w:rPr>
        <w:t xml:space="preserve">Introduction</w:t>
      </w:r>
      <w:r>
        <w:rPr>
          <w:b w:val="0"/>
          <w:bCs w:val="0"/>
        </w:rPr>
      </w:r>
      <w:r>
        <w:rPr>
          <w:b w:val="0"/>
          <w:bCs w:val="0"/>
        </w:rPr>
      </w:r>
    </w:p>
    <w:p>
      <w:pPr>
        <w:pBdr/>
        <w:spacing/>
        <w:ind w:right="-45" w:firstLine="0" w:left="0"/>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highlight w:val="none"/>
        </w:rPr>
      </w:r>
      <w:r>
        <w:rPr>
          <w:b w:val="0"/>
          <w:bCs w:val="0"/>
          <w:highlight w:val="none"/>
        </w:rPr>
      </w:r>
    </w:p>
    <w:p>
      <w:pPr>
        <w:pBdr/>
        <w:spacing/>
        <w:ind/>
        <w:rPr>
          <w:b w:val="0"/>
          <w:bCs w:val="0"/>
          <w:highlight w:val="none"/>
        </w:rPr>
      </w:pPr>
      <w:r>
        <w:rPr>
          <w:b w:val="0"/>
          <w:bCs w:val="0"/>
          <w:highlight w:val="none"/>
        </w:rPr>
        <w:t xml:space="preserve">A Perovskite solar cell (PSC) is a specific type of solar cell that has perovskite-structured compounds which are crystalline materials with a chemical formula of </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w:t>
      </w:r>
      <w:r>
        <w:rPr>
          <w:b w:val="0"/>
          <w:bCs w:val="0"/>
          <w:highlight w:val="none"/>
        </w:rPr>
        <w:t xml:space="preserve">ltraviolet (UV) wavelengths suggesting PSCs are well suited for high energy photons. The active layer of OSCs is usually &lt;100 nanometres but for PSCs its &gt;500 nanometres due to a larger carrier mobility which is more efficient for charge extraction. [1][2]</w:t>
      </w:r>
      <w:r>
        <w:rPr>
          <w:b w:val="0"/>
          <w:bCs w:val="0"/>
          <w:highlight w:val="none"/>
        </w:rPr>
      </w:r>
      <w:r>
        <w:rPr>
          <w:b w:val="0"/>
          <w:bCs w:val="0"/>
          <w:highlight w:val="none"/>
        </w:rPr>
      </w:r>
    </w:p>
    <w:p>
      <w:pPr>
        <w:pBdr/>
        <w:spacing/>
        <w:ind/>
        <w:rPr>
          <w:b w:val="0"/>
          <w:bCs w:val="0"/>
          <w:highlight w:val="none"/>
        </w:rPr>
      </w:pPr>
      <w:r>
        <w:rPr>
          <w:b w:val="0"/>
          <w:bCs w:val="0"/>
          <w:highlight w:val="none"/>
        </w:rP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when the current is zero, this would be the voltage produced by the cell when the terminals are open without a load connected</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voltage is zero. This happens when the terminals are shorted, indicating the maximum current the cell can generate under illumination</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 for the specific light intensity.</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that the maximum power makes of </w:t>
      </w:r>
      <w:r>
        <w:rPr>
          <w:b w:val="0"/>
          <w:bCs w:val="0"/>
          <w:highlight w:val="none"/>
        </w:rPr>
        <w:t xml:space="preserve">the incident optical power </w:t>
      </w:r>
      <w:r>
        <w:rPr>
          <w:b w:val="0"/>
          <w:bCs w:val="0"/>
          <w:highlight w:val="none"/>
        </w:rPr>
        <w:t xml:space="preserve">.</w:t>
      </w:r>
      <w:r>
        <w:rPr>
          <w:b w:val="0"/>
          <w:bCs w:val="0"/>
          <w:highlight w:val="none"/>
        </w:rPr>
      </w:r>
      <w:r>
        <w:rPr>
          <w:b w:val="0"/>
          <w:bCs w:val="0"/>
          <w:highlight w:val="none"/>
        </w:rPr>
      </w:r>
    </w:p>
    <w:p>
      <w:pPr>
        <w:pStyle w:val="831"/>
        <w:pBdr/>
        <w:spacing/>
        <w:ind/>
        <w:rPr>
          <w:b w:val="0"/>
          <w:bCs w:val="0"/>
          <w:highlight w:val="none"/>
        </w:rPr>
      </w:pPr>
      <w:r>
        <w:rPr>
          <w:b w:val="0"/>
          <w:bCs w:val="0"/>
          <w:highlight w:val="none"/>
        </w:rPr>
      </w:r>
      <w:r>
        <w:rPr>
          <w:b w:val="0"/>
          <w:bCs w:val="0"/>
          <w:highlight w:val="none"/>
        </w:rPr>
        <w:t xml:space="preserve">Data Analysis</w:t>
      </w:r>
      <w:r>
        <w:rPr>
          <w:b w:val="0"/>
          <w:bCs w:val="0"/>
          <w:highlight w:val="none"/>
        </w:rPr>
      </w:r>
      <w:r>
        <w:rPr>
          <w:b w:val="0"/>
          <w:bCs w:val="0"/>
          <w:highlight w:val="none"/>
        </w:rPr>
      </w:r>
    </w:p>
    <w:p>
      <w:pPr>
        <w:pBdr/>
        <w:spacing/>
        <w:ind w:right="851"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31510" cy="32989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08873" name=""/>
                        <pic:cNvPicPr>
                          <a:picLocks noChangeAspect="1"/>
                        </pic:cNvPicPr>
                        <pic:nvPr/>
                      </pic:nvPicPr>
                      <pic:blipFill rotWithShape="1">
                        <a:blip r:embed="rId9"/>
                        <a:stretch/>
                      </pic:blipFill>
                      <pic:spPr bwMode="auto">
                        <a:xfrm>
                          <a:off x="0" y="0"/>
                          <a:ext cx="5731509" cy="3298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59.76pt;mso-wrap-distance-left:0.00pt;mso-wrap-distance-top:0.00pt;mso-wrap-distance-right:0.00pt;mso-wrap-distance-bottom:0.00pt;z-index:1;" stroked="false">
                <v:imagedata r:id="rId9" o:title=""/>
                <o:lock v:ext="edit" rotation="t"/>
              </v:shape>
            </w:pict>
          </mc:Fallback>
        </mc:AlternateContent>
      </w:r>
      <w:r>
        <w:rPr>
          <w:b w:val="0"/>
          <w:bCs w:val="0"/>
          <w:highlight w:val="none"/>
        </w:rPr>
      </w:r>
      <w:r>
        <w:rPr>
          <w:b w:val="0"/>
          <w:bCs w:val="0"/>
          <w:highlight w:val="none"/>
        </w:rPr>
      </w:r>
    </w:p>
    <w:p>
      <w:pPr>
        <w:pStyle w:val="869"/>
        <w:pBdr/>
        <w:spacing/>
        <w:ind/>
        <w:jc w:val="center"/>
        <w:rPr/>
      </w:pPr>
      <w:r>
        <w:t xml:space="preserve">Figure </w:t>
      </w:r>
      <w:r>
        <w:fldChar w:fldCharType="begin"/>
        <w:instrText xml:space="preserve"> SEQ Figure \* Arabic </w:instrText>
        <w:fldChar w:fldCharType="separate"/>
      </w:r>
      <w:r>
        <w:t xml:space="preserve">1</w:t>
      </w:r>
      <w:r/>
      <w:r>
        <w:fldChar w:fldCharType="end"/>
      </w:r>
      <w:r>
        <w:t xml:space="preserve">: JV curves of all the light intensities given in the data set </w:t>
      </w:r>
      <w:r/>
    </w:p>
    <w:p>
      <w:pPr>
        <w:pStyle w:val="869"/>
        <w:pBdr/>
        <w:spacing/>
        <w:ind/>
        <w:jc w:val="center"/>
        <w:rPr/>
      </w:pPr>
      <w:r/>
      <w:r>
        <mc:AlternateContent>
          <mc:Choice Requires="wpg">
            <w:drawing>
              <wp:inline xmlns:wp="http://schemas.openxmlformats.org/drawingml/2006/wordprocessingDrawing" distT="0" distB="0" distL="0" distR="0">
                <wp:extent cx="5731510" cy="3313284"/>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55148" name=""/>
                        <pic:cNvPicPr>
                          <a:picLocks noChangeAspect="1"/>
                        </pic:cNvPicPr>
                        <pic:nvPr/>
                      </pic:nvPicPr>
                      <pic:blipFill rotWithShape="1">
                        <a:blip r:embed="rId10"/>
                        <a:stretch/>
                      </pic:blipFill>
                      <pic:spPr bwMode="auto">
                        <a:xfrm>
                          <a:off x="0" y="0"/>
                          <a:ext cx="5731509" cy="33132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60.89pt;mso-wrap-distance-left:0.00pt;mso-wrap-distance-top:0.00pt;mso-wrap-distance-right:0.00pt;mso-wrap-distance-bottom:0.00pt;z-index:1;" stroked="false">
                <v:imagedata r:id="rId10" o:title=""/>
                <o:lock v:ext="edit" rotation="t"/>
              </v:shape>
            </w:pict>
          </mc:Fallback>
        </mc:AlternateContent>
      </w:r>
      <w:r/>
      <w:r/>
    </w:p>
    <w:p>
      <w:pPr>
        <w:pStyle w:val="869"/>
        <w:pBdr/>
        <w:spacing/>
        <w:ind/>
        <w:jc w:val="center"/>
        <w:rPr/>
      </w:pPr>
      <w:r>
        <w:t xml:space="preserve">Figure </w:t>
      </w:r>
      <w:r>
        <w:fldChar w:fldCharType="begin"/>
        <w:instrText xml:space="preserve"> SEQ Figure \* Arabic </w:instrText>
        <w:fldChar w:fldCharType="separate"/>
      </w:r>
      <w:r>
        <w:t xml:space="preserve">2</w:t>
      </w:r>
      <w:r/>
      <w:r>
        <w:fldChar w:fldCharType="end"/>
      </w:r>
      <w:r>
        <w:t xml:space="preserve">: JV curves of light intensities 10%, 50% and 100% with Maximum Power Point Labelled as MPP</w:t>
      </w:r>
      <w:r/>
    </w:p>
    <w:p>
      <w:pPr>
        <w:pBdr/>
        <w:spacing/>
        <w:ind/>
        <w:rPr/>
      </w:pPr>
      <w:r>
        <w:rPr>
          <w:highlight w:val="none"/>
        </w:rPr>
      </w:r>
      <w:r>
        <w:rPr>
          <w:highlight w:val="none"/>
        </w:rPr>
      </w: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mc:AlternateContent>
          <mc:Choice Requires="wpg">
            <w:drawing>
              <wp:inline xmlns:wp="http://schemas.openxmlformats.org/drawingml/2006/wordprocessingDrawing" distT="0" distB="0" distL="0" distR="0">
                <wp:extent cx="5731510" cy="331504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83727" name=""/>
                        <pic:cNvPicPr>
                          <a:picLocks noChangeAspect="1"/>
                        </pic:cNvPicPr>
                        <pic:nvPr/>
                      </pic:nvPicPr>
                      <pic:blipFill rotWithShape="1">
                        <a:blip r:embed="rId11"/>
                        <a:stretch/>
                      </pic:blipFill>
                      <pic:spPr bwMode="auto">
                        <a:xfrm>
                          <a:off x="0" y="0"/>
                          <a:ext cx="5731509" cy="33150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1.30pt;height:261.03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Style w:val="869"/>
        <w:pBdr/>
        <w:spacing/>
        <w:ind/>
        <w:rPr/>
      </w:pPr>
      <w:r>
        <w:t xml:space="preserve">Figure </w:t>
      </w:r>
      <w:r>
        <w:fldChar w:fldCharType="begin"/>
        <w:instrText xml:space="preserve"> SEQ Figure \* Arabic </w:instrText>
        <w:fldChar w:fldCharType="separate"/>
      </w:r>
      <w:r>
        <w:t xml:space="preserve">3</w:t>
      </w:r>
      <w:r/>
      <w:r>
        <w:fldChar w:fldCharType="end"/>
      </w:r>
      <w:r>
        <w:t xml:space="preserve">: Power-Voltage plots of light intensities 10%, 50% and 100% with Max Power Point Labelled as MPP </w:t>
      </w:r>
      <w:r/>
    </w:p>
    <w:p>
      <w:pPr>
        <w:pBdr/>
        <w:spacing/>
        <w:ind/>
        <w:rPr>
          <w:highlight w:val="none"/>
        </w:rPr>
      </w:pPr>
      <w:r>
        <w:t xml:space="preserve">From zooming into the graphs, the values in the table below can be deduced for the different light intensities.</w:t>
      </w:r>
      <w:r>
        <w:rPr>
          <w:highlight w:val="none"/>
        </w:rPr>
      </w:r>
      <w:r>
        <w:rPr>
          <w:highlight w:val="none"/>
        </w:rPr>
      </w:r>
    </w:p>
    <w:tbl>
      <w:tblPr>
        <w:tblStyle w:val="705"/>
        <w:tblW w:w="0" w:type="auto"/>
        <w:tblBorders/>
        <w:tblLayout w:type="fixed"/>
        <w:tblLook w:val="04A0" w:firstRow="1" w:lastRow="0" w:firstColumn="1" w:lastColumn="0" w:noHBand="0" w:noVBand="1"/>
      </w:tblPr>
      <w:tblGrid>
        <w:gridCol w:w="686"/>
        <w:gridCol w:w="2693"/>
        <w:gridCol w:w="2835"/>
        <w:gridCol w:w="2812"/>
      </w:tblGrid>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r>
              <w:rPr>
                <w:b w:val="0"/>
                <w:bCs w:val="0"/>
                <w:highlight w:val="none"/>
              </w:rPr>
            </w:r>
          </w:p>
        </w:tc>
        <w:tc>
          <w:tcPr>
            <w:gridSpan w:val="3"/>
            <w:tcBorders/>
            <w:tcW w:w="8340" w:type="dxa"/>
            <w:vMerge w:val="restart"/>
            <w:textDirection w:val="lrTb"/>
            <w:noWrap w:val="false"/>
          </w:tcPr>
          <w:p>
            <w:pPr>
              <w:pBdr/>
              <w:spacing/>
              <w:ind/>
              <w:jc w:val="center"/>
              <w:rPr>
                <w:b/>
                <w:bCs/>
                <w:highlight w:val="none"/>
                <w:u w:val="single"/>
              </w:rPr>
            </w:pPr>
            <w:r>
              <w:rPr>
                <w:b/>
                <w:bCs/>
                <w:highlight w:val="none"/>
                <w:u w:val="single"/>
              </w:rPr>
              <w:t xml:space="preserve">Light intensities</w:t>
            </w:r>
            <w:r>
              <w:rPr>
                <w:b/>
                <w:bCs/>
                <w:highlight w:val="none"/>
                <w:u w:val="single"/>
              </w:rPr>
            </w:r>
            <w:r>
              <w:rPr>
                <w:b/>
                <w:bCs/>
                <w:highlight w:val="none"/>
                <w:u w:val="single"/>
              </w:rPr>
            </w:r>
          </w:p>
        </w:tc>
      </w:tr>
      <w:tr>
        <w:trPr/>
        <w:tc>
          <w:tcPr>
            <w:tcBorders/>
            <w:tcW w:w="686" w:type="dxa"/>
            <w:vMerge w:val="continue"/>
            <w:textDirection w:val="lrTb"/>
            <w:noWrap w:val="false"/>
          </w:tcPr>
          <w:p>
            <w:pPr>
              <w:pBdr/>
              <w:spacing/>
              <w:ind/>
              <w:rPr/>
            </w:pPr>
            <w:r/>
            <w:r/>
          </w:p>
        </w:tc>
        <w:tc>
          <w:tcPr>
            <w:tcBorders/>
            <w:tcW w:w="2693"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m:t>
                </m:r>
              </m:oMath>
            </m:oMathPara>
            <w:r>
              <w:rPr>
                <w:b/>
                <w:bCs/>
                <w:highlight w:val="none"/>
                <w:u w:val="single"/>
              </w:rPr>
            </w:r>
            <w:r>
              <w:rPr>
                <w:b/>
                <w:bCs/>
                <w:highlight w:val="none"/>
                <w:u w:val="single"/>
              </w:rPr>
            </w:r>
          </w:p>
        </w:tc>
        <w:tc>
          <w:tcPr>
            <w:tcBorders/>
            <w:tcW w:w="2835"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50%</m:t>
                </m:r>
              </m:oMath>
            </m:oMathPara>
            <w:r>
              <w:rPr>
                <w:b/>
                <w:bCs/>
                <w:highlight w:val="none"/>
                <w:u w:val="single"/>
              </w:rPr>
            </w:r>
            <w:r>
              <w:rPr>
                <w:b/>
                <w:bCs/>
                <w:highlight w:val="none"/>
                <w:u w:val="single"/>
              </w:rPr>
            </w:r>
          </w:p>
        </w:tc>
        <w:tc>
          <w:tcPr>
            <w:tcBorders/>
            <w:tcW w:w="2812"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100%</m:t>
                </m:r>
              </m:oMath>
            </m:oMathPara>
            <w:r>
              <w:rPr>
                <w:b/>
                <w:bCs/>
                <w:highlight w:val="none"/>
                <w:u w:val="single"/>
              </w:rPr>
            </w:r>
            <w:r>
              <w:rPr>
                <w:b/>
                <w:bCs/>
                <w:highlight w:val="none"/>
                <w:u w:val="single"/>
              </w:rPr>
            </w:r>
          </w:p>
        </w:tc>
      </w:tr>
      <w:tr>
        <w:trPr/>
        <w:tc>
          <w:tcPr>
            <w:tcBorders/>
            <w:tcW w:w="686" w:type="dxa"/>
            <w:textDirection w:val="lrTb"/>
            <w:noWrap w:val="false"/>
          </w:tcPr>
          <w:p>
            <w:pPr>
              <w:pBdr/>
              <w:spacing/>
              <w:ind/>
              <w:jc w:val="center"/>
              <w:rPr>
                <w:b/>
                <w:bCs/>
                <w:highlight w:val="none"/>
                <w:u w:val="none"/>
              </w:rPr>
            </w:pPr>
            <w:r>
              <w:rPr>
                <w:b w:val="0"/>
                <w:bCs w:val="0"/>
                <w:highlight w:val="none"/>
              </w:rPr>
            </w:r>
            <m:oMathPara>
              <m:oMathParaPr>
                <m:jc m:val="center"/>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bi"/>
                      </m:rPr>
                      <m:t>V</m:t>
                    </m:r>
                  </m:e>
                  <m:sub>
                    <m:r>
                      <w:rPr>
                        <w:rFonts w:hint="default" w:ascii="Cambria Math" w:hAnsi="Cambria Math" w:eastAsia="Cambria Math" w:cs="Cambria Math"/>
                        <w:highlight w:val="none"/>
                        <w:u w:val="none"/>
                      </w:rPr>
                      <m:rPr>
                        <m:sty m:val="bi"/>
                      </m:rPr>
                      <m:t>OC</m:t>
                    </m:r>
                  </m:sub>
                </m:sSub>
              </m:oMath>
            </m:oMathPara>
            <w:r>
              <w:rPr>
                <w:b/>
                <w:bCs/>
                <w:highlight w:val="none"/>
                <w:u w:val="none"/>
              </w:rPr>
            </w:r>
            <w:r>
              <w:rPr>
                <w:b/>
                <w:bCs/>
                <w:highlight w:val="none"/>
                <w:u w:val="none"/>
              </w:rPr>
            </w:r>
          </w:p>
        </w:tc>
        <w:tc>
          <w:tcPr>
            <w:tcBorders/>
            <w:tcW w:w="2693"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0.98V</m:t>
                </m:r>
              </m:oMath>
            </m:oMathPara>
            <w:r>
              <w:rPr>
                <w:b w:val="0"/>
                <w:bCs w:val="0"/>
                <w:highlight w:val="none"/>
              </w:rPr>
            </w:r>
            <w:r>
              <w:rPr>
                <w:b w:val="0"/>
                <w:bCs w:val="0"/>
                <w:highlight w:val="none"/>
              </w:rPr>
            </w:r>
          </w:p>
        </w:tc>
        <w:tc>
          <w:tcPr>
            <w:tcBorders/>
            <w:tcW w:w="2835"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1.04V</m:t>
                </m:r>
              </m:oMath>
            </m:oMathPara>
            <w:r>
              <w:rPr>
                <w:b w:val="0"/>
                <w:bCs w:val="0"/>
                <w:highlight w:val="none"/>
              </w:rPr>
            </w:r>
            <w:r>
              <w:rPr>
                <w:b w:val="0"/>
                <w:bCs w:val="0"/>
                <w:highlight w:val="none"/>
              </w:rPr>
            </w:r>
          </w:p>
        </w:tc>
        <w:tc>
          <w:tcPr>
            <w:tcBorders/>
            <w:tcW w:w="2812"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1.06V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J</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2.7mAcm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12.2mAcm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23.3mAcm</m:t>
                    </m:r>
                  </m:e>
                  <m:sup>
                    <m:r>
                      <w:rPr>
                        <w:rFonts w:ascii="Cambria Math" w:hAnsi="Cambria Math" w:eastAsia="Cambria Math" w:cs="Cambria Math"/>
                      </w:rPr>
                      <m:rPr/>
                      <m:t>-2</m:t>
                    </m:r>
                  </m:sup>
                </m:sSup>
              </m:oMath>
            </m:oMathPara>
            <w:r>
              <w:rPr>
                <w:b w:val="0"/>
                <w:bCs w:val="0"/>
                <w:highlight w:val="none"/>
              </w:rPr>
            </w:r>
            <w:r>
              <w:rPr>
                <w:b w:val="0"/>
                <w:bCs w:val="0"/>
                <w:highlight w:val="none"/>
              </w:rPr>
            </w:r>
          </w:p>
        </w:tc>
      </w:tr>
      <w:tr>
        <w:trPr>
          <w:trHeight w:val="686"/>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u w:val="none"/>
                  </w:rPr>
                  <m:rPr/>
                  <m:t>=</m:t>
                </m:r>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u w:val="none"/>
                  </w:rPr>
                  <m:rPr>
                    <m:sty m:val="i"/>
                  </m:rPr>
                  <m:t>×Area=-2.7</m:t>
                </m:r>
                <m:r>
                  <w:rPr>
                    <w:rFonts w:hint="default" w:ascii="Cambria Math" w:hAnsi="Cambria Math" w:eastAsia="Cambria Math" w:cs="Cambria Math"/>
                    <w:highlight w:val="none"/>
                    <w:u w:val="none"/>
                  </w:rPr>
                  <m:rPr>
                    <m:sty m:val="i"/>
                  </m:rPr>
                  <m:t>×</m:t>
                </m:r>
                <m:r>
                  <w:rPr>
                    <w:rFonts w:hint="default" w:ascii="Cambria Math" w:hAnsi="Cambria Math" w:eastAsia="Cambria Math" w:cs="Cambria Math"/>
                    <w:highlight w:val="none"/>
                    <w:u w:val="none"/>
                  </w:rPr>
                  <m:rPr>
                    <m:sty m:val="i"/>
                  </m:rPr>
                  <m:t>0.045</m:t>
                </m:r>
                <m:r>
                  <w:rPr>
                    <w:rFonts w:hint="default" w:ascii="Cambria Math" w:hAnsi="Cambria Math" w:eastAsia="Cambria Math" w:cs="Cambria Math"/>
                    <w:highlight w:val="none"/>
                    <w:u w:val="none"/>
                  </w:rPr>
                  <m:rPr>
                    <m:sty m:val="i"/>
                  </m:rPr>
                  <m:t> =</m:t>
                </m:r>
                <m:r>
                  <w:rPr>
                    <w:rFonts w:hint="default" w:ascii="Cambria Math" w:hAnsi="Cambria Math" w:eastAsia="Cambria Math" w:cs="Cambria Math"/>
                    <w:highlight w:val="none"/>
                    <w:u w:val="none"/>
                  </w:rPr>
                  <m:rPr>
                    <m:sty m:val="bi"/>
                  </m:rPr>
                  <m:t>-0.122mA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m:t>
                </m:r>
                <m:r>
                  <w:rPr>
                    <w:rFonts w:hint="default" w:ascii="Cambria Math" w:hAnsi="Cambria Math" w:eastAsia="Cambria Math" w:cs="Cambria Math"/>
                    <w:highlight w:val="none"/>
                  </w:rPr>
                  <m:rPr>
                    <m:sty m:val="i"/>
                  </m:rPr>
                  <m:t>12.2×0.045 =</m:t>
                </m:r>
                <m:r>
                  <w:rPr>
                    <w:rFonts w:hint="default" w:ascii="Cambria Math" w:hAnsi="Cambria Math" w:eastAsia="Cambria Math" w:cs="Cambria Math"/>
                    <w:highlight w:val="none"/>
                  </w:rPr>
                  <m:rPr>
                    <m:sty m:val="bi"/>
                  </m:rPr>
                  <m:t>-0.549mA</m:t>
                </m:r>
              </m:oMath>
            </m:oMathPara>
            <w:r>
              <w:rPr>
                <w:b/>
                <w:bCs/>
                <w:highlight w:val="none"/>
              </w:rPr>
            </w:r>
            <w:r>
              <w:rPr>
                <w:b/>
                <w:bCs/>
                <w:highlight w:val="none"/>
              </w:rPr>
            </w:r>
          </w:p>
        </w:tc>
        <w:tc>
          <w:tcPr>
            <w:tcBorders/>
            <w:tcW w:w="2812"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×Area=-23.3</m:t>
                </m:r>
                <m:r>
                  <w:rPr>
                    <w:rFonts w:hint="default" w:ascii="Cambria Math" w:hAnsi="Cambria Math" w:eastAsia="Cambria Math" w:cs="Cambria Math"/>
                    <w:highlight w:val="none"/>
                  </w:rPr>
                  <m:rPr>
                    <m:sty m:val="i"/>
                  </m:rPr>
                  <m:t>×0.045 =</m:t>
                </m:r>
                <m:r>
                  <w:rPr>
                    <w:rFonts w:hint="default" w:ascii="Cambria Math" w:hAnsi="Cambria Math" w:eastAsia="Cambria Math" w:cs="Cambria Math"/>
                    <w:highlight w:val="none"/>
                  </w:rPr>
                  <m:rPr>
                    <m:sty m:val="bi"/>
                  </m:rPr>
                  <m:t>-1.049mA</m:t>
                </m:r>
              </m:oMath>
            </m:oMathPara>
            <w:r>
              <w:rPr>
                <w:b/>
                <w:bCs/>
                <w:highlight w:val="none"/>
              </w:rPr>
            </w:r>
            <w:r>
              <w:rPr>
                <w:b/>
                <w:bCs/>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V</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0.85V</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-0.11mA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-0.51mA</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-0.97mA</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FF</m:t>
                </m:r>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0.85(0.11)</m:t>
                    </m:r>
                  </m:num>
                  <m:den>
                    <m:r>
                      <w:rPr>
                        <w:rFonts w:hint="default" w:ascii="Cambria Math" w:hAnsi="Cambria Math" w:eastAsia="Cambria Math" w:cs="Cambria Math"/>
                        <w:highlight w:val="none"/>
                      </w:rPr>
                      <m:rPr/>
                      <m:t>0.98(0.122)</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78.2%</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0.89(0.51)</m:t>
                    </m:r>
                  </m:num>
                  <m:den>
                    <m:r>
                      <w:rPr>
                        <w:rFonts w:hint="default" w:ascii="Cambria Math" w:hAnsi="Cambria Math" w:eastAsia="Cambria Math" w:cs="Cambria Math"/>
                        <w:highlight w:val="none"/>
                      </w:rPr>
                      <m:rPr/>
                      <m:t>1.04(0.549)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79.5%</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0.89(0.97)</m:t>
                    </m:r>
                  </m:num>
                  <m:den>
                    <m:r>
                      <w:rPr>
                        <w:rFonts w:hint="default" w:ascii="Cambria Math" w:hAnsi="Cambria Math" w:eastAsia="Cambria Math" w:cs="Cambria Math"/>
                        <w:highlight w:val="none"/>
                      </w:rPr>
                      <m:rPr/>
                      <m:t>1.06(1.049)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77.6%</m:t>
                </m:r>
              </m:oMath>
            </m:oMathPara>
            <w:r>
              <w:rPr>
                <w:b w:val="0"/>
                <w:bCs w:val="0"/>
                <w:highlight w:val="none"/>
              </w:rPr>
            </w:r>
            <w:r>
              <w:rPr>
                <w:b w:val="0"/>
                <w:bCs w:val="0"/>
                <w:highlight w:val="none"/>
              </w:rPr>
            </w:r>
          </w:p>
          <w:p>
            <w:pPr>
              <w:pBdr/>
              <w:spacing/>
              <w:ind/>
              <w:jc w:val="left"/>
              <w:rPr>
                <w:b w:val="0"/>
                <w:bCs w:val="0"/>
                <w:highlight w:val="none"/>
              </w:rPr>
            </w:pPr>
            <w:r>
              <w:rPr>
                <w:b w:val="0"/>
                <w:bCs w:val="0"/>
                <w:highlight w:val="none"/>
              </w:rPr>
            </w:r>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η</m:t>
                </m:r>
              </m:oMath>
            </m:oMathPara>
            <w:r>
              <w:rPr>
                <w:b/>
                <w:bCs/>
                <w:highlight w:val="none"/>
              </w:rPr>
            </w:r>
            <w:r>
              <w:rPr>
                <w:b/>
                <w:bCs/>
                <w:highlight w:val="none"/>
              </w:rPr>
            </w:r>
          </w:p>
        </w:tc>
        <w:tc>
          <w:tcPr>
            <w:tcBorders/>
            <w:tcW w:w="2693" w:type="dxa"/>
            <w:vMerge w:val="restart"/>
            <w:textDirection w:val="lrTb"/>
            <w:noWrap w:val="false"/>
          </w:tcPr>
          <w:p>
            <w:pPr>
              <w:pBdr/>
              <w:spacing/>
              <w:ind/>
              <w:jc w:val="center"/>
              <w:rPr>
                <w:b/>
                <w:bCs/>
                <w:highlight w:val="none"/>
              </w:rPr>
            </w:pP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0.98(0.122)(0.782)</m:t>
                    </m:r>
                  </m:num>
                  <m:den>
                    <m:r>
                      <w:rPr>
                        <w:rFonts w:hint="default" w:ascii="Cambria Math" w:hAnsi="Cambria Math" w:eastAsia="Cambria Math" w:cs="Cambria Math"/>
                        <w:highlight w:val="none"/>
                      </w:rPr>
                      <m:rPr/>
                      <m:t>10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20.8%</m:t>
                </m:r>
              </m:oMath>
            </m:oMathPara>
            <w:r>
              <w:rPr>
                <w:b w:val="0"/>
                <w:bCs w:val="0"/>
                <w:highlight w:val="none"/>
              </w:rPr>
            </w:r>
            <w:r>
              <w:rPr>
                <w:b/>
                <w:bCs/>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1.04(0.549)(0.795)</m:t>
                    </m:r>
                  </m:num>
                  <m:den>
                    <m:r>
                      <w:rPr>
                        <w:rFonts w:hint="default" w:ascii="Cambria Math" w:hAnsi="Cambria Math" w:eastAsia="Cambria Math" w:cs="Cambria Math"/>
                        <w:highlight w:val="none"/>
                      </w:rPr>
                      <m:rPr/>
                      <m:t>50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20.2%</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1.06(1.049)(0.776)</m:t>
                    </m:r>
                  </m:num>
                  <m:den>
                    <m:r>
                      <w:rPr>
                        <w:rFonts w:hint="default" w:ascii="Cambria Math" w:hAnsi="Cambria Math" w:eastAsia="Cambria Math" w:cs="Cambria Math"/>
                        <w:highlight w:val="none"/>
                      </w:rPr>
                      <m:rPr/>
                      <m:t>100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19.2%</m:t>
                </m:r>
              </m:oMath>
            </m:oMathPara>
            <w:r>
              <w:rPr>
                <w:b w:val="0"/>
                <w:bCs w:val="0"/>
                <w:highlight w:val="none"/>
              </w:rPr>
            </w:r>
            <w:r>
              <w:rPr>
                <w:b w:val="0"/>
                <w:bCs w:val="0"/>
                <w:highlight w:val="none"/>
              </w:rPr>
            </w:r>
          </w:p>
        </w:tc>
      </w:tr>
    </w:tbl>
    <w:p>
      <w:pPr>
        <w:pStyle w:val="831"/>
        <w:pBdr/>
        <w:spacing/>
        <w:ind/>
        <w:rPr>
          <w:b w:val="0"/>
          <w:bCs w:val="0"/>
          <w:highlight w:val="none"/>
        </w:rPr>
      </w:pPr>
      <w:r>
        <w:rPr>
          <w:b w:val="0"/>
          <w:bCs w:val="0"/>
          <w:highlight w:val="none"/>
        </w:rPr>
        <w:t xml:space="preserve">Discussion &amp; Interpretation</w:t>
      </w:r>
      <w:r>
        <w:rPr>
          <w:b w:val="0"/>
          <w:bCs w:val="0"/>
          <w:highlight w:val="none"/>
        </w:rPr>
      </w:r>
      <w:r>
        <w:rPr>
          <w:b w:val="0"/>
          <w:bCs w:val="0"/>
          <w:highlight w:val="none"/>
        </w:rPr>
      </w:r>
    </w:p>
    <w:p>
      <w:pPr>
        <w:pBdr/>
        <w:spacing/>
        <w:ind/>
        <w:rPr/>
      </w:pPr>
      <w:r>
        <w:rPr>
          <w:b w:val="0"/>
          <w:bCs w:val="0"/>
          <w:highlight w:val="none"/>
        </w:rPr>
        <w:t xml:space="preserve">Light intensity is directly proportional to the rate of photon incidence on the solar cell in photons per second per unit area. Current is induced when </w:t>
      </w:r>
      <w:r>
        <w:rPr>
          <w:b w:val="0"/>
          <w:bCs w:val="0"/>
          <w:highlight w:val="none"/>
        </w:rPr>
        <w:t xml:space="preserve">an electron absorbs a photon with energy larger than or equal to the bandgap of the material exciting it from the valence to the conduction band. Assuming all the excited electrons contribute to the photocurrent at short circuit condition, this would mean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is directly proportional the light intensity.</w:t>
      </w:r>
      <w:r/>
    </w:p>
    <w:p>
      <w:pPr>
        <w:pBdr/>
        <w:spacing/>
        <w:ind/>
        <w:rPr>
          <w:b w:val="0"/>
          <w:bCs w:val="0"/>
          <w:highlight w:val="none"/>
        </w:rPr>
      </w:pPr>
      <w:r>
        <w:rPr>
          <w:b w:val="0"/>
          <w:bCs w:val="0"/>
          <w:highlight w:val="none"/>
        </w:rPr>
        <w:t xml:space="preserve">Qs:</w:t>
      </w:r>
      <w:r>
        <w:rPr>
          <w:b w:val="0"/>
          <w:bCs w:val="0"/>
          <w:highlight w:val="none"/>
        </w:rPr>
      </w:r>
      <w:r>
        <w:rPr>
          <w:b w:val="0"/>
          <w:bCs w:val="0"/>
          <w:highlight w:val="none"/>
        </w:rPr>
      </w:r>
    </w:p>
    <w:p>
      <w:pPr>
        <w:pBdr/>
        <w:spacing/>
        <w:ind/>
        <w:rPr>
          <w:b w:val="0"/>
          <w:bCs w:val="0"/>
          <w:highlight w:val="none"/>
        </w:rPr>
      </w:pPr>
      <w:r>
        <w:rPr>
          <w:b w:val="0"/>
          <w:bCs w:val="0"/>
          <w:highlight w:val="none"/>
        </w:rPr>
        <w:t xml:space="preserve">One or multiple plots for JV</w:t>
      </w:r>
      <w:r>
        <w:rPr>
          <w:b w:val="0"/>
          <w:bCs w:val="0"/>
          <w:highlight w:val="none"/>
        </w:rPr>
        <w:t xml:space="preserve"> - One</w:t>
      </w:r>
      <w:r>
        <w:rPr>
          <w:b w:val="0"/>
          <w:bCs w:val="0"/>
          <w:highlight w:val="none"/>
        </w:rPr>
      </w:r>
      <w:r>
        <w:rPr>
          <w:b w:val="0"/>
          <w:bCs w:val="0"/>
          <w:highlight w:val="none"/>
        </w:rPr>
      </w:r>
    </w:p>
    <w:p>
      <w:pPr>
        <w:pBdr/>
        <w:spacing/>
        <w:ind/>
        <w:rPr>
          <w:b w:val="0"/>
          <w:bCs w:val="0"/>
          <w:highlight w:val="none"/>
        </w:rPr>
      </w:pPr>
      <w:r>
        <w:rPr>
          <w:b w:val="0"/>
          <w:bCs w:val="0"/>
          <w:highlight w:val="none"/>
        </w:rPr>
        <w:t xml:space="preserve">Power plots</w:t>
      </w:r>
      <w:r>
        <w:rPr>
          <w:b w:val="0"/>
          <w:bCs w:val="0"/>
          <w:highlight w:val="none"/>
        </w:rPr>
        <w:t xml:space="preserve"> – show MPP point</w:t>
      </w:r>
      <w:r>
        <w:rPr>
          <w:b w:val="0"/>
          <w:bCs w:val="0"/>
          <w:highlight w:val="none"/>
        </w:rPr>
      </w:r>
      <w:r>
        <w:rPr>
          <w:b w:val="0"/>
          <w:bCs w:val="0"/>
          <w:highlight w:val="none"/>
        </w:rPr>
      </w:r>
    </w:p>
    <w:p>
      <w:pPr>
        <w:pBdr/>
        <w:spacing/>
        <w:ind/>
        <w:rPr>
          <w:b w:val="0"/>
          <w:bCs w:val="0"/>
          <w:highlight w:val="none"/>
        </w:rPr>
      </w:pPr>
      <w:r>
        <w:rPr>
          <w:b w:val="0"/>
          <w:bCs w:val="0"/>
          <w:highlight w:val="none"/>
        </w:rPr>
        <w:t xml:space="preserve">Show values in table on graph or just state them</w:t>
      </w:r>
      <w:r>
        <w:rPr>
          <w:b w:val="0"/>
          <w:bCs w:val="0"/>
          <w:highlight w:val="none"/>
        </w:rPr>
        <w:t xml:space="preserve"> – Fine except MPP</w:t>
      </w:r>
      <w:r>
        <w:rPr>
          <w:b w:val="0"/>
          <w:bCs w:val="0"/>
          <w:highlight w:val="none"/>
        </w:rPr>
      </w:r>
      <w:r>
        <w:rPr>
          <w:b w:val="0"/>
          <w:bCs w:val="0"/>
          <w:highlight w:val="none"/>
        </w:rPr>
      </w:r>
    </w:p>
    <w:p>
      <w:pPr>
        <w:pBdr/>
        <w:spacing/>
        <w:ind/>
        <w:rPr>
          <w:b w:val="0"/>
          <w:bCs w:val="0"/>
          <w:highlight w:val="none"/>
        </w:rPr>
      </w:pPr>
      <w:r>
        <w:rPr>
          <w:b w:val="0"/>
          <w:bCs w:val="0"/>
          <w:highlight w:val="none"/>
        </w:rPr>
        <w:t xml:space="preserve">P_in for efficiency calculation -</w:t>
      </w:r>
      <w:r>
        <w:rPr>
          <w:b w:val="0"/>
          <w:bCs w:val="0"/>
          <w:highlight w:val="none"/>
        </w:rPr>
        <w:t xml:space="preserve"> % in mW/cm^2</w:t>
      </w:r>
      <w:r>
        <w:rPr>
          <w:b w:val="0"/>
          <w:bCs w:val="0"/>
          <w:highlight w:val="none"/>
        </w:rPr>
      </w:r>
      <w:r>
        <w:rPr>
          <w:b w:val="0"/>
          <w:bCs w:val="0"/>
          <w:highlight w:val="none"/>
        </w:rPr>
      </w:r>
    </w:p>
    <w:p>
      <w:pPr>
        <w:pBdr/>
        <w:spacing/>
        <w:ind/>
        <w:rPr>
          <w:b w:val="0"/>
          <w:bCs w:val="0"/>
          <w:highlight w:val="none"/>
        </w:rPr>
      </w:pPr>
      <w:r>
        <w:rPr>
          <w:b w:val="0"/>
          <w:bCs w:val="0"/>
          <w:highlight w:val="none"/>
        </w:rPr>
      </w:r>
      <w:r>
        <w:rPr>
          <w:b w:val="0"/>
          <w:bCs w:val="0"/>
          <w:highlight w:val="none"/>
        </w:rPr>
      </w:r>
      <w:r>
        <w:rPr>
          <w:b w:val="0"/>
          <w:bCs w:val="0"/>
          <w:highlight w:val="none"/>
        </w:rPr>
      </w:r>
    </w:p>
    <w:p>
      <w:pPr>
        <w:pStyle w:val="831"/>
        <w:pBdr/>
        <w:spacing/>
        <w:ind/>
        <w:rPr>
          <w:b w:val="0"/>
          <w:bCs w:val="0"/>
          <w:highlight w:val="none"/>
        </w:rPr>
      </w:pPr>
      <w:r>
        <w:rPr>
          <w:b w:val="0"/>
          <w:bCs w:val="0"/>
          <w:highlight w:val="none"/>
        </w:rPr>
      </w:r>
      <w:r>
        <w:rPr>
          <w:b w:val="0"/>
          <w:bCs w:val="0"/>
          <w:highlight w:val="none"/>
        </w:rPr>
        <w:t xml:space="preserve">References</w:t>
      </w:r>
      <w:r>
        <w:rPr>
          <w:b w:val="0"/>
          <w:bCs w:val="0"/>
          <w:highlight w:val="none"/>
        </w:rPr>
      </w:r>
      <w:r>
        <w:rPr>
          <w:b w:val="0"/>
          <w:bCs w:val="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12" w:tooltip="https://doi.org/10.1021/acs.chemrev.6b00136" w:history="1">
        <w:r>
          <w:rPr>
            <w:rStyle w:val="876"/>
            <w:rFonts w:ascii="Arial" w:hAnsi="Arial" w:eastAsia="Arial" w:cs="Arial"/>
            <w:b w:val="0"/>
            <w:bCs w:val="0"/>
            <w:sz w:val="22"/>
            <w:szCs w:val="20"/>
          </w:rPr>
          <w:t xml:space="preserve">https://doi.org/10.1021/acs.chemrev.6b00136</w:t>
        </w:r>
        <w:r>
          <w:rPr>
            <w:rStyle w:val="876"/>
            <w:rFonts w:ascii="Arial" w:hAnsi="Arial" w:eastAsia="Arial" w:cs="Arial"/>
            <w:b w:val="0"/>
            <w:bCs w:val="0"/>
            <w:sz w:val="20"/>
            <w:szCs w:val="20"/>
          </w:rPr>
        </w:r>
        <w:r>
          <w:rPr>
            <w:rStyle w:val="876"/>
            <w:rFonts w:ascii="Arial" w:hAnsi="Arial" w:cs="Arial"/>
            <w:b w:val="0"/>
            <w:bCs w:val="0"/>
            <w:sz w:val="22"/>
            <w:szCs w:val="20"/>
          </w:rPr>
        </w:r>
      </w:hyperlink>
      <w:r>
        <w:rPr>
          <w:rFonts w:ascii="Arial" w:hAnsi="Arial" w:eastAsia="Arial" w:cs="Arial"/>
          <w:b w:val="0"/>
          <w:bCs w:val="0"/>
          <w:sz w:val="20"/>
          <w:szCs w:val="20"/>
          <w:highlight w:val="none"/>
        </w:rPr>
      </w:r>
      <w:r>
        <w:rPr>
          <w:rFonts w:ascii="Arial" w:hAnsi="Arial" w:eastAsia="Arial" w:cs="Arial"/>
          <w:b w:val="0"/>
          <w:bCs w:val="0"/>
          <w:sz w:val="20"/>
          <w:szCs w:val="2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3" w:tooltip="https://doi.org/10.53894/ijirss.v8i8.10543" w:history="1">
        <w:r>
          <w:rPr>
            <w:rStyle w:val="876"/>
            <w:rFonts w:ascii="Arial" w:hAnsi="Arial" w:eastAsia="Arial" w:cs="Arial"/>
            <w:b w:val="0"/>
            <w:bCs w:val="0"/>
            <w:sz w:val="22"/>
            <w:szCs w:val="22"/>
          </w:rPr>
          <w:t xml:space="preserve">https://doi.org/10.53894/ijirss.v8i8.10543</w:t>
        </w:r>
        <w:r>
          <w:rPr>
            <w:rStyle w:val="876"/>
            <w:rFonts w:ascii="Arial" w:hAnsi="Arial" w:cs="Arial"/>
            <w:b w:val="0"/>
            <w:bCs w:val="0"/>
            <w:sz w:val="22"/>
            <w:szCs w:val="22"/>
          </w:rPr>
        </w:r>
      </w:hyperlink>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p>
    <w:p>
      <w:pPr>
        <w:pBdr/>
        <w:spacing/>
        <w:ind/>
        <w:rPr>
          <w:b w:val="0"/>
          <w:bCs w:val="0"/>
        </w:rPr>
      </w:pPr>
      <w:r>
        <w:rPr>
          <w:b w:val="0"/>
          <w:bCs w:val="0"/>
          <w:highlight w:val="none"/>
        </w:rPr>
      </w:r>
      <w:r>
        <w:rPr>
          <w:b w:val="0"/>
          <w:bCs w:val="0"/>
        </w:rPr>
      </w:r>
      <w:r>
        <w:rPr>
          <w:b w:val="0"/>
          <w:bCs w:val="0"/>
        </w:rPr>
      </w:r>
    </w:p>
    <w:sectPr>
      <w:footnotePr/>
      <w:endnotePr/>
      <w:type w:val="nextPage"/>
      <w:pgSz w:h="16838" w:orient="portrait" w:w="11906"/>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5">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6">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7">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8">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9">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0">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1"/>
    <w:basedOn w:val="890"/>
    <w:next w:val="890"/>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2">
    <w:name w:val="Heading 2"/>
    <w:basedOn w:val="890"/>
    <w:next w:val="890"/>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3">
    <w:name w:val="Heading 3"/>
    <w:basedOn w:val="890"/>
    <w:next w:val="890"/>
    <w:link w:val="8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4">
    <w:name w:val="Heading 4"/>
    <w:basedOn w:val="890"/>
    <w:next w:val="890"/>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5">
    <w:name w:val="Heading 5"/>
    <w:basedOn w:val="890"/>
    <w:next w:val="890"/>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6">
    <w:name w:val="Heading 6"/>
    <w:basedOn w:val="890"/>
    <w:next w:val="890"/>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7">
    <w:name w:val="Heading 7"/>
    <w:basedOn w:val="890"/>
    <w:next w:val="890"/>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90"/>
    <w:next w:val="890"/>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90"/>
    <w:next w:val="890"/>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character" w:styleId="841">
    <w:name w:val="Heading 1 Char"/>
    <w:basedOn w:val="840"/>
    <w:link w:val="831"/>
    <w:uiPriority w:val="9"/>
    <w:pPr>
      <w:pBdr/>
      <w:spacing/>
      <w:ind/>
    </w:pPr>
    <w:rPr>
      <w:rFonts w:ascii="Arial" w:hAnsi="Arial" w:eastAsia="Arial" w:cs="Arial"/>
      <w:color w:val="0f4761" w:themeColor="accent1" w:themeShade="BF"/>
      <w:sz w:val="40"/>
      <w:szCs w:val="40"/>
    </w:rPr>
  </w:style>
  <w:style w:type="character" w:styleId="842">
    <w:name w:val="Heading 2 Char"/>
    <w:basedOn w:val="840"/>
    <w:link w:val="832"/>
    <w:uiPriority w:val="9"/>
    <w:pPr>
      <w:pBdr/>
      <w:spacing/>
      <w:ind/>
    </w:pPr>
    <w:rPr>
      <w:rFonts w:ascii="Arial" w:hAnsi="Arial" w:eastAsia="Arial" w:cs="Arial"/>
      <w:color w:val="0f4761" w:themeColor="accent1" w:themeShade="BF"/>
      <w:sz w:val="32"/>
      <w:szCs w:val="32"/>
    </w:rPr>
  </w:style>
  <w:style w:type="character" w:styleId="843">
    <w:name w:val="Heading 3 Char"/>
    <w:basedOn w:val="840"/>
    <w:link w:val="833"/>
    <w:uiPriority w:val="9"/>
    <w:pPr>
      <w:pBdr/>
      <w:spacing/>
      <w:ind/>
    </w:pPr>
    <w:rPr>
      <w:rFonts w:ascii="Arial" w:hAnsi="Arial" w:eastAsia="Arial" w:cs="Arial"/>
      <w:color w:val="0f4761" w:themeColor="accent1" w:themeShade="BF"/>
      <w:sz w:val="28"/>
      <w:szCs w:val="28"/>
    </w:rPr>
  </w:style>
  <w:style w:type="character" w:styleId="844">
    <w:name w:val="Heading 4 Char"/>
    <w:basedOn w:val="840"/>
    <w:link w:val="834"/>
    <w:uiPriority w:val="9"/>
    <w:pPr>
      <w:pBdr/>
      <w:spacing/>
      <w:ind/>
    </w:pPr>
    <w:rPr>
      <w:rFonts w:ascii="Arial" w:hAnsi="Arial" w:eastAsia="Arial" w:cs="Arial"/>
      <w:i/>
      <w:iCs/>
      <w:color w:val="0f4761" w:themeColor="accent1" w:themeShade="BF"/>
    </w:rPr>
  </w:style>
  <w:style w:type="character" w:styleId="845">
    <w:name w:val="Heading 5 Char"/>
    <w:basedOn w:val="840"/>
    <w:link w:val="835"/>
    <w:uiPriority w:val="9"/>
    <w:pPr>
      <w:pBdr/>
      <w:spacing/>
      <w:ind/>
    </w:pPr>
    <w:rPr>
      <w:rFonts w:ascii="Arial" w:hAnsi="Arial" w:eastAsia="Arial" w:cs="Arial"/>
      <w:color w:val="0f4761" w:themeColor="accent1" w:themeShade="BF"/>
    </w:rPr>
  </w:style>
  <w:style w:type="character" w:styleId="846">
    <w:name w:val="Heading 6 Char"/>
    <w:basedOn w:val="840"/>
    <w:link w:val="836"/>
    <w:uiPriority w:val="9"/>
    <w:pPr>
      <w:pBdr/>
      <w:spacing/>
      <w:ind/>
    </w:pPr>
    <w:rPr>
      <w:rFonts w:ascii="Arial" w:hAnsi="Arial" w:eastAsia="Arial" w:cs="Arial"/>
      <w:i/>
      <w:iCs/>
      <w:color w:val="595959" w:themeColor="text1" w:themeTint="A6"/>
    </w:rPr>
  </w:style>
  <w:style w:type="character" w:styleId="847">
    <w:name w:val="Heading 7 Char"/>
    <w:basedOn w:val="840"/>
    <w:link w:val="837"/>
    <w:uiPriority w:val="9"/>
    <w:pPr>
      <w:pBdr/>
      <w:spacing/>
      <w:ind/>
    </w:pPr>
    <w:rPr>
      <w:rFonts w:ascii="Arial" w:hAnsi="Arial" w:eastAsia="Arial" w:cs="Arial"/>
      <w:color w:val="595959" w:themeColor="text1" w:themeTint="A6"/>
    </w:rPr>
  </w:style>
  <w:style w:type="character" w:styleId="848">
    <w:name w:val="Heading 8 Char"/>
    <w:basedOn w:val="840"/>
    <w:link w:val="838"/>
    <w:uiPriority w:val="9"/>
    <w:pPr>
      <w:pBdr/>
      <w:spacing/>
      <w:ind/>
    </w:pPr>
    <w:rPr>
      <w:rFonts w:ascii="Arial" w:hAnsi="Arial" w:eastAsia="Arial" w:cs="Arial"/>
      <w:i/>
      <w:iCs/>
      <w:color w:val="272727" w:themeColor="text1" w:themeTint="D8"/>
    </w:rPr>
  </w:style>
  <w:style w:type="character" w:styleId="849">
    <w:name w:val="Heading 9 Char"/>
    <w:basedOn w:val="840"/>
    <w:link w:val="839"/>
    <w:uiPriority w:val="9"/>
    <w:pPr>
      <w:pBdr/>
      <w:spacing/>
      <w:ind/>
    </w:pPr>
    <w:rPr>
      <w:rFonts w:ascii="Arial" w:hAnsi="Arial" w:eastAsia="Arial" w:cs="Arial"/>
      <w:i/>
      <w:iCs/>
      <w:color w:val="272727" w:themeColor="text1" w:themeTint="D8"/>
    </w:rPr>
  </w:style>
  <w:style w:type="paragraph" w:styleId="850">
    <w:name w:val="Title"/>
    <w:basedOn w:val="890"/>
    <w:next w:val="890"/>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40"/>
    <w:link w:val="850"/>
    <w:uiPriority w:val="10"/>
    <w:pPr>
      <w:pBdr/>
      <w:spacing/>
      <w:ind/>
    </w:pPr>
    <w:rPr>
      <w:rFonts w:ascii="Arial" w:hAnsi="Arial" w:eastAsia="Arial" w:cs="Arial"/>
      <w:spacing w:val="-10"/>
      <w:sz w:val="56"/>
      <w:szCs w:val="56"/>
    </w:rPr>
  </w:style>
  <w:style w:type="paragraph" w:styleId="852">
    <w:name w:val="Subtitle"/>
    <w:basedOn w:val="890"/>
    <w:next w:val="890"/>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90"/>
    <w:next w:val="890"/>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90"/>
    <w:next w:val="890"/>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character" w:styleId="860">
    <w:name w:val="Subtle Emphasis"/>
    <w:basedOn w:val="840"/>
    <w:uiPriority w:val="19"/>
    <w:qFormat/>
    <w:pPr>
      <w:pBdr/>
      <w:spacing/>
      <w:ind/>
    </w:pPr>
    <w:rPr>
      <w:i/>
      <w:iCs/>
      <w:color w:val="404040" w:themeColor="text1" w:themeTint="BF"/>
    </w:rPr>
  </w:style>
  <w:style w:type="character" w:styleId="861">
    <w:name w:val="Emphasis"/>
    <w:basedOn w:val="840"/>
    <w:uiPriority w:val="20"/>
    <w:qFormat/>
    <w:pPr>
      <w:pBdr/>
      <w:spacing/>
      <w:ind/>
    </w:pPr>
    <w:rPr>
      <w:i/>
      <w:iCs/>
    </w:rPr>
  </w:style>
  <w:style w:type="character" w:styleId="862">
    <w:name w:val="Strong"/>
    <w:basedOn w:val="840"/>
    <w:uiPriority w:val="22"/>
    <w:qFormat/>
    <w:pPr>
      <w:pBdr/>
      <w:spacing/>
      <w:ind/>
    </w:pPr>
    <w:rPr>
      <w:b/>
      <w:b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90"/>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90"/>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90"/>
    <w:next w:val="890"/>
    <w:uiPriority w:val="35"/>
    <w:unhideWhenUsed/>
    <w:qFormat/>
    <w:pPr>
      <w:pBdr/>
      <w:spacing w:after="200" w:line="240" w:lineRule="auto"/>
      <w:ind/>
    </w:pPr>
    <w:rPr>
      <w:i/>
      <w:iCs/>
      <w:color w:val="0e2841" w:themeColor="text2"/>
      <w:sz w:val="18"/>
      <w:szCs w:val="18"/>
    </w:rPr>
  </w:style>
  <w:style w:type="paragraph" w:styleId="870">
    <w:name w:val="footnote text"/>
    <w:basedOn w:val="890"/>
    <w:link w:val="871"/>
    <w:uiPriority w:val="99"/>
    <w:semiHidden/>
    <w:unhideWhenUsed/>
    <w:pPr>
      <w:pBdr/>
      <w:spacing w:after="0" w:line="240" w:lineRule="auto"/>
      <w:ind/>
    </w:pPr>
    <w:rPr>
      <w:sz w:val="20"/>
      <w:szCs w:val="20"/>
    </w:rPr>
  </w:style>
  <w:style w:type="character" w:styleId="871">
    <w:name w:val="Footnote Text Char"/>
    <w:basedOn w:val="840"/>
    <w:link w:val="870"/>
    <w:uiPriority w:val="99"/>
    <w:semiHidden/>
    <w:pPr>
      <w:pBdr/>
      <w:spacing/>
      <w:ind/>
    </w:pPr>
    <w:rPr>
      <w:sz w:val="20"/>
      <w:szCs w:val="20"/>
    </w:rPr>
  </w:style>
  <w:style w:type="character" w:styleId="872">
    <w:name w:val="footnote reference"/>
    <w:basedOn w:val="840"/>
    <w:uiPriority w:val="99"/>
    <w:semiHidden/>
    <w:unhideWhenUsed/>
    <w:pPr>
      <w:pBdr/>
      <w:spacing/>
      <w:ind/>
    </w:pPr>
    <w:rPr>
      <w:vertAlign w:val="superscript"/>
    </w:rPr>
  </w:style>
  <w:style w:type="paragraph" w:styleId="873">
    <w:name w:val="endnote text"/>
    <w:basedOn w:val="890"/>
    <w:link w:val="874"/>
    <w:uiPriority w:val="99"/>
    <w:semiHidden/>
    <w:unhideWhenUsed/>
    <w:pPr>
      <w:pBdr/>
      <w:spacing w:after="0" w:line="240" w:lineRule="auto"/>
      <w:ind/>
    </w:pPr>
    <w:rPr>
      <w:sz w:val="20"/>
      <w:szCs w:val="20"/>
    </w:rPr>
  </w:style>
  <w:style w:type="character" w:styleId="874">
    <w:name w:val="Endnote Text Char"/>
    <w:basedOn w:val="840"/>
    <w:link w:val="873"/>
    <w:uiPriority w:val="99"/>
    <w:semiHidden/>
    <w:pPr>
      <w:pBdr/>
      <w:spacing/>
      <w:ind/>
    </w:pPr>
    <w:rPr>
      <w:sz w:val="20"/>
      <w:szCs w:val="20"/>
    </w:rPr>
  </w:style>
  <w:style w:type="character" w:styleId="875">
    <w:name w:val="endnote reference"/>
    <w:basedOn w:val="840"/>
    <w:uiPriority w:val="99"/>
    <w:semiHidden/>
    <w:unhideWhenUsed/>
    <w:pPr>
      <w:pBdr/>
      <w:spacing/>
      <w:ind/>
    </w:pPr>
    <w:rPr>
      <w:vertAlign w:val="superscript"/>
    </w:rPr>
  </w:style>
  <w:style w:type="character" w:styleId="876">
    <w:name w:val="Hyperlink"/>
    <w:basedOn w:val="840"/>
    <w:uiPriority w:val="99"/>
    <w:unhideWhenUsed/>
    <w:pPr>
      <w:pBdr/>
      <w:spacing/>
      <w:ind/>
    </w:pPr>
    <w:rPr>
      <w:color w:val="0563c1" w:themeColor="hyperlink"/>
      <w:u w:val="single"/>
    </w:rPr>
  </w:style>
  <w:style w:type="character" w:styleId="877">
    <w:name w:val="FollowedHyperlink"/>
    <w:basedOn w:val="840"/>
    <w:uiPriority w:val="99"/>
    <w:semiHidden/>
    <w:unhideWhenUsed/>
    <w:pPr>
      <w:pBdr/>
      <w:spacing/>
      <w:ind/>
    </w:pPr>
    <w:rPr>
      <w:color w:val="954f72" w:themeColor="followedHyperlink"/>
      <w:u w:val="single"/>
    </w:rPr>
  </w:style>
  <w:style w:type="paragraph" w:styleId="878">
    <w:name w:val="toc 1"/>
    <w:basedOn w:val="890"/>
    <w:next w:val="890"/>
    <w:uiPriority w:val="39"/>
    <w:unhideWhenUsed/>
    <w:pPr>
      <w:pBdr/>
      <w:spacing w:after="100"/>
      <w:ind/>
    </w:pPr>
  </w:style>
  <w:style w:type="paragraph" w:styleId="879">
    <w:name w:val="toc 2"/>
    <w:basedOn w:val="890"/>
    <w:next w:val="890"/>
    <w:uiPriority w:val="39"/>
    <w:unhideWhenUsed/>
    <w:pPr>
      <w:pBdr/>
      <w:spacing w:after="100"/>
      <w:ind w:left="220"/>
    </w:pPr>
  </w:style>
  <w:style w:type="paragraph" w:styleId="880">
    <w:name w:val="toc 3"/>
    <w:basedOn w:val="890"/>
    <w:next w:val="890"/>
    <w:uiPriority w:val="39"/>
    <w:unhideWhenUsed/>
    <w:pPr>
      <w:pBdr/>
      <w:spacing w:after="100"/>
      <w:ind w:left="440"/>
    </w:pPr>
  </w:style>
  <w:style w:type="paragraph" w:styleId="881">
    <w:name w:val="toc 4"/>
    <w:basedOn w:val="890"/>
    <w:next w:val="890"/>
    <w:uiPriority w:val="39"/>
    <w:unhideWhenUsed/>
    <w:pPr>
      <w:pBdr/>
      <w:spacing w:after="100"/>
      <w:ind w:left="660"/>
    </w:pPr>
  </w:style>
  <w:style w:type="paragraph" w:styleId="882">
    <w:name w:val="toc 5"/>
    <w:basedOn w:val="890"/>
    <w:next w:val="890"/>
    <w:uiPriority w:val="39"/>
    <w:unhideWhenUsed/>
    <w:pPr>
      <w:pBdr/>
      <w:spacing w:after="100"/>
      <w:ind w:left="880"/>
    </w:pPr>
  </w:style>
  <w:style w:type="paragraph" w:styleId="883">
    <w:name w:val="toc 6"/>
    <w:basedOn w:val="890"/>
    <w:next w:val="890"/>
    <w:uiPriority w:val="39"/>
    <w:unhideWhenUsed/>
    <w:pPr>
      <w:pBdr/>
      <w:spacing w:after="100"/>
      <w:ind w:left="1100"/>
    </w:pPr>
  </w:style>
  <w:style w:type="paragraph" w:styleId="884">
    <w:name w:val="toc 7"/>
    <w:basedOn w:val="890"/>
    <w:next w:val="890"/>
    <w:uiPriority w:val="39"/>
    <w:unhideWhenUsed/>
    <w:pPr>
      <w:pBdr/>
      <w:spacing w:after="100"/>
      <w:ind w:left="1320"/>
    </w:pPr>
  </w:style>
  <w:style w:type="paragraph" w:styleId="885">
    <w:name w:val="toc 8"/>
    <w:basedOn w:val="890"/>
    <w:next w:val="890"/>
    <w:uiPriority w:val="39"/>
    <w:unhideWhenUsed/>
    <w:pPr>
      <w:pBdr/>
      <w:spacing w:after="100"/>
      <w:ind w:left="1540"/>
    </w:pPr>
  </w:style>
  <w:style w:type="paragraph" w:styleId="886">
    <w:name w:val="toc 9"/>
    <w:basedOn w:val="890"/>
    <w:next w:val="890"/>
    <w:uiPriority w:val="39"/>
    <w:unhideWhenUsed/>
    <w:pPr>
      <w:pBdr/>
      <w:spacing w:after="100"/>
      <w:ind w:left="1760"/>
    </w:pPr>
  </w:style>
  <w:style w:type="character" w:styleId="887">
    <w:name w:val="Placeholder Text"/>
    <w:basedOn w:val="840"/>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ind/>
    </w:pPr>
  </w:style>
  <w:style w:type="table" w:styleId="8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paragraph" w:styleId="893">
    <w:name w:val="No Spacing"/>
    <w:basedOn w:val="890"/>
    <w:uiPriority w:val="1"/>
    <w:qFormat/>
    <w:pPr>
      <w:pBdr/>
      <w:spacing w:after="0" w:line="240" w:lineRule="auto"/>
      <w:ind/>
    </w:pPr>
  </w:style>
  <w:style w:type="paragraph" w:styleId="894">
    <w:name w:val="List Paragraph"/>
    <w:basedOn w:val="8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yperlink" Target="https://doi.org/10.1021/acs.chemrev.6b00136" TargetMode="External"/><Relationship Id="rId13" Type="http://schemas.openxmlformats.org/officeDocument/2006/relationships/hyperlink" Target="https://doi.org/10.53894/ijirss.v8i8.1054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2025-11-20T21:22:24Z</dcterms:modified>
</cp:coreProperties>
</file>