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0"/>
        <w:pBdr/>
        <w:spacing/>
        <w:ind/>
        <w:jc w:val="center"/>
        <w:rPr>
          <w:b w:val="0"/>
          <w:bCs w:val="0"/>
        </w:rPr>
      </w:pPr>
      <w:r>
        <w:rPr>
          <w:b w:val="0"/>
          <w:bCs w:val="0"/>
        </w:rPr>
        <w:t xml:space="preserve">ELEC0148 Lab Report</w:t>
      </w:r>
      <w:r>
        <w:rPr>
          <w:b w:val="0"/>
          <w:bCs w:val="0"/>
        </w:rPr>
      </w:r>
      <w:r>
        <w:rPr>
          <w:b w:val="0"/>
          <w:bCs w:val="0"/>
        </w:rPr>
      </w:r>
    </w:p>
    <w:p>
      <w:pPr>
        <w:pStyle w:val="831"/>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 </w:t>
      </w:r>
      <w:r>
        <w:rPr>
          <w:b w:val="0"/>
          <w:bCs w:val="0"/>
          <w:highlight w:val="none"/>
        </w:rPr>
        <w:t xml:space="preserve">.</w:t>
      </w:r>
      <w:r>
        <w:rPr>
          <w:b w:val="0"/>
          <w:bCs w:val="0"/>
          <w:highlight w:val="none"/>
        </w:rPr>
      </w:r>
      <w:r>
        <w:rPr>
          <w:b w:val="0"/>
          <w:bCs w:val="0"/>
          <w:highlight w:val="none"/>
        </w:rPr>
      </w:r>
    </w:p>
    <w:p>
      <w:pPr>
        <w:pStyle w:val="831"/>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Pr>
          <w:b w:val="0"/>
          <w:bCs w:val="0"/>
          <w:highlight w:val="none"/>
        </w:rPr>
      </w:r>
    </w:p>
    <w:p>
      <w:pPr>
        <w:pStyle w:val="869"/>
        <w:pBdr/>
        <w:spacing/>
        <w:ind/>
        <w:jc w:val="center"/>
        <w:rPr/>
      </w:pPr>
      <w:r>
        <w:t xml:space="preserve">Figure </w:t>
      </w:r>
      <w:r>
        <w:fldChar w:fldCharType="begin"/>
        <w:instrText xml:space="preserve"> SEQ Figure \* Arabic </w:instrText>
        <w:fldChar w:fldCharType="separate"/>
      </w:r>
      <w:r>
        <w:t xml:space="preserve">1</w:t>
      </w:r>
      <w:r>
        <w:fldChar w:fldCharType="end"/>
      </w:r>
      <w:r>
        <w:t xml:space="preserve">: JV curves of all the light intensities given in the data set </w:t>
      </w:r>
      <w:r/>
    </w:p>
    <w:p>
      <w:pPr>
        <w:pStyle w:val="869"/>
        <w:pBdr/>
        <w:spacing/>
        <w:ind/>
        <w:jc w:val="center"/>
        <w:rPr/>
      </w:pPr>
      <w:r>
        <mc:AlternateContent>
          <mc:Choice Requires="wpg">
            <w:drawing>
              <wp:inline xmlns:wp="http://schemas.openxmlformats.org/drawingml/2006/wordprocessingDrawing" distT="0" distB="0" distL="0" distR="0">
                <wp:extent cx="5731510" cy="33014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3786" name=""/>
                        <pic:cNvPicPr>
                          <a:picLocks noChangeAspect="1"/>
                        </pic:cNvPicPr>
                        <pic:nvPr/>
                      </pic:nvPicPr>
                      <pic:blipFill rotWithShape="1">
                        <a:blip r:embed="rId10"/>
                        <a:stretch/>
                      </pic:blipFill>
                      <pic:spPr bwMode="auto">
                        <a:xfrm>
                          <a:off x="0" y="0"/>
                          <a:ext cx="5731509" cy="33014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9.96pt;mso-wrap-distance-left:0.00pt;mso-wrap-distance-top:0.00pt;mso-wrap-distance-right:0.00pt;mso-wrap-distance-bottom:0.00pt;z-index:1;" stroked="false">
                <v:imagedata r:id="rId10" o:title=""/>
                <o:lock v:ext="edit" rotation="t"/>
              </v:shape>
            </w:pict>
          </mc:Fallback>
        </mc:AlternateContent>
      </w:r>
      <w:r/>
    </w:p>
    <w:p>
      <w:pPr>
        <w:pStyle w:val="869"/>
        <w:pBdr/>
        <w:spacing/>
        <w:ind/>
        <w:jc w:val="center"/>
        <w:rPr/>
      </w:pPr>
      <w:r>
        <w:t xml:space="preserve">Figure </w:t>
      </w:r>
      <w:r>
        <w:fldChar w:fldCharType="begin"/>
        <w:instrText xml:space="preserve"> SEQ Figure \* Arabic </w:instrText>
        <w:fldChar w:fldCharType="separate"/>
      </w:r>
      <w:r>
        <w:t xml:space="preserve">2</w:t>
      </w:r>
      <w:r>
        <w:fldChar w:fldCharType="end"/>
      </w:r>
      <w:r>
        <w:t xml:space="preserve">: JV curves of light intensities 10%, 50% and 100% with Maximum Power Point Labelled as MPP</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731510" cy="332775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40401" name=""/>
                        <pic:cNvPicPr>
                          <a:picLocks noChangeAspect="1"/>
                        </pic:cNvPicPr>
                        <pic:nvPr/>
                      </pic:nvPicPr>
                      <pic:blipFill rotWithShape="1">
                        <a:blip r:embed="rId11"/>
                        <a:stretch/>
                      </pic:blipFill>
                      <pic:spPr bwMode="auto">
                        <a:xfrm>
                          <a:off x="0" y="0"/>
                          <a:ext cx="5731509" cy="33277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262.03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869"/>
        <w:pBdr/>
        <w:spacing/>
        <w:ind/>
        <w:rPr/>
      </w:pPr>
      <w:r>
        <w:t xml:space="preserve">Figure </w:t>
      </w:r>
      <w:r>
        <w:fldChar w:fldCharType="begin"/>
        <w:instrText xml:space="preserve"> SEQ Figure \* Arabic </w:instrText>
        <w:fldChar w:fldCharType="separate"/>
      </w:r>
      <w:r>
        <w:t xml:space="preserve">3</w:t>
      </w:r>
      <w:r>
        <w:fldChar w:fldCharType="end"/>
      </w:r>
      <w:r>
        <w:t xml:space="preserve">: Power-Voltage plots of light intensities 10%, 50% and 100% with Max Power Point Labelled as MPP </w:t>
      </w:r>
      <w:r/>
    </w:p>
    <w:p>
      <w:pPr>
        <w:pBdr/>
        <w:spacing/>
        <w:ind/>
        <w:rPr>
          <w:highlight w:val="none"/>
        </w:rPr>
      </w:pPr>
      <w:r>
        <w:t xml:space="preserve">From zooming into the graphs, the values in the table below can be deduced for the different light intensities.</w:t>
      </w:r>
      <w:r>
        <w:rPr>
          <w:highlight w:val="none"/>
        </w:rPr>
      </w:r>
      <w:r>
        <w:rPr>
          <w:highlight w:val="none"/>
        </w:rPr>
      </w:r>
    </w:p>
    <w:tbl>
      <w:tblPr>
        <w:tblStyle w:val="705"/>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bCs/>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1"/>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r>
        <w:rPr>
          <w:b w:val="0"/>
          <w:bCs w:val="0"/>
          <w:highlight w:val="none"/>
        </w:rPr>
      </w:r>
      <w:r>
        <w:rPr>
          <w:b w:val="0"/>
          <w:bCs w:val="0"/>
          <w:highlight w:val="none"/>
        </w:rPr>
      </w:r>
      <w:r/>
      <w:r>
        <w:rPr>
          <w:b w:val="0"/>
          <w:bCs w:val="0"/>
          <w:highlight w:val="none"/>
        </w:rPr>
      </w:r>
    </w:p>
    <w:p>
      <w:pPr>
        <w:pBdr/>
        <w:spacing/>
        <w:ind/>
        <w:rPr>
          <w:b/>
          <w:bCs/>
          <w:u w:val="single"/>
        </w:rPr>
      </w:pPr>
      <w:r>
        <w:rPr>
          <w:b/>
          <w:bCs/>
          <w:u w:val="single"/>
        </w:rPr>
        <w:t xml:space="preserve">Short circuit current</w:t>
        <w:br/>
      </w:r>
      <w:r>
        <w:rPr>
          <w:b w:val="0"/>
          <w:bCs w:val="0"/>
          <w:highlight w:val="none"/>
        </w:rPr>
      </w:r>
      <w:r>
        <w:rPr>
          <w:b/>
          <w:bCs/>
          <w:u w:val="single"/>
        </w:rPr>
      </w:r>
      <w:r>
        <w:rPr>
          <w:b w:val="0"/>
          <w:bCs w:val="0"/>
          <w:highlight w:val="none"/>
        </w:rPr>
      </w:r>
      <w:r>
        <w:rPr>
          <w:b w:val="0"/>
          <w:bCs w:val="0"/>
          <w:highlight w:val="none"/>
        </w:rPr>
        <w:t xml:space="preserve">Light intensity is directly proportional to the rate of photon incidence on the solar cell in photons per second per unit area. Current is induced when </w:t>
      </w:r>
      <w:r>
        <w:rPr>
          <w:b w:val="0"/>
          <w:bCs w:val="0"/>
          <w:highlight w:val="none"/>
        </w:rPr>
        <w:t xml:space="preserve">an electron absorbs a photon with energy larger than or equal to the bandgap of the material exciting it from the valence to the conduction band. Assuming all the excited electrons contribute to the generated 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r>
        <w:rPr>
          <w:b/>
          <w:bCs/>
          <w:u w:val="single"/>
        </w:rPr>
      </w:r>
    </w:p>
    <w:p>
      <w:pPr>
        <w:pBdr/>
        <w:spacing/>
        <w:ind/>
        <w:rPr>
          <w:b w:val="0"/>
          <w:bCs w:val="0"/>
          <w:highlight w:val="none"/>
        </w:rPr>
      </w:pPr>
      <w:r>
        <w:rPr>
          <w:b/>
          <w:bCs/>
          <w:highlight w:val="none"/>
          <w:u w:val="single"/>
        </w:rPr>
        <w:t xml:space="preserve">Open circuit voltage</w:t>
      </w:r>
      <w:r>
        <w:rPr>
          <w:b w:val="0"/>
          <w:bCs w:val="0"/>
          <w:highlight w:val="none"/>
        </w:rPr>
        <w:br/>
        <w:t xml:space="preserve">Under illumination, the relationship between current and voltage in a solar cell is the following:</w:t>
      </w: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I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m:t>
              </m:r>
            </m:sub>
          </m:sSub>
          <m:r>
            <w:rPr>
              <w:rFonts w:hint="default" w:ascii="Cambria Math" w:hAnsi="Cambria Math" w:eastAsia="Cambria Math" w:cs="Cambria Math"/>
              <w:highlight w:val="none"/>
            </w:rPr>
            <m:rPr>
              <m:sty m:val="i"/>
            </m:rPr>
            <m:t>exp</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sty m:val="i"/>
                    </m:rPr>
                    <m:t>V</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den>
              </m:f>
              <m:r>
                <w:rPr>
                  <w:rFonts w:hint="default" w:ascii="Cambria Math" w:hAnsi="Cambria Math" w:eastAsia="Cambria Math" w:cs="Cambria Math"/>
                  <w:highlight w:val="none"/>
                </w:rPr>
                <m:rPr/>
                <m:t>-1</m:t>
              </m:r>
            </m:e>
          </m:d>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photon</m:t>
              </m:r>
            </m:sub>
          </m:sSub>
        </m:oMath>
      </m:oMathPara>
      <w:r>
        <w:rPr>
          <w:b w:val="0"/>
          <w:bCs w:val="0"/>
          <w:highlight w:val="none"/>
        </w:rPr>
      </w:r>
      <w:r/>
    </w:p>
    <w:p>
      <w:pPr>
        <w:pBdr/>
        <w:spacing/>
        <w:ind/>
        <w:rPr>
          <w:b w:val="0"/>
          <w:bCs w:val="0"/>
          <w:highlight w:val="none"/>
        </w:rPr>
      </w:pPr>
      <w:r>
        <w:rPr>
          <w:b w:val="0"/>
          <w:bCs w:val="0"/>
          <w:highlight w:val="none"/>
        </w:rPr>
        <w:t xml:space="preserve">This can be used to find a relationship between the open circuit voltage and the photocurrent. At open circuit, current is zero hence the relationship can be simplified</w:t>
      </w:r>
      <w:r>
        <w:rPr>
          <w:b w:val="0"/>
          <w:bCs w:val="0"/>
          <w:highlight w:val="none"/>
        </w:rPr>
        <w:t xml:space="preserve">.</w:t>
      </w:r>
      <w:r/>
    </w:p>
    <w:p>
      <w:pPr>
        <w:pBdr/>
        <w:spacing/>
        <w:ind/>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photon</m:t>
              </m:r>
            </m:sub>
          </m:sSub>
          <m:r>
            <w:rPr>
              <w:rFonts w:hint="default" w:ascii="Cambria Math" w:hAnsi="Cambria Math" w:eastAsia="Cambria Math" w:cs="Cambria Math"/>
              <w:highlight w:val="none"/>
            </w:rPr>
            <m:rPr>
              <m:sty m:val="i"/>
            </m:rPr>
            <m:t>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m:t>
              </m:r>
            </m:sub>
          </m:sSub>
          <m:r>
            <w:rPr>
              <w:rFonts w:hint="default" w:ascii="Cambria Math" w:hAnsi="Cambria Math" w:eastAsia="Cambria Math" w:cs="Cambria Math"/>
              <w:highlight w:val="none"/>
            </w:rPr>
            <m:rPr>
              <m:sty m:val="i"/>
            </m:rPr>
            <m:t>exp</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den>
              </m:f>
              <m:r>
                <w:rPr>
                  <w:rFonts w:hint="default" w:ascii="Cambria Math" w:hAnsi="Cambria Math" w:eastAsia="Cambria Math" w:cs="Cambria Math"/>
                  <w:highlight w:val="none"/>
                </w:rPr>
                <m:rPr/>
                <m:t>-1</m:t>
              </m:r>
            </m:e>
          </m:d>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Since the photocurrent is much larger than the saturation current, the -1 term in the exponential is negligible. Rearranging for voltage gives the following</w:t>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r>
            <w:rPr>
              <w:rFonts w:hint="default" w:ascii="Cambria Math" w:hAnsi="Cambria Math" w:eastAsia="Cambria Math" w:cs="Cambria Math"/>
              <w:highlight w:val="none"/>
            </w:rPr>
            <m:rPr>
              <m:sty m:val="i"/>
            </m:rPr>
            <m:t>ln</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photon</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m:t>
                      </m:r>
                    </m:sub>
                  </m:sSub>
                </m:den>
              </m:f>
            </m:e>
          </m:d>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The open circuit voltage has a logarithmic relationship to the photocurrent. The photocurrent is directory proportional to light intensity</w:t>
      </w:r>
      <w:r>
        <w:rPr>
          <w:b w:val="0"/>
          <w:bCs w:val="0"/>
          <w:highlight w:val="none"/>
        </w:rPr>
        <w:t xml:space="preserve">, meaning that the relationship between the open circuit voltage and light intensity is also logarithmic.</w:t>
      </w:r>
      <w:r>
        <w:rPr>
          <w:b w:val="0"/>
          <w:bCs w:val="0"/>
          <w:highlight w:val="none"/>
        </w:rPr>
      </w:r>
    </w:p>
    <w:p>
      <w:pPr>
        <w:pBdr/>
        <w:spacing/>
        <w:ind/>
        <w:rPr>
          <w:b w:val="0"/>
          <w:bCs w:val="0"/>
          <w:u w:val="none"/>
        </w:rPr>
      </w:pPr>
      <w:r>
        <w:rPr>
          <w:b w:val="0"/>
          <w:bCs w:val="0"/>
          <w:highlight w:val="none"/>
        </w:rPr>
      </w:r>
      <w:r>
        <w:rPr>
          <w:b/>
          <w:bCs/>
          <w:highlight w:val="none"/>
          <w:u w:val="single"/>
        </w:rPr>
        <w:t xml:space="preserve">Resistive Effects</w:t>
      </w:r>
      <w:r>
        <w:rPr>
          <w:b w:val="0"/>
          <w:bCs w:val="0"/>
          <w:highlight w:val="none"/>
          <w:u w:val="none"/>
        </w:rPr>
        <w:br/>
      </w:r>
      <w:r>
        <w:rPr>
          <w:b w:val="0"/>
          <w:bCs w:val="0"/>
          <w:u w:val="none"/>
        </w:rPr>
      </w:r>
    </w:p>
    <w:p>
      <w:pPr>
        <w:pStyle w:val="831"/>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2" w:tooltip="https://doi.org/10.1021/acs.chemrev.6b00136" w:history="1">
        <w:r>
          <w:rPr>
            <w:rStyle w:val="876"/>
            <w:rFonts w:ascii="Arial" w:hAnsi="Arial" w:eastAsia="Arial" w:cs="Arial"/>
            <w:b w:val="0"/>
            <w:bCs w:val="0"/>
            <w:sz w:val="22"/>
            <w:szCs w:val="20"/>
          </w:rPr>
          <w:t xml:space="preserve">https://doi.org/10.1021/acs.chemrev.6b00136</w:t>
        </w:r>
        <w:r>
          <w:rPr>
            <w:rStyle w:val="876"/>
            <w:rFonts w:ascii="Arial" w:hAnsi="Arial" w:eastAsia="Arial" w:cs="Arial"/>
            <w:b w:val="0"/>
            <w:bCs w:val="0"/>
            <w:sz w:val="20"/>
            <w:szCs w:val="20"/>
          </w:rPr>
        </w:r>
        <w:r>
          <w:rPr>
            <w:rStyle w:val="876"/>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3" w:tooltip="https://doi.org/10.53894/ijirss.v8i8.10543" w:history="1">
        <w:r>
          <w:rPr>
            <w:rStyle w:val="876"/>
            <w:rFonts w:ascii="Arial" w:hAnsi="Arial" w:eastAsia="Arial" w:cs="Arial"/>
            <w:b w:val="0"/>
            <w:bCs w:val="0"/>
            <w:sz w:val="22"/>
            <w:szCs w:val="22"/>
          </w:rPr>
          <w:t xml:space="preserve">https://doi.org/10.53894/ijirss.v8i8.10543</w:t>
        </w:r>
        <w:r>
          <w:rPr>
            <w:rStyle w:val="876"/>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doi.org/10.1021/acs.chemrev.6b00136" TargetMode="External"/><Relationship Id="rId13"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2025-11-22T14:06:38Z</dcterms:modified>
</cp:coreProperties>
</file>