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9"/>
        <w:pBdr/>
        <w:spacing/>
        <w:ind/>
        <w:jc w:val="center"/>
        <w:rPr>
          <w:b w:val="0"/>
          <w:bCs w:val="0"/>
        </w:rPr>
      </w:pPr>
      <w:r>
        <w:rPr>
          <w:b w:val="0"/>
          <w:bCs w:val="0"/>
        </w:rPr>
        <w:t xml:space="preserve">ELEC0148 Lab Report</w:t>
      </w:r>
      <w:r>
        <w:rPr>
          <w:b w:val="0"/>
          <w:bCs w:val="0"/>
        </w:rPr>
      </w:r>
    </w:p>
    <w:p>
      <w:pPr>
        <w:pStyle w:val="139"/>
        <w:pBdr/>
        <w:spacing/>
        <w:ind/>
        <w:rPr>
          <w:b w:val="0"/>
          <w:bCs w:val="0"/>
        </w:rPr>
      </w:pPr>
      <w:r>
        <w:rPr>
          <w:b w:val="0"/>
          <w:bCs w:val="0"/>
        </w:rPr>
        <w:t xml:space="preserve">Introduction</w:t>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rPr>
      </w:r>
    </w:p>
    <w:p>
      <w:pPr>
        <w:pBdr/>
        <w:spacing/>
        <w:ind/>
        <w:rPr>
          <w:b w:val="0"/>
          <w:bCs w:val="0"/>
          <w:highlight w:val="none"/>
        </w:rPr>
      </w:pPr>
      <w:r>
        <w:rPr>
          <w:b w:val="0"/>
          <w:bCs w:val="0"/>
          <w:highlight w:val="none"/>
        </w:rPr>
        <w:t xml:space="preserve">A Perovskite solar cell (PSC) is a specific type of solar cell that has perovskite-structured compounds which are crystalline materials with a chemical formula of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hint="default"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p>
    <w:p>
      <w:pPr>
        <w:pBdr/>
        <w:spacing/>
        <w:ind/>
        <w:rPr>
          <w:b w:val="0"/>
          <w:bCs w:val="0"/>
          <w:highlight w:val="none"/>
        </w:rPr>
      </w:pPr>
      <w:r>
        <w:rPr>
          <w:b w:val="0"/>
          <w:bCs w:val="0"/>
          <w:highlight w:val="none"/>
        </w:rP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p>
    <w:p>
      <w:pPr>
        <w:pStyle w:val="668"/>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p>
    <w:p>
      <w:pPr>
        <w:pStyle w:val="668"/>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w:t>
      </w:r>
      <w:r>
        <w:rPr>
          <w:b w:val="0"/>
          <w:bCs w:val="0"/>
          <w:highlight w:val="none"/>
        </w:rPr>
      </w:r>
    </w:p>
    <w:p>
      <w:pPr>
        <w:pStyle w:val="668"/>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668"/>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of the incident optical power that the maximum power is.</w:t>
      </w:r>
      <w:r>
        <w:rPr>
          <w:b w:val="0"/>
          <w:bCs w:val="0"/>
          <w:highlight w:val="none"/>
        </w:rPr>
      </w:r>
    </w:p>
    <w:p>
      <w:pPr>
        <w:pStyle w:val="139"/>
        <w:pBdr/>
        <w:spacing/>
        <w:ind/>
        <w:rPr>
          <w:b w:val="0"/>
          <w:bCs w:val="0"/>
          <w:highlight w:val="none"/>
        </w:rPr>
      </w:pPr>
      <w:r>
        <w:rPr>
          <w:b w:val="0"/>
          <w:bCs w:val="0"/>
          <w:highlight w:val="none"/>
        </w:rPr>
      </w:r>
      <w:r/>
      <w:r>
        <w:rPr>
          <w:b w:val="0"/>
          <w:bCs w:val="0"/>
          <w:highlight w:val="none"/>
        </w:rPr>
      </w:r>
      <w:r/>
      <w:r>
        <w:rPr>
          <w:b w:val="0"/>
          <w:bCs w:val="0"/>
          <w:highlight w:val="none"/>
        </w:rPr>
      </w:r>
      <w:r/>
      <w:r>
        <w:rPr>
          <w:b w:val="0"/>
          <w:bCs w:val="0"/>
          <w:highlight w:val="none"/>
        </w:rPr>
      </w:r>
      <w:r/>
      <w:r>
        <w:rPr>
          <w:b w:val="0"/>
          <w:bCs w:val="0"/>
          <w:highlight w:val="none"/>
        </w:rPr>
        <w:t xml:space="preserve">Data Analysis</w:t>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
        <w:rPr>
          <w:b w:val="0"/>
          <w:bCs w:val="0"/>
          <w:highlight w:val="none"/>
        </w:rPr>
      </w:r>
      <w:r>
        <w:rPr>
          <w:highlight w:val="none"/>
        </w:rPr>
      </w:r>
    </w:p>
    <w:p>
      <w:pPr>
        <w:pStyle w:val="180"/>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r/>
    </w:p>
    <w:p>
      <w:pPr>
        <w:pStyle w:val="180"/>
        <w:pBdr/>
        <w:spacing/>
        <w:ind/>
        <w:jc w:val="center"/>
        <w:rPr/>
      </w:pPr>
      <w:r/>
      <w:r>
        <mc:AlternateContent>
          <mc:Choice Requires="wpg">
            <w:drawing>
              <wp:inline xmlns:wp="http://schemas.openxmlformats.org/drawingml/2006/wordprocessingDrawing" distT="0" distB="0" distL="0" distR="0">
                <wp:extent cx="5731510" cy="3284751"/>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4386" name=""/>
                        <pic:cNvPicPr>
                          <a:picLocks noChangeAspect="1"/>
                        </pic:cNvPicPr>
                        <pic:nvPr/>
                      </pic:nvPicPr>
                      <pic:blipFill rotWithShape="1">
                        <a:blip r:embed="rId10"/>
                        <a:stretch/>
                      </pic:blipFill>
                      <pic:spPr bwMode="auto">
                        <a:xfrm>
                          <a:off x="0" y="0"/>
                          <a:ext cx="5731509" cy="3284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8.64pt;mso-wrap-distance-left:0.00pt;mso-wrap-distance-top:0.00pt;mso-wrap-distance-right:0.00pt;mso-wrap-distance-bottom:0.00pt;z-index:1;" stroked="false">
                <v:imagedata r:id="rId10" o:title=""/>
                <o:lock v:ext="edit" rotation="t"/>
              </v:shape>
            </w:pict>
          </mc:Fallback>
        </mc:AlternateContent>
      </w:r>
      <w:r/>
      <w:r/>
      <w:r/>
    </w:p>
    <w:p>
      <w:pPr>
        <w:pStyle w:val="180"/>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t>
      </w:r>
      <w:r/>
    </w:p>
    <w:p>
      <w:pPr>
        <w:pBdr/>
        <w:spacing/>
        <w:ind/>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t xml:space="preserve">From zooming into the graphs, the values in the table below can be deduced.</w:t>
      </w:r>
      <w:r/>
    </w:p>
    <w:tbl>
      <w:tblPr>
        <w:tblStyle w:val="12"/>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textDirection w:val="lrTb"/>
            <w:noWrap w:val="false"/>
          </w:tcPr>
          <w:p>
            <w:pPr>
              <w:pBdr/>
              <w:spacing/>
              <w:ind/>
              <w:jc w:val="center"/>
              <w:rPr>
                <w:b w:val="0"/>
                <w:bCs w:val="0"/>
                <w:highlight w:val="none"/>
              </w:rPr>
            </w:pPr>
            <w:r>
              <w:rPr>
                <w:b w:val="0"/>
                <w:bCs w:val="0"/>
                <w:highlight w:val="none"/>
              </w:rPr>
            </w:r>
            <w:r>
              <w:rPr>
                <w:b w:val="0"/>
                <w:bCs w:val="0"/>
                <w:highlight w:val="none"/>
              </w:rP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r>
              <w:rPr>
                <w:b/>
                <w:bCs/>
                <w:highlight w:val="none"/>
                <w:u w:val="single"/>
              </w:rPr>
            </w:r>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val="0"/>
                <w:bCs w:val="0"/>
                <w:highlight w:val="none"/>
              </w:rPr>
            </w:r>
            <w:r>
              <w:rPr>
                <w:b w:val="0"/>
                <w:bCs w:val="0"/>
                <w:highlight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r>
              <w:rPr>
                <w:b w:val="0"/>
                <w:bCs w:val="0"/>
                <w:highlight w:val="none"/>
              </w:rPr>
            </w:r>
            <w:r>
              <w:rPr>
                <w:b w:val="0"/>
                <w:bCs w:val="0"/>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hint="default"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hint="default"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-0.1215mA</m:t>
                </m:r>
              </m:oMath>
            </m:oMathPara>
            <w:r>
              <w:rPr>
                <w:b/>
                <w:bCs/>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-1.0485mA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-0.966mA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0.98(0.1215)</m:t>
                    </m:r>
                  </m:den>
                </m:f>
                <m:r>
                  <w:rPr>
                    <w:rFonts w:hint="default" w:ascii="Cambria Math" w:hAnsi="Cambria Math" w:eastAsia="Cambria Math" w:cs="Cambria Math"/>
                    <w:highlight w:val="none"/>
                  </w:rPr>
                  <m:rPr/>
                  <m:t>=78.5%</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0.89(0.966)</m:t>
                    </m:r>
                  </m:num>
                  <m:den>
                    <m:r>
                      <w:rPr>
                        <w:rFonts w:hint="default" w:ascii="Cambria Math" w:hAnsi="Cambria Math" w:eastAsia="Cambria Math" w:cs="Cambria Math"/>
                        <w:highlight w:val="none"/>
                      </w:rPr>
                      <m:rPr/>
                      <m:t>1.06(1.0485)</m:t>
                    </m:r>
                  </m:den>
                </m:f>
                <m:r>
                  <w:rPr>
                    <w:rFonts w:hint="default" w:ascii="Cambria Math" w:hAnsi="Cambria Math" w:eastAsia="Cambria Math" w:cs="Cambria Math"/>
                    <w:highlight w:val="none"/>
                  </w:rPr>
                  <m:rPr/>
                  <m:t>=77.4%</m:t>
                </m:r>
              </m:oMath>
            </m:oMathPara>
            <w:r>
              <w:rPr>
                <w:b w:val="0"/>
                <w:bCs w:val="0"/>
                <w:highlight w:val="none"/>
              </w:rPr>
            </w:r>
            <w:r>
              <w:rPr>
                <w:b w:val="0"/>
                <w:bCs w:val="0"/>
                <w:highlight w:val="none"/>
              </w:rPr>
            </w:r>
          </w:p>
        </w:tc>
      </w:tr>
    </w:tbl>
    <w:p>
      <w:pPr>
        <w:pBdr/>
        <w:spacing/>
        <w:ind w:right="851" w:firstLine="0" w:left="0"/>
        <w:rPr>
          <w:highlight w:val="none"/>
        </w:rPr>
      </w:pPr>
      <w:r>
        <w:rPr>
          <w:b w:val="0"/>
          <w:bCs w:val="0"/>
          <w:highlight w:val="none"/>
        </w:rPr>
      </w:r>
      <w:r/>
      <w:r>
        <w:rPr>
          <w:b w:val="0"/>
          <w:bCs w:val="0"/>
          <w:highlight w:val="none"/>
        </w:rPr>
      </w:r>
      <w:r>
        <w:rPr>
          <w:b w:val="0"/>
          <w:bCs w:val="0"/>
          <w:highlight w:val="none"/>
        </w:rPr>
      </w:r>
    </w:p>
    <w:p>
      <w:pPr>
        <w:pStyle w:val="139"/>
        <w:pBdr/>
        <w:spacing/>
        <w:ind/>
        <w:rPr>
          <w:b w:val="0"/>
          <w:bCs w:val="0"/>
        </w:rPr>
      </w:pPr>
      <w:r>
        <w:rPr>
          <w:b w:val="0"/>
          <w:bCs w:val="0"/>
          <w:highlight w:val="none"/>
        </w:rPr>
      </w:r>
      <w:r/>
      <w:r>
        <w:rPr>
          <w:b w:val="0"/>
          <w:bCs w:val="0"/>
          <w:highlight w:val="none"/>
        </w:rPr>
        <w:t xml:space="preserve">References</w:t>
      </w:r>
      <w:r>
        <w:rPr>
          <w:b w:val="0"/>
          <w:bCs w:val="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1" w:tooltip="https://doi.org/10.1021/acs.chemrev.6b00136" w:history="1">
        <w:r>
          <w:rPr>
            <w:rStyle w:val="187"/>
            <w:rFonts w:ascii="Arial" w:hAnsi="Arial" w:eastAsia="Arial" w:cs="Arial"/>
            <w:b w:val="0"/>
            <w:bCs w:val="0"/>
            <w:sz w:val="22"/>
            <w:szCs w:val="20"/>
          </w:rPr>
          <w:t xml:space="preserve">https://doi.org/10.1021/acs.chemrev.6b00136</w:t>
        </w:r>
        <w:r>
          <w:rPr>
            <w:rStyle w:val="187"/>
            <w:rFonts w:ascii="Arial" w:hAnsi="Arial" w:eastAsia="Arial" w:cs="Arial"/>
            <w:b w:val="0"/>
            <w:bCs w:val="0"/>
            <w:sz w:val="20"/>
            <w:szCs w:val="20"/>
          </w:rPr>
        </w:r>
        <w:r>
          <w:rPr>
            <w:rStyle w:val="187"/>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cs="Arial"/>
          <w:b w:val="0"/>
          <w:bCs w:val="0"/>
          <w:sz w:val="22"/>
          <w:szCs w:val="20"/>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2" w:tooltip="https://doi.org/10.53894/ijirss.v8i8.10543" w:history="1">
        <w:r>
          <w:rPr>
            <w:rStyle w:val="187"/>
            <w:rFonts w:ascii="Arial" w:hAnsi="Arial" w:eastAsia="Arial" w:cs="Arial"/>
            <w:b w:val="0"/>
            <w:bCs w:val="0"/>
            <w:sz w:val="22"/>
            <w:szCs w:val="22"/>
          </w:rPr>
          <w:t xml:space="preserve">https://doi.org/10.53894/ijirss.v8i8.10543</w:t>
        </w:r>
        <w:r>
          <w:rPr>
            <w:rStyle w:val="187"/>
            <w:rFonts w:ascii="Arial" w:hAnsi="Arial" w:cs="Arial"/>
            <w:b w:val="0"/>
            <w:bCs w:val="0"/>
            <w:sz w:val="22"/>
            <w:szCs w:val="22"/>
          </w:rPr>
        </w:r>
      </w:hyperlink>
      <w:r>
        <w:rPr>
          <w:b w:val="0"/>
          <w:bCs w:val="0"/>
        </w:rPr>
      </w:r>
      <w:r>
        <w:rPr>
          <w:rFonts w:ascii="Arial" w:hAnsi="Arial" w:cs="Arial"/>
          <w:b w:val="0"/>
          <w:bCs w:val="0"/>
          <w:sz w:val="22"/>
          <w:szCs w:val="22"/>
        </w:rPr>
      </w:r>
      <w:r>
        <w:rPr>
          <w:b w:val="0"/>
          <w:bCs w:val="0"/>
        </w:rPr>
      </w:r>
      <w:r>
        <w:rPr>
          <w:rFonts w:ascii="Arial" w:hAnsi="Arial" w:eastAsia="Arial" w:cs="Arial"/>
          <w:b w:val="0"/>
          <w:bCs w:val="0"/>
          <w:sz w:val="20"/>
          <w:szCs w:val="20"/>
          <w:highlight w:val="none"/>
        </w:rPr>
      </w:r>
      <w:r>
        <w:rPr>
          <w:b w:val="0"/>
          <w:bCs w:val="0"/>
        </w:rPr>
      </w:r>
      <w:r>
        <w:rPr>
          <w:b w:val="0"/>
          <w:bCs w:val="0"/>
        </w:rPr>
      </w:r>
      <w:r>
        <w:rPr>
          <w:rFonts w:ascii="Times New Roman" w:hAnsi="Times New Roman" w:eastAsia="Times New Roman" w:cs="Times New Roman"/>
          <w:b w:val="0"/>
          <w:bCs w:val="0"/>
          <w:sz w:val="24"/>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highlight w:val="none"/>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doi.org/10.1021/acs.chemrev.6b00136" TargetMode="External"/><Relationship Id="rId12"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2025-11-15T19:02:02Z</dcterms:modified>
</cp:coreProperties>
</file>