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8C4E0"/>
                <w:spacing w:val="120"/>
                <w:sz w:val="20"/>
                <w:szCs w:val="20"/>
              </w:rPr>
              <w:t xml:space="preserve">EXECUTIVE SUMMARY</w:t>
            </w:r>
          </w:p>
          <w:p>
            <w:pPr>
              <w:spacing w:after="80"/>
            </w:pP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Employee Engagement &amp;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Burnout Risk Analysis</w:t>
            </w:r>
          </w:p>
          <w:p>
            <w:pPr>
              <w:spacing w:after="80"/>
            </w:pP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E0"/>
                <w:sz w:val="28"/>
                <w:szCs w:val="28"/>
              </w:rPr>
              <w:t xml:space="preserve">Palo Alto Networks</w:t>
            </w:r>
          </w:p>
          <w:p>
            <w:pPr>
              <w:spacing w:after="120"/>
            </w:pP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87"/>
              <w:gridCol w:w="2787"/>
              <w:gridCol w:w="2786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4A6FA5" w:sz="1"/>
                  </w:tcBorders>
                  <w:tcMar>
                    <w:top w:type="dxa" w:w="80"/>
                    <w:left w:type="dxa" w:w="20"/>
                    <w:bottom w:type="dxa" w:w="80"/>
                    <w:right w:type="dxa" w:w="2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AFD4"/>
                      <w:sz w:val="17"/>
                      <w:szCs w:val="17"/>
                    </w:rPr>
                    <w:t xml:space="preserve">PREPARED BY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Vishwa Bharathi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color w:val="A8C4E0"/>
                      <w:sz w:val="17"/>
                      <w:szCs w:val="17"/>
                    </w:rPr>
                    <w:t xml:space="preserve">Data Analytics Intern</w:t>
                  </w:r>
                </w:p>
              </w:tc>
              <w:tc>
                <w:tcPr>
                  <w:tcBorders>
                    <w:top w:val="none" w:color="FFFFFF" w:sz="0"/>
                    <w:left w:val="single" w:color="4A6FA5" w:sz="1"/>
                    <w:bottom w:val="none" w:color="FFFFFF" w:sz="0"/>
                    <w:right w:val="single" w:color="4A6FA5" w:sz="1"/>
                  </w:tcBorders>
                  <w:tcMar>
                    <w:top w:type="dxa" w:w="80"/>
                    <w:left w:type="dxa" w:w="20"/>
                    <w:bottom w:type="dxa" w:w="80"/>
                    <w:right w:type="dxa" w:w="2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AFD4"/>
                      <w:sz w:val="17"/>
                      <w:szCs w:val="17"/>
                    </w:rPr>
                    <w:t xml:space="preserve">SUBMITTED TO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Unified Mentor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color w:val="A8C4E0"/>
                      <w:sz w:val="17"/>
                      <w:szCs w:val="17"/>
                    </w:rPr>
                    <w:t xml:space="preserve">Internship Program</w:t>
                  </w:r>
                </w:p>
              </w:tc>
              <w:tc>
                <w:tcPr>
                  <w:tcBorders>
                    <w:top w:val="none" w:color="FFFFFF" w:sz="0"/>
                    <w:left w:val="single" w:color="4A6FA5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20"/>
                    <w:bottom w:type="dxa" w:w="80"/>
                    <w:right w:type="dxa" w:w="2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BAFD4"/>
                      <w:sz w:val="17"/>
                      <w:szCs w:val="17"/>
                    </w:rPr>
                    <w:t xml:space="preserve">CLASSIFICATION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Confidential</w:t>
                  </w:r>
                </w:p>
                <w:p>
                  <w:pPr>
                    <w:spacing w:after="80"/>
                    <w:jc w:val="center"/>
                  </w:pPr>
                  <w:r>
                    <w:rPr>
                      <w:rFonts w:ascii="Calibri" w:cs="Calibri" w:eastAsia="Calibri" w:hAnsi="Calibri"/>
                      <w:color w:val="A8C4E0"/>
                      <w:sz w:val="17"/>
                      <w:szCs w:val="17"/>
                    </w:rPr>
                    <w:t xml:space="preserve">For Internal Use Only</w:t>
                  </w:r>
                </w:p>
              </w:tc>
            </w:tr>
          </w:tbl>
          <w:p/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B8C" w:sz="1"/>
              <w:left w:val="single" w:color="1A4B8C" w:sz="16"/>
              <w:bottom w:val="single" w:color="1A4B8C" w:sz="1"/>
              <w:right w:val="single" w:color="CCCCCC" w:sz="1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4B8C"/>
                <w:sz w:val="20"/>
                <w:szCs w:val="20"/>
              </w:rPr>
              <w:t xml:space="preserve">PURPOSE OF THIS DOCUMENT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This Executive Summary presents the critical findings, workforce risk indicators, and strategic recommendations arising from the Employee Engagement &amp; Burnout Risk Analysis conducted for Palo Alto Networks. It is prepared for senior HR leadership and government stakeholders requiring a concise, evidence-based overview of organisational engagement health, burnout exposure, and priority workforce interventions. The full technical research paper and interactive Streamlit dashboard are available upon request.</w:t>
            </w:r>
          </w:p>
        </w:tc>
      </w:tr>
    </w:tbl>
    <w:p>
      <w:pPr>
        <w:spacing w:after="200"/>
      </w:pPr>
    </w:p>
    <w:p>
      <w:pPr>
        <w:pBdr>
          <w:bottom w:val="single" w:color="0D2B55" w:sz="6" w:space="1"/>
        </w:pBdr>
        <w:spacing w:after="60" w:before="280"/>
      </w:pPr>
      <w:r>
        <w:rPr>
          <w:rFonts w:ascii="Calibri" w:cs="Calibri" w:eastAsia="Calibri" w:hAnsi="Calibri"/>
          <w:b/>
          <w:bCs/>
          <w:color w:val="0D2B55"/>
          <w:spacing w:val="40"/>
          <w:sz w:val="26"/>
          <w:szCs w:val="26"/>
        </w:rPr>
        <w:t xml:space="preserve">AT A GLANCE — WORKFORCE HEALTH SNAPSHOT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8B1A1A" w:sz="12"/>
              <w:left w:val="single" w:color="C0C8D8" w:sz="1"/>
              <w:bottom w:val="single" w:color="C0C8D8" w:sz="1"/>
              <w:right w:val="single" w:color="C0C8D8" w:sz="1"/>
            </w:tcBorders>
            <w:shd w:fill="FAD7D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OVERALL ATTRITION RATE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34"/>
                <w:szCs w:val="34"/>
              </w:rPr>
              <w:t xml:space="preserve">16.1%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237 of 1,470 employees</w:t>
            </w:r>
          </w:p>
        </w:tc>
        <w:tc>
          <w:tcPr>
            <w:tcBorders>
              <w:top w:val="single" w:color="1A4B8C" w:sz="12"/>
              <w:left w:val="single" w:color="C0C8D8" w:sz="1"/>
              <w:bottom w:val="single" w:color="C0C8D8" w:sz="1"/>
              <w:right w:val="single" w:color="C0C8D8" w:sz="1"/>
            </w:tcBorders>
            <w:shd w:fill="D6E8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AVG ENGAGEMENT INDEX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4B8C"/>
                <w:sz w:val="34"/>
                <w:szCs w:val="34"/>
              </w:rPr>
              <w:t xml:space="preserve">2.72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Out of 4.00 scale</w:t>
            </w:r>
          </w:p>
        </w:tc>
        <w:tc>
          <w:tcPr>
            <w:tcBorders>
              <w:top w:val="single" w:color="A0522D" w:sz="12"/>
              <w:left w:val="single" w:color="C0C8D8" w:sz="1"/>
              <w:bottom w:val="single" w:color="C0C8D8" w:sz="1"/>
              <w:right w:val="single" w:color="C0C8D8" w:sz="1"/>
            </w:tcBorders>
            <w:shd w:fill="FDEBD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HIGH BURNOUT RISK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522D"/>
                <w:sz w:val="34"/>
                <w:szCs w:val="34"/>
              </w:rPr>
              <w:t xml:space="preserve">~10%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~147 employees flagged</w:t>
            </w:r>
          </w:p>
        </w:tc>
        <w:tc>
          <w:tcPr>
            <w:tcBorders>
              <w:top w:val="single" w:color="8B1A1A" w:sz="12"/>
              <w:left w:val="single" w:color="C0C8D8" w:sz="1"/>
              <w:bottom w:val="single" w:color="C0C8D8" w:sz="1"/>
              <w:right w:val="single" w:color="C0C8D8" w:sz="1"/>
            </w:tcBorders>
            <w:shd w:fill="FAD7D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OVERTIME ATTRITION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34"/>
                <w:szCs w:val="34"/>
              </w:rPr>
              <w:t xml:space="preserve">30.5%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vs 10.4% non-overtime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D2B55" w:sz="12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EMPLOYEES ANALYSED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D2B55"/>
                <w:sz w:val="34"/>
                <w:szCs w:val="34"/>
              </w:rPr>
              <w:t xml:space="preserve">1,470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31 attributes captured</w:t>
            </w:r>
          </w:p>
        </w:tc>
        <w:tc>
          <w:tcPr>
            <w:tcBorders>
              <w:top w:val="single" w:color="A0522D" w:sz="12"/>
              <w:left w:val="single" w:color="C0C8D8" w:sz="1"/>
              <w:bottom w:val="single" w:color="C0C8D8" w:sz="1"/>
              <w:right w:val="single" w:color="C0C8D8" w:sz="1"/>
            </w:tcBorders>
            <w:shd w:fill="FDEBD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OVERTIME WORKERS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A0522D"/>
                <w:sz w:val="34"/>
                <w:szCs w:val="34"/>
              </w:rPr>
              <w:t xml:space="preserve">28.3%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1 in 4 employees</w:t>
            </w:r>
          </w:p>
        </w:tc>
        <w:tc>
          <w:tcPr>
            <w:tcBorders>
              <w:top w:val="single" w:color="1A6B3A" w:sz="12"/>
              <w:left w:val="single" w:color="C0C8D8" w:sz="1"/>
              <w:bottom w:val="single" w:color="C0C8D8" w:sz="1"/>
              <w:right w:val="single" w:color="C0C8D8" w:sz="1"/>
            </w:tcBorders>
            <w:shd w:fill="D4ED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AVG WORK-LIFE BALANCE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34"/>
                <w:szCs w:val="34"/>
              </w:rPr>
              <w:t xml:space="preserve">2.76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Out of 4.00 scale</w:t>
            </w:r>
          </w:p>
        </w:tc>
        <w:tc>
          <w:tcPr>
            <w:tcBorders>
              <w:top w:val="single" w:color="8B1A1A" w:sz="12"/>
              <w:left w:val="single" w:color="C0C8D8" w:sz="1"/>
              <w:bottom w:val="single" w:color="C0C8D8" w:sz="1"/>
              <w:right w:val="single" w:color="C0C8D8" w:sz="1"/>
            </w:tcBorders>
            <w:shd w:fill="FAD7D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4A4A"/>
                <w:sz w:val="17"/>
                <w:szCs w:val="17"/>
              </w:rPr>
              <w:t xml:space="preserve">ENGAGEMENT GAP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34"/>
                <w:szCs w:val="34"/>
              </w:rPr>
              <w:t xml:space="preserve">0.25pts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7"/>
                <w:szCs w:val="17"/>
              </w:rPr>
              <w:t xml:space="preserve">Churned vs retained diff</w:t>
            </w:r>
          </w:p>
        </w:tc>
      </w:tr>
    </w:tbl>
    <w:p>
      <w:pPr>
        <w:spacing w:after="200"/>
      </w:pPr>
    </w:p>
    <w:p>
      <w:pPr>
        <w:pBdr>
          <w:bottom w:val="single" w:color="0D2B55" w:sz="6" w:space="1"/>
        </w:pBdr>
        <w:spacing w:after="60" w:before="280"/>
      </w:pPr>
      <w:r>
        <w:rPr>
          <w:rFonts w:ascii="Calibri" w:cs="Calibri" w:eastAsia="Calibri" w:hAnsi="Calibri"/>
          <w:b/>
          <w:bCs/>
          <w:color w:val="0D2B55"/>
          <w:spacing w:val="40"/>
          <w:sz w:val="26"/>
          <w:szCs w:val="26"/>
        </w:rPr>
        <w:t xml:space="preserve">BUSINESS CONTEXT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Palo Alto Networks operates in one of the most competitive talent markets globally — cybersecurity and enterprise technology. In this environment, employee engagement is not a soft HR metric but a hard business risk indicator. Voluntary attrition costs organisations an estimated 50-200% of an employee's annual salary when recruitment, onboarding, and productivity loss are factored in. At the current 16.1% attrition rate across a 1,470-employee workforce, the organisation is experiencing ongoing talent drain that demands structured, data-driven intervention.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analysis transforms raw HR transactional data into a workforce intelligence framework, identifying specific employee segments, roles, and workload patterns that represent the highest retention risk — enabling leadership to act before attrition occurs rather than after.</w:t>
      </w:r>
    </w:p>
    <w:p>
      <w:pPr>
        <w:spacing w:after="100"/>
      </w:pPr>
    </w:p>
    <w:p>
      <w:pPr>
        <w:pBdr>
          <w:bottom w:val="single" w:color="0D2B55" w:sz="6" w:space="1"/>
        </w:pBdr>
        <w:spacing w:after="60" w:before="280"/>
      </w:pPr>
      <w:r>
        <w:rPr>
          <w:rFonts w:ascii="Calibri" w:cs="Calibri" w:eastAsia="Calibri" w:hAnsi="Calibri"/>
          <w:b/>
          <w:bCs/>
          <w:color w:val="0D2B55"/>
          <w:spacing w:val="40"/>
          <w:sz w:val="26"/>
          <w:szCs w:val="26"/>
        </w:rPr>
        <w:t xml:space="preserve">CRITICAL FINDINGS</w:t>
      </w:r>
    </w:p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2B55"/>
          <w:sz w:val="23"/>
          <w:szCs w:val="23"/>
        </w:rPr>
        <w:t xml:space="preserve">Finding 1 — Overtime is the Single Strongest Driver of Attrition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1"/>
              <w:left w:val="single" w:color="8B1A1A" w:sz="16"/>
              <w:bottom w:val="single" w:color="8B1A1A" w:sz="1"/>
              <w:right w:val="single" w:color="CCCCCC" w:sz="1"/>
            </w:tcBorders>
            <w:shd w:fill="FAD7D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⚠  CRITICAL ALERT — IMMEDIATE ACTION REQUIRED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Employees who work overtime leave at 30.5% — nearly 3 times the 10.4% attrition rate of non-overtime employees. This 20-percentage-point gap is the largest attrition differentiator in the entire dataset and represents the highest-return intervention available to HR leadership.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"/>
        <w:gridCol w:w="39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The overtime-attrition relationship is unambiguous: of every 10 overtime workers, 3 will voluntarily leave the organisation. More critically, overtime workers also carry a burnout score of 0.886 — 73% higher than non-overtime employees — confirming that sustained workload pressure is creating chronic burnout that eventually forces departure.</w:t>
            </w:r>
          </w:p>
          <w:p>
            <w:pPr>
              <w:spacing w:after="80"/>
            </w:pPr>
          </w:p>
          <w:p>
            <w:pPr>
              <w:spacing w:after="16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A particularly important nuance: overtime workers show marginally higher engagement (2.784 vs 2.699), suggesting that the employees most committed to their work are being burned out by excessive workload demands — the organisation is losing its most engaged people.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800"/>
              <w:gridCol w:w="1600"/>
            </w:tblGrid>
            <w:tr>
              <w:trPr>
                <w:tblHeader/>
              </w:trPr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0D2B5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Group</w:t>
                  </w:r>
                </w:p>
              </w:tc>
              <w:tc>
                <w:tcPr>
                  <w:tcW w:type="dxa" w:w="18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0D2B5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Attrition</w:t>
                  </w:r>
                </w:p>
              </w:tc>
              <w:tc>
                <w:tcPr>
                  <w:tcW w:type="dxa" w:w="16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0D2B5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Burnout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No Overtime</w:t>
                  </w:r>
                </w:p>
              </w:tc>
              <w:tc>
                <w:tcPr>
                  <w:tcW w:type="dxa" w:w="18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10.4%</w:t>
                  </w:r>
                </w:p>
              </w:tc>
              <w:tc>
                <w:tcPr>
                  <w:tcW w:type="dxa" w:w="16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0.511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Overtime</w:t>
                  </w:r>
                </w:p>
              </w:tc>
              <w:tc>
                <w:tcPr>
                  <w:tcW w:type="dxa" w:w="18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30.5%</w:t>
                  </w:r>
                </w:p>
              </w:tc>
              <w:tc>
                <w:tcPr>
                  <w:tcW w:type="dxa" w:w="16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0.886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Difference</w:t>
                  </w:r>
                </w:p>
              </w:tc>
              <w:tc>
                <w:tcPr>
                  <w:tcW w:type="dxa" w:w="18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+20.1pp</w:t>
                  </w:r>
                </w:p>
              </w:tc>
              <w:tc>
                <w:tcPr>
                  <w:tcW w:type="dxa" w:w="16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+73%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2B55"/>
          <w:sz w:val="23"/>
          <w:szCs w:val="23"/>
        </w:rPr>
        <w:t xml:space="preserve">Finding 2 — Low Engagement is a Leading Attrition Indicator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Employees who eventually left the organisation had measurably lower engagement scores (2.513) compared to those who stayed (2.764) — a 9.4% differential on the 1-4 engagement scale. Their burnout scores were also 73% higher. This finding validates the Engagement Index as a predictive signal: by monitoring engagement levels in real time, HR leadership can identify at-risk employees before departure decisions are made.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Employee Status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Engagement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Burnout Score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Retained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2.764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0.511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Healthy baseline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Churned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2.513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0.886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Early warning signals missed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Gap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-0.251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+0.375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Actionable detection window</w:t>
            </w:r>
          </w:p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2B55"/>
          <w:sz w:val="23"/>
          <w:szCs w:val="23"/>
        </w:rPr>
        <w:t xml:space="preserve">Finding 3 — Mid-Career Employees are the Highest Vulnerability Cohort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"/>
        <w:gridCol w:w="39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Two overlapping employee segments exhibit the lowest engagement and highest attrition risk: Job Level 3 employees (2.674 engagement — the lowest of all five levels) and employees with 3-5 years tenure (2.705 engagement — the lowest tenure band).</w:t>
            </w:r>
          </w:p>
          <w:p>
            <w:pPr>
              <w:spacing w:after="80"/>
            </w:pPr>
          </w:p>
          <w:p>
            <w:pPr>
              <w:spacing w:after="160" w:line="288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>These employees sit at a critical career inflection point — past initial onboarding enthusiasm but not yet in senior leadership, likely questioning promotion timelines, compensation competitiveness, and long-term role fit. Without targeted intervention, this cohort will represent a disproportionate share of future voluntary departures.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</w:pP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20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0B6E7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Segment</w:t>
                  </w:r>
                </w:p>
              </w:tc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0B6E7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Engagement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Level 1</w:t>
                  </w:r>
                </w:p>
              </w:tc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2.726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Level 2</w:t>
                  </w:r>
                </w:p>
              </w:tc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2.726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Level 3 ⚠</w:t>
                  </w:r>
                </w:p>
              </w:tc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2.674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Level 4</w:t>
                  </w:r>
                </w:p>
              </w:tc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4F6F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2.783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Level 5</w:t>
                  </w:r>
                </w:p>
              </w:tc>
              <w:tc>
                <w:tcPr>
                  <w:tcW w:type="dxa" w:w="2200"/>
                  <w:tcBorders>
                    <w:top w:val="single" w:color="C0C8D8" w:sz="1"/>
                    <w:left w:val="single" w:color="C0C8D8" w:sz="1"/>
                    <w:bottom w:val="single" w:color="C0C8D8" w:sz="1"/>
                    <w:right w:val="single" w:color="C0C8D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C1C1C"/>
                      <w:sz w:val="20"/>
                      <w:szCs w:val="20"/>
                    </w:rPr>
                    <w:t xml:space="preserve">2.746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2B55"/>
          <w:sz w:val="23"/>
          <w:szCs w:val="23"/>
        </w:rPr>
        <w:t xml:space="preserve">Finding 4 — Business Travel Elevates Burnout Progressively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Business travel frequency shows a clear progressive burnout effect: frequent travellers carry a burnout score of 0.596, compared to 0.570 for occasional travellers and 0.533 for non-travellers. While the absolute differences are modest, the pattern confirms that cumulative travel exposure compounds workload stress. In combination with overtime — where frequent travellers may also be working extended hours — the compounding effect represents a significant risk for a specific subset of the workforce.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Travel Category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Engagement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Burnout Score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Risk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Non-Travel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2.735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0.533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Travel Rarely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2.715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0.570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+6.9% burnout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Travel Frequently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2.749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0.596</w:t>
            </w:r>
          </w:p>
        </w:tc>
        <w:tc>
          <w:tcPr>
            <w:tcW w:type="dxa" w:w="3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+11.8% burnout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D2B55" w:sz="6" w:space="1"/>
        </w:pBdr>
        <w:spacing w:after="60" w:before="280"/>
      </w:pPr>
      <w:r>
        <w:rPr>
          <w:rFonts w:ascii="Calibri" w:cs="Calibri" w:eastAsia="Calibri" w:hAnsi="Calibri"/>
          <w:b/>
          <w:bCs/>
          <w:color w:val="0D2B55"/>
          <w:spacing w:val="40"/>
          <w:sz w:val="26"/>
          <w:szCs w:val="26"/>
        </w:rPr>
        <w:t xml:space="preserve">STRATEGIC RECOMMENDATIONS FOR LEADERSHIP</w:t>
      </w:r>
    </w:p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1 — CRITICAL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Implement overtime limits and mandatory compensatory rest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30.5% attrition rate — highest-ROI retention lever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20"/>
                <w:szCs w:val="20"/>
              </w:rPr>
              <w:t xml:space="preserve">2 — CRITICAL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1:1 manager check-ins for ~147 High Burnout Risk employees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~10% of workforce at critical burnout exposure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This Quarter</w:t>
            </w:r>
          </w:p>
        </w:tc>
      </w:tr>
      <w:t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3 — HIGH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Mid-career development programme for Level 3 &amp; 3-5yr tenure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Lowest engagement cohort — highest future attrition risk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0522D"/>
                <w:sz w:val="20"/>
                <w:szCs w:val="20"/>
              </w:rPr>
              <w:t xml:space="preserve">4 — HIGH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Deploy Streamlit dashboard for monthly HR reviews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Real-time engagement monitoring and early warning alerts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5 — MEDIUM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Business travel policy reform — cap days, add recovery time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Progressive burnout with travel frequency confirmed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6 — MEDIUM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Pulse survey programme for below-threshold employees</w:t>
            </w:r>
          </w:p>
        </w:tc>
        <w:tc>
          <w:tcPr>
            <w:tcW w:type="dxa" w:w="29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Engagement Index &lt; 2.5 employees need structured check-in</w:t>
            </w:r>
          </w:p>
        </w:tc>
        <w:tc>
          <w:tcPr>
            <w:tcW w:type="dxa" w:w="10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200"/>
      </w:pPr>
    </w:p>
    <w:p>
      <w:pPr>
        <w:pBdr>
          <w:bottom w:val="single" w:color="0D2B55" w:sz="6" w:space="1"/>
        </w:pBdr>
        <w:spacing w:after="60" w:before="280"/>
      </w:pPr>
      <w:r>
        <w:rPr>
          <w:rFonts w:ascii="Calibri" w:cs="Calibri" w:eastAsia="Calibri" w:hAnsi="Calibri"/>
          <w:b/>
          <w:bCs/>
          <w:color w:val="0D2B55"/>
          <w:spacing w:val="40"/>
          <w:sz w:val="26"/>
          <w:szCs w:val="26"/>
        </w:rPr>
        <w:t xml:space="preserve">ANALYTICAL DASHBOARD &amp; TOOLS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An interactive Streamlit web application has been developed to give HR leadership real-time access to all engagement intelligence findings. The dashboard provides four modules — Engagement Health Overview, Burnout Risk Dashboard, Role &amp; Career Stage Analysis, and Manager Action Panel — with dynamic filtering by department, job role, overtime status, engagement threshold, and tenure range.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"/>
              <w:left w:val="single" w:color="1A6B3A" w:sz="16"/>
              <w:bottom w:val="single" w:color="1A6B3A" w:sz="1"/>
              <w:right w:val="single" w:color="CCCCCC" w:sz="1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MANAGER ACTION PANEL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The Manager Action Panel tab automatically generates colour-coded alerts for every department-role combination below the engagement threshold, with red/amber/green risk ratings based on attrition rates. It also produces six data-driven recommended actions updated in real time as filters change — enabling managers to act on current workforce data without any analytical training.</w:t>
            </w:r>
          </w:p>
        </w:tc>
      </w:tr>
    </w:tbl>
    <w:p>
      <w:pPr>
        <w:spacing w:after="200"/>
      </w:pPr>
    </w:p>
    <w:p>
      <w:pPr>
        <w:pBdr>
          <w:bottom w:val="single" w:color="0D2B55" w:sz="6" w:space="1"/>
        </w:pBdr>
        <w:spacing w:after="60" w:before="280"/>
      </w:pPr>
      <w:r>
        <w:rPr>
          <w:rFonts w:ascii="Calibri" w:cs="Calibri" w:eastAsia="Calibri" w:hAnsi="Calibri"/>
          <w:b/>
          <w:bCs/>
          <w:color w:val="0D2B55"/>
          <w:spacing w:val="40"/>
          <w:sz w:val="26"/>
          <w:szCs w:val="26"/>
        </w:rPr>
        <w:t xml:space="preserve">CONCLUSION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Palo Alto Networks faces a measurable, preventable talent retention challenge. The 16.1% overall attrition rate is being driven disproportionately by overtime practices — a single, controllable workload policy decision. The data is unambiguous: employees who work overtime leave at three times the rate of their peers, and they carry substantially higher burnout scores that predict departure before it occurs.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The delivery of this analysis alongside a real-time Streamlit dashboard marks a transition from lagging attrition metrics to leading engagement intelligence. With the right interventions — particularly overtime policy reform and mid-career retention programmes — the organisation can meaningfully reduce voluntary attrition, protect its most engaged talent, and build a more sustainable workforce.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"/>
              <w:left w:val="single" w:color="1A6B3A" w:sz="16"/>
              <w:bottom w:val="single" w:color="1A6B3A" w:sz="1"/>
              <w:right w:val="single" w:color="CCCCCC" w:sz="1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0"/>
                <w:szCs w:val="20"/>
              </w:rPr>
              <w:t xml:space="preserve">BOTTOM LINE FOR STAKEHOLDERS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The evidence points to two immediate priorities: (1) Address overtime — with 30.5% attrition among overtime workers, a workload policy change is the single highest-ROI retention investment available. (2) Protect mid-career talent — Level 3 and 3-5 year tenure employees are the most disengaged and most vulnerable cohort, and targeted development investment will yield outsized retention returns.</w:t>
            </w:r>
          </w:p>
        </w:tc>
      </w:tr>
    </w:tbl>
    <w:p>
      <w:pPr>
        <w:spacing w:after="200"/>
      </w:pPr>
    </w:p>
    <w:p>
      <w:pPr>
        <w:pBdr>
          <w:bottom w:val="single" w:color="E8ECF2" w:sz="4" w:space="1"/>
        </w:pBdr>
        <w:spacing w:after="0"/>
      </w:pPr>
    </w:p>
    <w:p>
      <w:pPr>
        <w:spacing w:after="12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For the full technical report or dashboard access, please contact: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2B55"/>
          <w:sz w:val="22"/>
          <w:szCs w:val="22"/>
        </w:rPr>
        <w:t xml:space="preserve">Vishwa Bharathi  |  Data Analytics Intern  |  Unified Mentor Program  | 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This document is confidential and intended for authorised stakeholders only.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2" w:sz="4" w:space="1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4A4A4A"/>
        <w:sz w:val="17"/>
        <w:szCs w:val="17"/>
      </w:rPr>
      <w:t xml:space="preserve">Unified Mentor Internship Program  |  Prepared by: Vishwa Bharathi  |  2026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4A4A4A"/>
        <w:sz w:val="17"/>
        <w:szCs w:val="17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B55" w:sz="8" w:space="1"/>
      </w:pBdr>
      <w:tabs>
        <w:tab w:val="right" w:pos="9026"/>
      </w:tabs>
      <w:spacing w:after="80"/>
    </w:pPr>
    <w:r>
      <w:rPr>
        <w:rFonts w:ascii="Calibri" w:cs="Calibri" w:eastAsia="Calibri" w:hAnsi="Calibri"/>
        <w:b/>
        <w:bCs/>
        <w:color w:val="0D2B55"/>
        <w:sz w:val="18"/>
        <w:szCs w:val="18"/>
      </w:rPr>
      <w:t xml:space="preserve">EXECUTIVE SUMMARY — CONFIDENTIAL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4A4A4A"/>
        <w:sz w:val="17"/>
        <w:szCs w:val="17"/>
      </w:rPr>
      <w:t xml:space="preserve">Palo Alto Networks | Employee Engagement Intelligence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2026-05-20T03:33:45.684Z</dcterms:created>
  <dcterms:modified xsi:type="dcterms:W3CDTF">2026-05-20T03:33:45.701Z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