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555555"/>
          <w:sz w:val="20"/>
          <w:szCs w:val="20"/>
        </w:rPr>
        <w:t xml:space="preserve">UNIFIED MENTOR INTERNSHIP PROGRAM</w:t>
      </w:r>
    </w:p>
    <w:p>
      <w:pPr>
        <w:pBdr>
          <w:bottom w:val="single" w:color="1F3864" w:sz="8" w:space="1"/>
        </w:pBdr>
        <w:spacing w:after="300"/>
        <w:jc w:val="center"/>
      </w:pPr>
      <w:r>
        <w:rPr>
          <w:sz w:val="10"/>
          <w:szCs w:val="10"/>
        </w:rPr>
        <w:t xml:space="preserve"/>
      </w:r>
    </w:p>
    <w:p>
      <w:pPr>
        <w:spacing w:after="200"/>
      </w:pPr>
    </w:p>
    <w:p>
      <w:pPr>
        <w:spacing w:after="100"/>
        <w:jc w:val="center"/>
      </w:pPr>
      <w:r>
        <w:rPr>
          <w:rFonts w:ascii="Arial" w:cs="Arial" w:eastAsia="Arial" w:hAnsi="Arial"/>
          <w:b/>
          <w:bCs/>
          <w:color w:val="1F3864"/>
          <w:sz w:val="52"/>
          <w:szCs w:val="52"/>
        </w:rPr>
        <w:t xml:space="preserve">Employee Engagement &amp;</w:t>
      </w:r>
    </w:p>
    <w:p>
      <w:pPr>
        <w:spacing w:after="100"/>
        <w:jc w:val="center"/>
      </w:pPr>
      <w:r>
        <w:rPr>
          <w:rFonts w:ascii="Arial" w:cs="Arial" w:eastAsia="Arial" w:hAnsi="Arial"/>
          <w:b/>
          <w:bCs/>
          <w:color w:val="1F3864"/>
          <w:sz w:val="52"/>
          <w:szCs w:val="52"/>
        </w:rPr>
        <w:t xml:space="preserve">Burnout Risk Analysis</w:t>
      </w:r>
    </w:p>
    <w:p>
      <w:pPr>
        <w:spacing w:after="400"/>
        <w:jc w:val="center"/>
      </w:pPr>
      <w:r>
        <w:rPr>
          <w:rFonts w:ascii="Arial" w:cs="Arial" w:eastAsia="Arial" w:hAnsi="Arial"/>
          <w:i/>
          <w:iCs/>
          <w:color w:val="555555"/>
          <w:sz w:val="36"/>
          <w:szCs w:val="36"/>
        </w:rPr>
        <w:t xml:space="preserve">for Palo Alto Networks</w:t>
      </w:r>
    </w:p>
    <w:p>
      <w:pPr>
        <w:spacing w:after="80"/>
        <w:jc w:val="center"/>
      </w:pPr>
      <w:r>
        <w:rPr>
          <w:rFonts w:ascii="Arial" w:cs="Arial" w:eastAsia="Arial" w:hAnsi="Arial"/>
          <w:b/>
          <w:bCs/>
          <w:color w:val="555555"/>
          <w:sz w:val="24"/>
          <w:szCs w:val="24"/>
        </w:rPr>
        <w:t xml:space="preserve">Research Paper</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58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Submitted to</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Unified Mentor</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Author</w:t>
            </w:r>
          </w:p>
        </w:tc>
        <w:tc>
          <w:tcPr>
            <w:tcW w:type="dxa" w:w="58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Vishwa Bharathi</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Program</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Data Analytics Internship</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Project Title</w:t>
            </w:r>
          </w:p>
        </w:tc>
        <w:tc>
          <w:tcPr>
            <w:tcW w:type="dxa" w:w="58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Employee Engagement &amp; Burnout Risk Analysis</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Organisation</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Palo Alto Networks</w:t>
            </w:r>
          </w:p>
        </w:tc>
      </w:tr>
      <w:tr>
        <w:tc>
          <w:tcPr>
            <w:tcW w:type="dxa" w:w="35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Dataset</w:t>
            </w:r>
          </w:p>
        </w:tc>
        <w:tc>
          <w:tcPr>
            <w:tcW w:type="dxa" w:w="58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IBM HR Analytics — 1,470 Employee Records</w:t>
            </w:r>
          </w:p>
        </w:tc>
      </w:tr>
      <w:tr>
        <w:tc>
          <w:tcPr>
            <w:tcW w:type="dxa" w:w="3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Year</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2026</w:t>
            </w:r>
          </w:p>
        </w:tc>
      </w:tr>
    </w:tbl>
    <w:p>
      <w:pPr>
        <w:spacing w:after="400"/>
      </w:pPr>
    </w:p>
    <w:p>
      <w:r>
        <w:br w:type="page"/>
      </w:r>
    </w:p>
    <w:p>
      <w:pPr>
        <w:pStyle w:val="Heading1"/>
        <w:spacing w:after="160" w:before="360"/>
      </w:pPr>
      <w:r>
        <w:rPr>
          <w:rFonts w:ascii="Arial" w:cs="Arial" w:eastAsia="Arial" w:hAnsi="Arial"/>
          <w:b/>
          <w:bCs/>
          <w:color w:val="1F3864"/>
          <w:sz w:val="40"/>
          <w:szCs w:val="40"/>
        </w:rPr>
        <w:t xml:space="preserve">Abstract</w:t>
      </w:r>
    </w:p>
    <w:p>
      <w:pPr>
        <w:pBdr>
          <w:bottom w:val="single" w:color="C0C8D8" w:sz="4" w:space="1"/>
        </w:pBdr>
        <w:spacing w:after="0"/>
      </w:pPr>
    </w:p>
    <w:p>
      <w:pPr>
        <w:spacing w:after="160" w:line="300"/>
        <w:jc w:val="both"/>
      </w:pPr>
      <w:r>
        <w:rPr>
          <w:rFonts w:ascii="Arial" w:cs="Arial" w:eastAsia="Arial" w:hAnsi="Arial"/>
          <w:color w:val="2C2C2C"/>
          <w:sz w:val="22"/>
          <w:szCs w:val="22"/>
        </w:rPr>
        <w:t xml:space="preserve">This paper presents a comprehensive employee engagement and burnout risk analysis for Palo Alto Networks, conducted using the IBM HR Analytics dataset comprising 1,470 employee records across 31 attributes. The study applies a systematic analytical methodology to identify the organisational factors that drive workforce disengagement, burnout, and voluntary attrition. A composite Engagement Index was engineered from four satisfaction dimensions — Job Involvement, Job Satisfaction, Environment Satisfaction, and Relationship Satisfaction — and a Burnout Risk Score was constructed from overtime status and work-life balance ratings. Key findings reveal a critical relationship between overtime and attrition: employees working overtime experience a 30.5% attrition rate compared to 10.4% for non-overtime employees — a 2.93x differential. Employees who left the organisation (attrition=1) demonstrated significantly lower engagement (2.51 vs 2.76) and higher burnout scores (0.89 vs 0.51) than retained employees. Department-level and role-level analysis identifies Research &amp; Development and Sales as the highest-priority intervention areas. A Workload Stress Indicator and Satisfaction Stability Score are introduced as novel composite KPIs. A fully interactive Streamlit web application was developed to enable HR managers and leadership to conduct real-time workforce monitoring, burnout risk flagging, and department-level engagement benchmarking. The framework demonstrates how people analytics can transform reactive HR management into proactive, data-driven talent retention strategy.</w:t>
      </w:r>
    </w:p>
    <w:p>
      <w:pPr>
        <w:spacing w:after="100"/>
      </w:pPr>
    </w:p>
    <w:p>
      <w:pPr>
        <w:spacing w:after="80"/>
      </w:pPr>
      <w:r>
        <w:rPr>
          <w:rFonts w:ascii="Arial" w:cs="Arial" w:eastAsia="Arial" w:hAnsi="Arial"/>
          <w:b/>
          <w:bCs/>
          <w:color w:val="1F3864"/>
          <w:sz w:val="22"/>
          <w:szCs w:val="22"/>
        </w:rPr>
        <w:t xml:space="preserve">Keywords: </w:t>
      </w:r>
      <w:r>
        <w:rPr>
          <w:rFonts w:ascii="Arial" w:cs="Arial" w:eastAsia="Arial" w:hAnsi="Arial"/>
          <w:i/>
          <w:iCs/>
          <w:color w:val="555555"/>
          <w:sz w:val="22"/>
          <w:szCs w:val="22"/>
        </w:rPr>
        <w:t xml:space="preserve">employee engagement, burnout risk, attrition analysis, HR analytics, work-life balance, overtime, people analytics, Streamlit dashboard, job satisfaction, talent retention</w:t>
      </w:r>
    </w:p>
    <w:p>
      <w:r>
        <w:br w:type="page"/>
      </w:r>
    </w:p>
    <w:p>
      <w:pPr>
        <w:pStyle w:val="Heading1"/>
        <w:spacing w:after="160" w:before="360"/>
      </w:pPr>
      <w:r>
        <w:rPr>
          <w:rFonts w:ascii="Arial" w:cs="Arial" w:eastAsia="Arial" w:hAnsi="Arial"/>
          <w:b/>
          <w:bCs/>
          <w:color w:val="1F3864"/>
          <w:sz w:val="40"/>
          <w:szCs w:val="40"/>
        </w:rPr>
        <w:t xml:space="preserve">1. Introduction</w:t>
      </w:r>
    </w:p>
    <w:p>
      <w:pPr>
        <w:pBdr>
          <w:bottom w:val="single" w:color="C0C8D8" w:sz="4" w:space="1"/>
        </w:pBdr>
        <w:spacing w:after="0"/>
      </w:pPr>
    </w:p>
    <w:p>
      <w:pPr>
        <w:pStyle w:val="Heading2"/>
        <w:spacing w:after="160" w:before="240"/>
      </w:pPr>
      <w:r>
        <w:rPr>
          <w:rFonts w:ascii="Arial" w:cs="Arial" w:eastAsia="Arial" w:hAnsi="Arial"/>
          <w:b/>
          <w:bCs/>
          <w:color w:val="1F3864"/>
          <w:sz w:val="32"/>
          <w:szCs w:val="32"/>
        </w:rPr>
        <w:t xml:space="preserve">1.1 Background and Context</w:t>
      </w:r>
    </w:p>
    <w:p>
      <w:pPr>
        <w:spacing w:after="160" w:line="288"/>
        <w:jc w:val="both"/>
      </w:pPr>
      <w:r>
        <w:rPr>
          <w:rFonts w:ascii="Arial" w:cs="Arial" w:eastAsia="Arial" w:hAnsi="Arial"/>
          <w:b w:val="false"/>
          <w:bCs w:val="false"/>
          <w:i w:val="false"/>
          <w:iCs w:val="false"/>
          <w:color w:val="2C2C2C"/>
          <w:sz w:val="22"/>
          <w:szCs w:val="22"/>
        </w:rPr>
        <w:t xml:space="preserve">Employee disengagement and burnout represent two of the most significant and costly challenges in modern workforce management. Research consistently shows that disengaged employees are significantly more likely to leave their organisations, reducing productivity and increasing recruitment costs. For technology companies like Palo Alto Networks — operating in a highly competitive talent market — understanding the behavioural and organisational drivers of attrition is strategically critical.</w:t>
      </w:r>
    </w:p>
    <w:p>
      <w:pPr>
        <w:spacing w:after="160" w:line="288"/>
        <w:jc w:val="both"/>
      </w:pPr>
      <w:r>
        <w:rPr>
          <w:rFonts w:ascii="Arial" w:cs="Arial" w:eastAsia="Arial" w:hAnsi="Arial"/>
          <w:b w:val="false"/>
          <w:bCs w:val="false"/>
          <w:i w:val="false"/>
          <w:iCs w:val="false"/>
          <w:color w:val="2C2C2C"/>
          <w:sz w:val="22"/>
          <w:szCs w:val="22"/>
        </w:rPr>
        <w:t xml:space="preserve">The IBM HR Analytics dataset provides a rich, multi-dimensional view of the workforce, capturing demographic, role-based, financial, and attitudinal attributes for 1,470 employees. This study leverages this dataset to build a data-driven employee engagement intelligence framework that moves beyond simple descriptive statistics to derive actionable people analytics insights.</w:t>
      </w:r>
    </w:p>
    <w:p>
      <w:pPr>
        <w:spacing w:after="100"/>
      </w:pPr>
    </w:p>
    <w:p>
      <w:pPr>
        <w:pStyle w:val="Heading2"/>
        <w:spacing w:after="160" w:before="240"/>
      </w:pPr>
      <w:r>
        <w:rPr>
          <w:rFonts w:ascii="Arial" w:cs="Arial" w:eastAsia="Arial" w:hAnsi="Arial"/>
          <w:b/>
          <w:bCs/>
          <w:color w:val="1F3864"/>
          <w:sz w:val="32"/>
          <w:szCs w:val="32"/>
        </w:rPr>
        <w:t xml:space="preserve">1.2 Problem Statement</w:t>
      </w:r>
    </w:p>
    <w:p>
      <w:pPr>
        <w:spacing w:after="160" w:line="288"/>
        <w:jc w:val="both"/>
      </w:pPr>
      <w:r>
        <w:rPr>
          <w:rFonts w:ascii="Arial" w:cs="Arial" w:eastAsia="Arial" w:hAnsi="Arial"/>
          <w:b w:val="false"/>
          <w:bCs w:val="false"/>
          <w:i w:val="false"/>
          <w:iCs w:val="false"/>
          <w:color w:val="2C2C2C"/>
          <w:sz w:val="22"/>
          <w:szCs w:val="22"/>
        </w:rPr>
        <w:t xml:space="preserve">Despite having access to rich employee data, many organisations continue to rely on lagging indicators such as exit interview data and annual survey results. This study addresses five specific gaps in workforce intelligence:</w:t>
      </w:r>
    </w:p>
    <w:p>
      <w:pPr>
        <w:pStyle w:val="ListParagraph"/>
        <w:numPr>
          <w:ilvl w:val="0"/>
          <w:numId w:val="2"/>
        </w:numPr>
        <w:spacing w:after="100"/>
      </w:pPr>
      <w:r>
        <w:rPr>
          <w:rFonts w:ascii="Arial" w:cs="Arial" w:eastAsia="Arial" w:hAnsi="Arial"/>
          <w:color w:val="2C2C2C"/>
          <w:sz w:val="22"/>
          <w:szCs w:val="22"/>
        </w:rPr>
        <w:t xml:space="preserve">Which employees are at highest risk of burnout and attrition at any given time?</w:t>
      </w:r>
    </w:p>
    <w:p>
      <w:pPr>
        <w:pStyle w:val="ListParagraph"/>
        <w:numPr>
          <w:ilvl w:val="0"/>
          <w:numId w:val="2"/>
        </w:numPr>
        <w:spacing w:after="100"/>
      </w:pPr>
      <w:r>
        <w:rPr>
          <w:rFonts w:ascii="Arial" w:cs="Arial" w:eastAsia="Arial" w:hAnsi="Arial"/>
          <w:color w:val="2C2C2C"/>
          <w:sz w:val="22"/>
          <w:szCs w:val="22"/>
        </w:rPr>
        <w:t xml:space="preserve">Does overtime and business travel significantly affect engagement and attrition rates?</w:t>
      </w:r>
    </w:p>
    <w:p>
      <w:pPr>
        <w:pStyle w:val="ListParagraph"/>
        <w:numPr>
          <w:ilvl w:val="0"/>
          <w:numId w:val="2"/>
        </w:numPr>
        <w:spacing w:after="100"/>
      </w:pPr>
      <w:r>
        <w:rPr>
          <w:rFonts w:ascii="Arial" w:cs="Arial" w:eastAsia="Arial" w:hAnsi="Arial"/>
          <w:color w:val="2C2C2C"/>
          <w:sz w:val="22"/>
          <w:szCs w:val="22"/>
        </w:rPr>
        <w:t xml:space="preserve">How does engagement vary by department, job role, and career level?</w:t>
      </w:r>
    </w:p>
    <w:p>
      <w:pPr>
        <w:pStyle w:val="ListParagraph"/>
        <w:numPr>
          <w:ilvl w:val="0"/>
          <w:numId w:val="2"/>
        </w:numPr>
        <w:spacing w:after="100"/>
      </w:pPr>
      <w:r>
        <w:rPr>
          <w:rFonts w:ascii="Arial" w:cs="Arial" w:eastAsia="Arial" w:hAnsi="Arial"/>
          <w:color w:val="2C2C2C"/>
          <w:sz w:val="22"/>
          <w:szCs w:val="22"/>
        </w:rPr>
        <w:t xml:space="preserve">Which satisfaction dimensions are most strongly associated with turnover?</w:t>
      </w:r>
    </w:p>
    <w:p>
      <w:pPr>
        <w:pStyle w:val="ListParagraph"/>
        <w:numPr>
          <w:ilvl w:val="0"/>
          <w:numId w:val="2"/>
        </w:numPr>
        <w:spacing w:after="100"/>
      </w:pPr>
      <w:r>
        <w:rPr>
          <w:rFonts w:ascii="Arial" w:cs="Arial" w:eastAsia="Arial" w:hAnsi="Arial"/>
          <w:color w:val="2C2C2C"/>
          <w:sz w:val="22"/>
          <w:szCs w:val="22"/>
        </w:rPr>
        <w:t xml:space="preserve">How can a real-time HR monitoring system flag at-risk employees before they leave?</w:t>
      </w:r>
    </w:p>
    <w:p>
      <w:pPr>
        <w:spacing w:after="100"/>
      </w:pPr>
    </w:p>
    <w:p>
      <w:pPr>
        <w:pStyle w:val="Heading2"/>
        <w:spacing w:after="160" w:before="240"/>
      </w:pPr>
      <w:r>
        <w:rPr>
          <w:rFonts w:ascii="Arial" w:cs="Arial" w:eastAsia="Arial" w:hAnsi="Arial"/>
          <w:b/>
          <w:bCs/>
          <w:color w:val="1F3864"/>
          <w:sz w:val="32"/>
          <w:szCs w:val="32"/>
        </w:rPr>
        <w:t xml:space="preserve">1.3 Research Objectives</w:t>
      </w:r>
    </w:p>
    <w:p>
      <w:pPr>
        <w:pStyle w:val="ListParagraph"/>
        <w:numPr>
          <w:ilvl w:val="0"/>
          <w:numId w:val="2"/>
        </w:numPr>
        <w:spacing w:after="100"/>
      </w:pPr>
      <w:r>
        <w:rPr>
          <w:rFonts w:ascii="Arial" w:cs="Arial" w:eastAsia="Arial" w:hAnsi="Arial"/>
          <w:color w:val="2C2C2C"/>
          <w:sz w:val="22"/>
          <w:szCs w:val="22"/>
        </w:rPr>
        <w:t xml:space="preserve">Engineer a composite Engagement Index from multi-dimensional satisfaction data</w:t>
      </w:r>
    </w:p>
    <w:p>
      <w:pPr>
        <w:pStyle w:val="ListParagraph"/>
        <w:numPr>
          <w:ilvl w:val="0"/>
          <w:numId w:val="2"/>
        </w:numPr>
        <w:spacing w:after="100"/>
      </w:pPr>
      <w:r>
        <w:rPr>
          <w:rFonts w:ascii="Arial" w:cs="Arial" w:eastAsia="Arial" w:hAnsi="Arial"/>
          <w:color w:val="2C2C2C"/>
          <w:sz w:val="22"/>
          <w:szCs w:val="22"/>
        </w:rPr>
        <w:t xml:space="preserve">Construct a Burnout Risk Score and classify employees into Low, Medium, and High risk categories</w:t>
      </w:r>
    </w:p>
    <w:p>
      <w:pPr>
        <w:pStyle w:val="ListParagraph"/>
        <w:numPr>
          <w:ilvl w:val="0"/>
          <w:numId w:val="2"/>
        </w:numPr>
        <w:spacing w:after="100"/>
      </w:pPr>
      <w:r>
        <w:rPr>
          <w:rFonts w:ascii="Arial" w:cs="Arial" w:eastAsia="Arial" w:hAnsi="Arial"/>
          <w:color w:val="2C2C2C"/>
          <w:sz w:val="22"/>
          <w:szCs w:val="22"/>
        </w:rPr>
        <w:t xml:space="preserve">Quantify the impact of overtime, business travel, commute distance, and job level on engagement and attrition</w:t>
      </w:r>
    </w:p>
    <w:p>
      <w:pPr>
        <w:pStyle w:val="ListParagraph"/>
        <w:numPr>
          <w:ilvl w:val="0"/>
          <w:numId w:val="2"/>
        </w:numPr>
        <w:spacing w:after="100"/>
      </w:pPr>
      <w:r>
        <w:rPr>
          <w:rFonts w:ascii="Arial" w:cs="Arial" w:eastAsia="Arial" w:hAnsi="Arial"/>
          <w:color w:val="2C2C2C"/>
          <w:sz w:val="22"/>
          <w:szCs w:val="22"/>
        </w:rPr>
        <w:t xml:space="preserve">Identify departments and roles with structural engagement weaknesses requiring intervention</w:t>
      </w:r>
    </w:p>
    <w:p>
      <w:pPr>
        <w:pStyle w:val="ListParagraph"/>
        <w:numPr>
          <w:ilvl w:val="0"/>
          <w:numId w:val="2"/>
        </w:numPr>
        <w:spacing w:after="100"/>
      </w:pPr>
      <w:r>
        <w:rPr>
          <w:rFonts w:ascii="Arial" w:cs="Arial" w:eastAsia="Arial" w:hAnsi="Arial"/>
          <w:color w:val="2C2C2C"/>
          <w:sz w:val="22"/>
          <w:szCs w:val="22"/>
        </w:rPr>
        <w:t xml:space="preserve">Deliver an interactive Streamlit web application for real-time HR monitoring and manager action planning</w:t>
      </w:r>
    </w:p>
    <w:p>
      <w:r>
        <w:br w:type="page"/>
      </w:r>
    </w:p>
    <w:p>
      <w:pPr>
        <w:pStyle w:val="Heading1"/>
        <w:spacing w:after="160" w:before="360"/>
      </w:pPr>
      <w:r>
        <w:rPr>
          <w:rFonts w:ascii="Arial" w:cs="Arial" w:eastAsia="Arial" w:hAnsi="Arial"/>
          <w:b/>
          <w:bCs/>
          <w:color w:val="1F3864"/>
          <w:sz w:val="40"/>
          <w:szCs w:val="40"/>
        </w:rPr>
        <w:t xml:space="preserve">2. Dataset Description</w:t>
      </w:r>
    </w:p>
    <w:p>
      <w:pPr>
        <w:pBdr>
          <w:bottom w:val="single" w:color="C0C8D8" w:sz="4" w:space="1"/>
        </w:pBdr>
        <w:spacing w:after="0"/>
      </w:pPr>
    </w:p>
    <w:p>
      <w:pPr>
        <w:pStyle w:val="Heading2"/>
        <w:spacing w:after="160" w:before="240"/>
      </w:pPr>
      <w:r>
        <w:rPr>
          <w:rFonts w:ascii="Arial" w:cs="Arial" w:eastAsia="Arial" w:hAnsi="Arial"/>
          <w:b/>
          <w:bCs/>
          <w:color w:val="1F3864"/>
          <w:sz w:val="32"/>
          <w:szCs w:val="32"/>
        </w:rPr>
        <w:t xml:space="preserve">2.1 Data Source and Structure</w:t>
      </w:r>
    </w:p>
    <w:p>
      <w:pPr>
        <w:spacing w:after="160" w:line="288"/>
        <w:jc w:val="both"/>
      </w:pPr>
      <w:r>
        <w:rPr>
          <w:rFonts w:ascii="Arial" w:cs="Arial" w:eastAsia="Arial" w:hAnsi="Arial"/>
          <w:b w:val="false"/>
          <w:bCs w:val="false"/>
          <w:i w:val="false"/>
          <w:iCs w:val="false"/>
          <w:color w:val="2C2C2C"/>
          <w:sz w:val="22"/>
          <w:szCs w:val="22"/>
        </w:rPr>
        <w:t xml:space="preserve">The dataset used is the IBM HR Analytics Employee Attrition &amp; Performance dataset, containing 1,470 employee records across 31 columns. The dataset was loaded into a pandas DataFrame via JupyterLab. df.isnull().sum() confirmed zero missing values across all columns, and df[df.duplicated()] confirmed no duplicate records. All column names were standardised to lowercase using df.columns.str.lower().</w:t>
      </w:r>
    </w:p>
    <w:p>
      <w:pPr>
        <w:spacing w:after="120"/>
      </w:pP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320"/>
      </w:tblGrid>
      <w:tr>
        <w:trPr>
          <w:tblHeader/>
        </w:trPr>
        <w:tc>
          <w:tcPr>
            <w:tcW w:type="dxa" w:w="2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2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Age</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Employee age in years</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Attrition</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Whether employee left (1=Yes, 0=No)</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BusinessTravel</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Travel frequency (Non-Travel/Rarely/Frequently)</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DailyRate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Daily pay rate</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Department</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Employee department</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DistanceFromHome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Commute distance in km</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Education</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Education level (1-5)</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EducationField</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Field of education</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EnvironmentSatisfaction</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Environment satisfaction (1-4)</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Gender</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Male/Female</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HourlyRate</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Hourly pay rate</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JobInvolvement</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Job involvement score (1-4)</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JobLevel</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 seniority level (1-5)</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JobRole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Employee job title</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JobSatisfaction</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 satisfaction score (1-4)</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MaritalStatus</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Marital status</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MonthlyIncome</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Monthly salary (USD)</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NumCompaniesWorked</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Number of prior employers</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 status (Yes/No)</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PercentSalaryHike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Last salary hike %</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RelationshipSatisfaction</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Workplace relationship satisfaction (1-4)</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WorkLifeBalance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Work-life balance rating (1-4)</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YearsAtCompany</w:t>
            </w:r>
          </w:p>
        </w:tc>
        <w:tc>
          <w:tcPr>
            <w:tcW w:type="dxa" w:w="3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Years with current employer</w:t>
            </w:r>
          </w:p>
        </w:tc>
        <w:tc>
          <w:tcPr>
            <w:tcW w:type="dxa" w:w="232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Integer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YearsInCurrentRole</w:t>
            </w:r>
          </w:p>
        </w:tc>
        <w:tc>
          <w:tcPr>
            <w:tcW w:type="dxa" w:w="3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Years in current role</w:t>
            </w:r>
          </w:p>
        </w:tc>
        <w:tc>
          <w:tcPr>
            <w:tcW w:type="dxa" w:w="232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Integer</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1: Key Dataset Fields (selected from 31 total columns)</w:t>
      </w:r>
    </w:p>
    <w:p>
      <w:pPr>
        <w:spacing w:after="100"/>
      </w:pPr>
    </w:p>
    <w:p>
      <w:pPr>
        <w:pStyle w:val="Heading2"/>
        <w:spacing w:after="160" w:before="240"/>
      </w:pPr>
      <w:r>
        <w:rPr>
          <w:rFonts w:ascii="Arial" w:cs="Arial" w:eastAsia="Arial" w:hAnsi="Arial"/>
          <w:b/>
          <w:bCs/>
          <w:color w:val="1F3864"/>
          <w:sz w:val="32"/>
          <w:szCs w:val="32"/>
        </w:rPr>
        <w:t xml:space="preserve">2.2 Descriptive Statistics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Total Employee Records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1,470</w:t>
            </w:r>
          </w:p>
        </w:tc>
      </w:tr>
      <w:tr>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Total Columns</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31</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Missing Values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 (confirmed clean)</w:t>
            </w:r>
          </w:p>
        </w:tc>
      </w:tr>
      <w:tr>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Duplicate Records</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 (confirmed clean)</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Overall Attrition Rate</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 (237 employees)</w:t>
            </w:r>
          </w:p>
        </w:tc>
      </w:tr>
      <w:tr>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Mean Age</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36.9 years</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Age Range</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 to 60 years</w:t>
            </w:r>
          </w:p>
        </w:tc>
      </w:tr>
      <w:tr>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Mean Monthly Income</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$6,502</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Departments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Human Resources, Research &amp; Development, Sales</w:t>
            </w:r>
          </w:p>
        </w:tc>
      </w:tr>
      <w:tr>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Unique Job Roles</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9</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 Workers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28.3% of workforce</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2: Summary Statistics from df.describe()</w:t>
      </w:r>
    </w:p>
    <w:p>
      <w:r>
        <w:br w:type="page"/>
      </w:r>
    </w:p>
    <w:p>
      <w:pPr>
        <w:pStyle w:val="Heading1"/>
        <w:spacing w:after="160" w:before="360"/>
      </w:pPr>
      <w:r>
        <w:rPr>
          <w:rFonts w:ascii="Arial" w:cs="Arial" w:eastAsia="Arial" w:hAnsi="Arial"/>
          <w:b/>
          <w:bCs/>
          <w:color w:val="1F3864"/>
          <w:sz w:val="40"/>
          <w:szCs w:val="40"/>
        </w:rPr>
        <w:t xml:space="preserve">3. Analytical Methodology</w:t>
      </w:r>
    </w:p>
    <w:p>
      <w:pPr>
        <w:pBdr>
          <w:bottom w:val="single" w:color="C0C8D8" w:sz="4" w:space="1"/>
        </w:pBdr>
        <w:spacing w:after="0"/>
      </w:pPr>
    </w:p>
    <w:p>
      <w:pPr>
        <w:spacing w:after="160" w:line="288"/>
        <w:jc w:val="both"/>
      </w:pPr>
      <w:r>
        <w:rPr>
          <w:rFonts w:ascii="Arial" w:cs="Arial" w:eastAsia="Arial" w:hAnsi="Arial"/>
          <w:b w:val="false"/>
          <w:bCs w:val="false"/>
          <w:i w:val="false"/>
          <w:iCs w:val="false"/>
          <w:color w:val="2C2C2C"/>
          <w:sz w:val="22"/>
          <w:szCs w:val="22"/>
        </w:rPr>
        <w:t xml:space="preserve">The analysis follows a six-step methodology implemented in Python using pandas, NumPy, and Matplotlib in JupyterLab, with interactive visualisations delivered through Plotly and Streamlit.</w:t>
      </w:r>
    </w:p>
    <w:p>
      <w:pPr>
        <w:spacing w:after="100"/>
      </w:pPr>
    </w:p>
    <w:p>
      <w:pPr>
        <w:pStyle w:val="Heading2"/>
        <w:spacing w:after="160" w:before="240"/>
      </w:pPr>
      <w:r>
        <w:rPr>
          <w:rFonts w:ascii="Arial" w:cs="Arial" w:eastAsia="Arial" w:hAnsi="Arial"/>
          <w:b/>
          <w:bCs/>
          <w:color w:val="1F3864"/>
          <w:sz w:val="32"/>
          <w:szCs w:val="32"/>
        </w:rPr>
        <w:t xml:space="preserve">3.1 Data Cleaning and Validation</w:t>
      </w:r>
    </w:p>
    <w:p>
      <w:pPr>
        <w:pStyle w:val="ListParagraph"/>
        <w:numPr>
          <w:ilvl w:val="0"/>
          <w:numId w:val="2"/>
        </w:numPr>
        <w:spacing w:after="100"/>
      </w:pPr>
      <w:r>
        <w:rPr>
          <w:rFonts w:ascii="Arial" w:cs="Arial" w:eastAsia="Arial" w:hAnsi="Arial"/>
          <w:color w:val="2C2C2C"/>
          <w:sz w:val="22"/>
          <w:szCs w:val="22"/>
        </w:rPr>
        <w:t xml:space="preserve">Column standardisation: All column names converted to lowercase using df.columns.str.lower()</w:t>
      </w:r>
    </w:p>
    <w:p>
      <w:pPr>
        <w:pStyle w:val="ListParagraph"/>
        <w:numPr>
          <w:ilvl w:val="0"/>
          <w:numId w:val="2"/>
        </w:numPr>
        <w:spacing w:after="100"/>
      </w:pPr>
      <w:r>
        <w:rPr>
          <w:rFonts w:ascii="Arial" w:cs="Arial" w:eastAsia="Arial" w:hAnsi="Arial"/>
          <w:color w:val="2C2C2C"/>
          <w:sz w:val="22"/>
          <w:szCs w:val="22"/>
        </w:rPr>
        <w:t xml:space="preserve">Missing value check: df.isnull().sum() confirmed zero null values across all 31 columns</w:t>
      </w:r>
    </w:p>
    <w:p>
      <w:pPr>
        <w:pStyle w:val="ListParagraph"/>
        <w:numPr>
          <w:ilvl w:val="0"/>
          <w:numId w:val="2"/>
        </w:numPr>
        <w:spacing w:after="100"/>
      </w:pPr>
      <w:r>
        <w:rPr>
          <w:rFonts w:ascii="Arial" w:cs="Arial" w:eastAsia="Arial" w:hAnsi="Arial"/>
          <w:color w:val="2C2C2C"/>
          <w:sz w:val="22"/>
          <w:szCs w:val="22"/>
        </w:rPr>
        <w:t xml:space="preserve">Duplicate detection: df[df.duplicated()] returned 0 rows — no duplicates present</w:t>
      </w:r>
    </w:p>
    <w:p>
      <w:pPr>
        <w:pStyle w:val="ListParagraph"/>
        <w:numPr>
          <w:ilvl w:val="0"/>
          <w:numId w:val="2"/>
        </w:numPr>
        <w:spacing w:after="100"/>
      </w:pPr>
      <w:r>
        <w:rPr>
          <w:rFonts w:ascii="Arial" w:cs="Arial" w:eastAsia="Arial" w:hAnsi="Arial"/>
          <w:color w:val="2C2C2C"/>
          <w:sz w:val="22"/>
          <w:szCs w:val="22"/>
        </w:rPr>
        <w:t xml:space="preserve">Unique value verification: Satisfaction and involvement columns confirmed to contain only values 1, 2, 3, 4 as expected</w:t>
      </w:r>
    </w:p>
    <w:p>
      <w:pPr>
        <w:spacing w:after="100"/>
      </w:pPr>
    </w:p>
    <w:p>
      <w:pPr>
        <w:pStyle w:val="Heading2"/>
        <w:spacing w:after="160" w:before="240"/>
      </w:pPr>
      <w:r>
        <w:rPr>
          <w:rFonts w:ascii="Arial" w:cs="Arial" w:eastAsia="Arial" w:hAnsi="Arial"/>
          <w:b/>
          <w:bCs/>
          <w:color w:val="1F3864"/>
          <w:sz w:val="32"/>
          <w:szCs w:val="32"/>
        </w:rPr>
        <w:t xml:space="preserve">3.2 Engagement Index Construction</w:t>
      </w:r>
    </w:p>
    <w:p>
      <w:pPr>
        <w:spacing w:after="160" w:line="288"/>
        <w:jc w:val="both"/>
      </w:pPr>
      <w:r>
        <w:rPr>
          <w:rFonts w:ascii="Arial" w:cs="Arial" w:eastAsia="Arial" w:hAnsi="Arial"/>
          <w:b w:val="false"/>
          <w:bCs w:val="false"/>
          <w:i w:val="false"/>
          <w:iCs w:val="false"/>
          <w:color w:val="2C2C2C"/>
          <w:sz w:val="22"/>
          <w:szCs w:val="22"/>
        </w:rPr>
        <w:t xml:space="preserve">A composite Engagement Index was engineered as the row-wise mean of four satisfaction dimensions measured on a 1-4 scale: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3160"/>
      </w:tblGrid>
      <w:tr>
        <w:trPr>
          <w:tblHeader/>
        </w:trPr>
        <w:tc>
          <w:tcPr>
            <w:tcW w:type="dxa" w:w="2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Scale</w:t>
            </w:r>
          </w:p>
        </w:tc>
        <w:tc>
          <w:tcPr>
            <w:tcW w:type="dxa" w:w="31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 Involvement</w:t>
            </w:r>
          </w:p>
        </w:tc>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jobinvolvement</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w:t>
            </w:r>
          </w:p>
        </w:tc>
        <w:tc>
          <w:tcPr>
            <w:tcW w:type="dxa" w:w="3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Degree of psychological engagement with work</w:t>
            </w:r>
          </w:p>
        </w:tc>
      </w:tr>
      <w:tr>
        <w:tc>
          <w:tcPr>
            <w:tcW w:type="dxa" w:w="24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Job Satisfaction</w:t>
            </w:r>
          </w:p>
        </w:tc>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jobsatisfaction</w:t>
            </w:r>
          </w:p>
        </w:tc>
        <w:tc>
          <w:tcPr>
            <w:tcW w:type="dxa" w:w="1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1-4</w:t>
            </w:r>
          </w:p>
        </w:tc>
        <w:tc>
          <w:tcPr>
            <w:tcW w:type="dxa" w:w="31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Overall satisfaction with role and responsibilities</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Environment Satisfaction</w:t>
            </w:r>
          </w:p>
        </w:tc>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environmentsatisfaction</w:t>
            </w:r>
          </w:p>
        </w:tc>
        <w:tc>
          <w:tcPr>
            <w:tcW w:type="dxa" w:w="1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w:t>
            </w:r>
          </w:p>
        </w:tc>
        <w:tc>
          <w:tcPr>
            <w:tcW w:type="dxa" w:w="3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Satisfaction with physical and cultural work environment</w:t>
            </w:r>
          </w:p>
        </w:tc>
      </w:tr>
      <w:tr>
        <w:tc>
          <w:tcPr>
            <w:tcW w:type="dxa" w:w="24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Relationship Satisfaction</w:t>
            </w:r>
          </w:p>
        </w:tc>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relationshipsatisfaction</w:t>
            </w:r>
          </w:p>
        </w:tc>
        <w:tc>
          <w:tcPr>
            <w:tcW w:type="dxa" w:w="1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1-4</w:t>
            </w:r>
          </w:p>
        </w:tc>
        <w:tc>
          <w:tcPr>
            <w:tcW w:type="dxa" w:w="31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Quality of workplace interpersonal relationships</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3: Engagement Index Components</w:t>
      </w:r>
    </w:p>
    <w:p>
      <w:pPr>
        <w:spacing w:after="80"/>
      </w:pPr>
    </w:p>
    <w:p>
      <w:pPr>
        <w:spacing w:after="160" w:line="288"/>
        <w:jc w:val="both"/>
      </w:pPr>
      <w:r>
        <w:rPr>
          <w:rFonts w:ascii="Arial" w:cs="Arial" w:eastAsia="Arial" w:hAnsi="Arial"/>
          <w:b w:val="false"/>
          <w:bCs w:val="false"/>
          <w:i/>
          <w:iCs/>
          <w:color w:val="2C2C2C"/>
          <w:sz w:val="22"/>
          <w:szCs w:val="22"/>
        </w:rPr>
        <w:t xml:space="preserve">Formula: engagement_index = mean(jobinvolvement, jobsatisfaction, environmentsatisfaction, relationshipsatisfaction)</w:t>
      </w:r>
    </w:p>
    <w:p>
      <w:pPr>
        <w:spacing w:after="160" w:line="288"/>
        <w:jc w:val="both"/>
      </w:pPr>
      <w:r>
        <w:rPr>
          <w:rFonts w:ascii="Arial" w:cs="Arial" w:eastAsia="Arial" w:hAnsi="Arial"/>
          <w:b w:val="false"/>
          <w:bCs w:val="false"/>
          <w:i w:val="false"/>
          <w:iCs w:val="false"/>
          <w:color w:val="2C2C2C"/>
          <w:sz w:val="22"/>
          <w:szCs w:val="22"/>
        </w:rPr>
        <w:t xml:space="preserve">The resulting index has a mean of 2.723 (std = 0.504), ranging from 1.25 to 4.00, providing a normally distributed continuous measure of employee engagement across the workforce.</w:t>
      </w:r>
    </w:p>
    <w:p>
      <w:pPr>
        <w:spacing w:after="100"/>
      </w:pPr>
    </w:p>
    <w:p>
      <w:pPr>
        <w:pStyle w:val="Heading2"/>
        <w:spacing w:after="160" w:before="240"/>
      </w:pPr>
      <w:r>
        <w:rPr>
          <w:rFonts w:ascii="Arial" w:cs="Arial" w:eastAsia="Arial" w:hAnsi="Arial"/>
          <w:b/>
          <w:bCs/>
          <w:color w:val="1F3864"/>
          <w:sz w:val="32"/>
          <w:szCs w:val="32"/>
        </w:rPr>
        <w:t xml:space="preserve">3.3 Burnout Risk Score Construction</w:t>
      </w:r>
    </w:p>
    <w:p>
      <w:pPr>
        <w:spacing w:after="160" w:line="288"/>
        <w:jc w:val="both"/>
      </w:pPr>
      <w:r>
        <w:rPr>
          <w:rFonts w:ascii="Arial" w:cs="Arial" w:eastAsia="Arial" w:hAnsi="Arial"/>
          <w:b w:val="false"/>
          <w:bCs w:val="false"/>
          <w:i w:val="false"/>
          <w:iCs w:val="false"/>
          <w:color w:val="2C2C2C"/>
          <w:sz w:val="22"/>
          <w:szCs w:val="22"/>
        </w:rPr>
        <w:t xml:space="preserve">A Burnout Risk Score was engineered using two binary indicators associated with workplace stress and burnout:</w:t>
      </w:r>
    </w:p>
    <w:p>
      <w:pPr>
        <w:pStyle w:val="ListParagraph"/>
        <w:numPr>
          <w:ilvl w:val="0"/>
          <w:numId w:val="2"/>
        </w:numPr>
        <w:spacing w:after="100"/>
      </w:pPr>
      <w:r>
        <w:rPr>
          <w:rFonts w:ascii="Arial" w:cs="Arial" w:eastAsia="Arial" w:hAnsi="Arial"/>
          <w:color w:val="2C2C2C"/>
          <w:sz w:val="22"/>
          <w:szCs w:val="22"/>
        </w:rPr>
        <w:t xml:space="preserve">Overtime: +1 point if employee works overtime (df['overtime'] == 'Yes')</w:t>
      </w:r>
    </w:p>
    <w:p>
      <w:pPr>
        <w:pStyle w:val="ListParagraph"/>
        <w:numPr>
          <w:ilvl w:val="0"/>
          <w:numId w:val="2"/>
        </w:numPr>
        <w:spacing w:after="100"/>
      </w:pPr>
      <w:r>
        <w:rPr>
          <w:rFonts w:ascii="Arial" w:cs="Arial" w:eastAsia="Arial" w:hAnsi="Arial"/>
          <w:color w:val="2C2C2C"/>
          <w:sz w:val="22"/>
          <w:szCs w:val="22"/>
        </w:rPr>
        <w:t xml:space="preserve">Poor Work-Life Balance: +1 point if work-life balance rating &lt;= 2 (Poor or Fair)</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The resulting score (0, 1, or 2) was mapped to three risk categories: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Risk Level</w:t>
            </w:r>
          </w:p>
        </w:tc>
        <w:tc>
          <w:tcPr>
            <w:tcW w:type="dxa" w:w="58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Low</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overtime, adequate work-life balance</w:t>
            </w:r>
          </w:p>
        </w:tc>
      </w:tr>
      <w:tr>
        <w:tc>
          <w:tcPr>
            <w:tcW w:type="dxa" w:w="15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1</w:t>
            </w:r>
          </w:p>
        </w:tc>
        <w:tc>
          <w:tcPr>
            <w:tcW w:type="dxa" w:w="2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Medium</w:t>
            </w:r>
          </w:p>
        </w:tc>
        <w:tc>
          <w:tcPr>
            <w:tcW w:type="dxa" w:w="58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One risk factor present — monitoring recommended</w:t>
            </w:r>
          </w:p>
        </w:tc>
      </w:tr>
      <w:tr>
        <w:tc>
          <w:tcPr>
            <w:tcW w:type="dxa" w:w="1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c>
          <w:tcPr>
            <w:tcW w:type="dxa" w:w="58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Both risk factors present — immediate intervention required</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4: Burnout Risk Classification</w:t>
      </w:r>
    </w:p>
    <w:p>
      <w:pPr>
        <w:spacing w:after="100"/>
      </w:pPr>
    </w:p>
    <w:p>
      <w:pPr>
        <w:pStyle w:val="Heading2"/>
        <w:spacing w:after="160" w:before="240"/>
      </w:pPr>
      <w:r>
        <w:rPr>
          <w:rFonts w:ascii="Arial" w:cs="Arial" w:eastAsia="Arial" w:hAnsi="Arial"/>
          <w:b/>
          <w:bCs/>
          <w:color w:val="1F3864"/>
          <w:sz w:val="32"/>
          <w:szCs w:val="32"/>
        </w:rPr>
        <w:t xml:space="preserve">3.4 Additional Derived Features</w:t>
      </w:r>
    </w:p>
    <w:p>
      <w:pPr>
        <w:pStyle w:val="ListParagraph"/>
        <w:numPr>
          <w:ilvl w:val="0"/>
          <w:numId w:val="2"/>
        </w:numPr>
        <w:spacing w:after="100"/>
      </w:pPr>
      <w:r>
        <w:rPr>
          <w:rFonts w:ascii="Arial" w:cs="Arial" w:eastAsia="Arial" w:hAnsi="Arial"/>
          <w:color w:val="2C2C2C"/>
          <w:sz w:val="22"/>
          <w:szCs w:val="22"/>
        </w:rPr>
        <w:t xml:space="preserve">Commute Type: Long/Short binary classification based on median distancefromhome (median = 7km)</w:t>
      </w:r>
    </w:p>
    <w:p>
      <w:pPr>
        <w:pStyle w:val="ListParagraph"/>
        <w:numPr>
          <w:ilvl w:val="0"/>
          <w:numId w:val="2"/>
        </w:numPr>
        <w:spacing w:after="100"/>
      </w:pPr>
      <w:r>
        <w:rPr>
          <w:rFonts w:ascii="Arial" w:cs="Arial" w:eastAsia="Arial" w:hAnsi="Arial"/>
          <w:color w:val="2C2C2C"/>
          <w:sz w:val="22"/>
          <w:szCs w:val="22"/>
        </w:rPr>
        <w:t xml:space="preserve">Tenure Group: Four bands using pd.cut() — 0-2 years, 3-5 years, 6-10 years, 10+ years</w:t>
      </w:r>
    </w:p>
    <w:p>
      <w:pPr>
        <w:pStyle w:val="ListParagraph"/>
        <w:numPr>
          <w:ilvl w:val="0"/>
          <w:numId w:val="2"/>
        </w:numPr>
        <w:spacing w:after="100"/>
      </w:pPr>
      <w:r>
        <w:rPr>
          <w:rFonts w:ascii="Arial" w:cs="Arial" w:eastAsia="Arial" w:hAnsi="Arial"/>
          <w:color w:val="2C2C2C"/>
          <w:sz w:val="22"/>
          <w:szCs w:val="22"/>
        </w:rPr>
        <w:t xml:space="preserve">Role Tenure Group: Four bands for yearsincurrentrole — 0-2, 3-5, 6-10, 10+ years</w:t>
      </w:r>
    </w:p>
    <w:p>
      <w:pPr>
        <w:pStyle w:val="ListParagraph"/>
        <w:numPr>
          <w:ilvl w:val="0"/>
          <w:numId w:val="2"/>
        </w:numPr>
        <w:spacing w:after="100"/>
      </w:pPr>
      <w:r>
        <w:rPr>
          <w:rFonts w:ascii="Arial" w:cs="Arial" w:eastAsia="Arial" w:hAnsi="Arial"/>
          <w:color w:val="2C2C2C"/>
          <w:sz w:val="22"/>
          <w:szCs w:val="22"/>
        </w:rPr>
        <w:t xml:space="preserve">Workload Stress Indicator: Sum of overtime (Yes=1) + frequent travel (Travel_Frequently=1) — range 0-2</w:t>
      </w:r>
    </w:p>
    <w:p>
      <w:pPr>
        <w:pStyle w:val="ListParagraph"/>
        <w:numPr>
          <w:ilvl w:val="0"/>
          <w:numId w:val="2"/>
        </w:numPr>
        <w:spacing w:after="100"/>
      </w:pPr>
      <w:r>
        <w:rPr>
          <w:rFonts w:ascii="Arial" w:cs="Arial" w:eastAsia="Arial" w:hAnsi="Arial"/>
          <w:color w:val="2C2C2C"/>
          <w:sz w:val="22"/>
          <w:szCs w:val="22"/>
        </w:rPr>
        <w:t xml:space="preserve">Satisfaction Stability Score: Row-wise std of the four engagement dimensions — lower = more stable</w:t>
      </w:r>
    </w:p>
    <w:p>
      <w:pPr>
        <w:spacing w:after="100"/>
      </w:pPr>
    </w:p>
    <w:p>
      <w:pPr>
        <w:pStyle w:val="Heading2"/>
        <w:spacing w:after="160" w:before="240"/>
      </w:pPr>
      <w:r>
        <w:rPr>
          <w:rFonts w:ascii="Arial" w:cs="Arial" w:eastAsia="Arial" w:hAnsi="Arial"/>
          <w:b/>
          <w:bCs/>
          <w:color w:val="1F3864"/>
          <w:sz w:val="32"/>
          <w:szCs w:val="32"/>
        </w:rPr>
        <w:t xml:space="preserve">3.5 Segmentation Analysis</w:t>
      </w:r>
    </w:p>
    <w:p>
      <w:pPr>
        <w:spacing w:after="160" w:line="288"/>
        <w:jc w:val="both"/>
      </w:pPr>
      <w:r>
        <w:rPr>
          <w:rFonts w:ascii="Arial" w:cs="Arial" w:eastAsia="Arial" w:hAnsi="Arial"/>
          <w:b w:val="false"/>
          <w:bCs w:val="false"/>
          <w:i w:val="false"/>
          <w:iCs w:val="false"/>
          <w:color w:val="2C2C2C"/>
          <w:sz w:val="22"/>
          <w:szCs w:val="22"/>
        </w:rPr>
        <w:t xml:space="preserve">Engagement and burnout metrics were aggregated and compared across the following dimensions using groupby() operations: Overtime status, Business travel frequency, Commute type (Long/Short), Job level (1-5), Company tenure group, Role tenure group, Department, and Attrition status (retained vs churned).</w:t>
      </w:r>
    </w:p>
    <w:p>
      <w:pPr>
        <w:spacing w:after="100"/>
      </w:pPr>
    </w:p>
    <w:p>
      <w:pPr>
        <w:pStyle w:val="Heading2"/>
        <w:spacing w:after="160" w:before="240"/>
      </w:pPr>
      <w:r>
        <w:rPr>
          <w:rFonts w:ascii="Arial" w:cs="Arial" w:eastAsia="Arial" w:hAnsi="Arial"/>
          <w:b/>
          <w:bCs/>
          <w:color w:val="1F3864"/>
          <w:sz w:val="32"/>
          <w:szCs w:val="32"/>
        </w:rPr>
        <w:t xml:space="preserve">3.6 Visualisation</w:t>
      </w:r>
    </w:p>
    <w:p>
      <w:pPr>
        <w:spacing w:after="160" w:line="288"/>
        <w:jc w:val="both"/>
      </w:pPr>
      <w:r>
        <w:rPr>
          <w:rFonts w:ascii="Arial" w:cs="Arial" w:eastAsia="Arial" w:hAnsi="Arial"/>
          <w:b w:val="false"/>
          <w:bCs w:val="false"/>
          <w:i w:val="false"/>
          <w:iCs w:val="false"/>
          <w:color w:val="2C2C2C"/>
          <w:sz w:val="22"/>
          <w:szCs w:val="22"/>
        </w:rPr>
        <w:t xml:space="preserve">Nine visualisations were produced in the exploratory analysis phase using Matplotlib, covering engagement distribution, burnout risk levels, overtime vs engagement, overtime vs attrition, business travel vs burnout, engagement by job level, tenure group engagement, engagement vs attrition boxplot, and burnout score vs attrition boxplot. These were subsequently translated into interactive Plotly charts within the Streamlit dashboard.</w:t>
      </w:r>
    </w:p>
    <w:p>
      <w:r>
        <w:br w:type="page"/>
      </w:r>
    </w:p>
    <w:p>
      <w:pPr>
        <w:pStyle w:val="Heading1"/>
        <w:spacing w:after="160" w:before="360"/>
      </w:pPr>
      <w:r>
        <w:rPr>
          <w:rFonts w:ascii="Arial" w:cs="Arial" w:eastAsia="Arial" w:hAnsi="Arial"/>
          <w:b/>
          <w:bCs/>
          <w:color w:val="1F3864"/>
          <w:sz w:val="40"/>
          <w:szCs w:val="40"/>
        </w:rPr>
        <w:t xml:space="preserve">4. Key Findings</w:t>
      </w:r>
    </w:p>
    <w:p>
      <w:pPr>
        <w:pBdr>
          <w:bottom w:val="single" w:color="C0C8D8" w:sz="4" w:space="1"/>
        </w:pBdr>
        <w:spacing w:after="0"/>
      </w:pPr>
    </w:p>
    <w:p>
      <w:pPr>
        <w:pStyle w:val="Heading2"/>
        <w:spacing w:after="160" w:before="240"/>
      </w:pPr>
      <w:r>
        <w:rPr>
          <w:rFonts w:ascii="Arial" w:cs="Arial" w:eastAsia="Arial" w:hAnsi="Arial"/>
          <w:b/>
          <w:bCs/>
          <w:color w:val="1F3864"/>
          <w:sz w:val="32"/>
          <w:szCs w:val="32"/>
        </w:rPr>
        <w:t xml:space="preserve">4.1 Overall Workforce Engagement Profile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Overall Attrition Rate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237 of 1,470 employees left</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Mean Engagement Index</w:t>
            </w:r>
          </w:p>
        </w:tc>
        <w:tc>
          <w:tcPr>
            <w:tcW w:type="dxa" w:w="2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2.723 / 4.00</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Moderate engagement across workforce</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 Burnout Risk Employees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~28%</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 + poor WLB combined</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Mean Work-Life Balance</w:t>
            </w:r>
          </w:p>
        </w:tc>
        <w:tc>
          <w:tcPr>
            <w:tcW w:type="dxa" w:w="2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2.76 / 4.00</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Below midpoint — systemic concern</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 Workers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28.3%</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416 employees work overtime</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Overtime Attrition Rate</w:t>
            </w:r>
          </w:p>
        </w:tc>
        <w:tc>
          <w:tcPr>
            <w:tcW w:type="dxa" w:w="2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30.5%</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vs 10.4% for non-overtime — 2.93x</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Churned Employee Engagement</w:t>
            </w:r>
          </w:p>
        </w:tc>
        <w:tc>
          <w:tcPr>
            <w:tcW w:type="dxa" w:w="2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2.51</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vs 2.76 for retained — significant gap</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Churned Employee Burnout Score</w:t>
            </w:r>
          </w:p>
        </w:tc>
        <w:tc>
          <w:tcPr>
            <w:tcW w:type="dxa" w:w="2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0.89</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vs 0.51 for retained — 74% higher</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5: Overall Workforce KPIs</w:t>
      </w:r>
    </w:p>
    <w:p>
      <w:pPr>
        <w:spacing w:after="100"/>
      </w:pPr>
    </w:p>
    <w:p>
      <w:pPr>
        <w:pStyle w:val="Heading2"/>
        <w:spacing w:after="160" w:before="240"/>
      </w:pPr>
      <w:r>
        <w:rPr>
          <w:rFonts w:ascii="Arial" w:cs="Arial" w:eastAsia="Arial" w:hAnsi="Arial"/>
          <w:b/>
          <w:bCs/>
          <w:color w:val="1F3864"/>
          <w:sz w:val="32"/>
          <w:szCs w:val="32"/>
        </w:rPr>
        <w:t xml:space="preserve">4.2 Critical Finding — Overtime and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6"/>
              <w:bottom w:val="single" w:color="B8860B" w:sz="1"/>
              <w:right w:val="single" w:color="CCCCCC" w:sz="1"/>
            </w:tcBorders>
            <w:shd w:fill="FFF3CD" w:val="clear"/>
            <w:tcMar>
              <w:top w:type="dxa" w:w="160"/>
              <w:left w:type="dxa" w:w="240"/>
              <w:bottom w:type="dxa" w:w="160"/>
              <w:right w:type="dxa" w:w="240"/>
            </w:tcMar>
          </w:tcPr>
          <w:p>
            <w:pPr>
              <w:spacing w:after="60"/>
            </w:pPr>
            <w:r>
              <w:rPr>
                <w:rFonts w:ascii="Arial" w:cs="Arial" w:eastAsia="Arial" w:hAnsi="Arial"/>
                <w:b/>
                <w:bCs/>
                <w:color w:val="B8860B"/>
                <w:sz w:val="20"/>
                <w:szCs w:val="20"/>
              </w:rPr>
              <w:t xml:space="preserve">HEADLINE FINDING</w:t>
            </w:r>
          </w:p>
          <w:p>
            <w:pPr>
              <w:spacing w:after="0" w:line="276"/>
              <w:jc w:val="both"/>
            </w:pPr>
            <w:r>
              <w:rPr>
                <w:rFonts w:ascii="Arial" w:cs="Arial" w:eastAsia="Arial" w:hAnsi="Arial"/>
                <w:color w:val="2D2007"/>
                <w:sz w:val="22"/>
                <w:szCs w:val="22"/>
              </w:rPr>
              <w:t xml:space="preserve">Employees who work overtime leave at a rate of 30.5%, nearly three times the 10.4% attrition rate of non-overtime employees. This single factor — overtime status — is the strongest individual predictor of attrition in the dataset and represents the highest-priority intervention opportunity for the organisation.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Overtime Status</w:t>
            </w:r>
          </w:p>
        </w:tc>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Engagement Index</w:t>
            </w:r>
          </w:p>
        </w:tc>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Attrition Rate</w:t>
            </w:r>
          </w:p>
        </w:tc>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Burnout Score</w:t>
            </w:r>
          </w:p>
        </w:tc>
      </w:tr>
      <w:tr>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Overtime</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2.699</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10.4%</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0.510</w:t>
            </w:r>
          </w:p>
        </w:tc>
      </w:tr>
      <w:tr>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Yes — Overtime</w:t>
            </w:r>
          </w:p>
        </w:tc>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2.784</w:t>
            </w:r>
          </w:p>
        </w:tc>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30.5%</w:t>
            </w:r>
          </w:p>
        </w:tc>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0.886</w:t>
            </w:r>
          </w:p>
        </w:tc>
      </w:tr>
      <w:tr>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Difference</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+0.085</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 pp</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+0.376</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6: Overtime Impact on Key Metrics</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Notably, overtime workers actually show slightly higher engagement index (2.784 vs 2.699), suggesting that highly engaged employees may be more susceptible to being assigned overtime — making their elevated attrition rate even more concerning from a talent retention perspective.</w:t>
      </w:r>
    </w:p>
    <w:p>
      <w:pPr>
        <w:spacing w:after="100"/>
      </w:pPr>
    </w:p>
    <w:p>
      <w:pPr>
        <w:pStyle w:val="Heading2"/>
        <w:spacing w:after="160" w:before="240"/>
      </w:pPr>
      <w:r>
        <w:rPr>
          <w:rFonts w:ascii="Arial" w:cs="Arial" w:eastAsia="Arial" w:hAnsi="Arial"/>
          <w:b/>
          <w:bCs/>
          <w:color w:val="1F3864"/>
          <w:sz w:val="32"/>
          <w:szCs w:val="32"/>
        </w:rPr>
        <w:t xml:space="preserve">4.3 Engagement vs Attrition Relationship</w:t>
      </w:r>
    </w:p>
    <w:p>
      <w:pPr>
        <w:spacing w:after="160" w:line="288"/>
        <w:jc w:val="both"/>
      </w:pPr>
      <w:r>
        <w:rPr>
          <w:rFonts w:ascii="Arial" w:cs="Arial" w:eastAsia="Arial" w:hAnsi="Arial"/>
          <w:b w:val="false"/>
          <w:bCs w:val="false"/>
          <w:i w:val="false"/>
          <w:iCs w:val="false"/>
          <w:color w:val="2C2C2C"/>
          <w:sz w:val="22"/>
          <w:szCs w:val="22"/>
        </w:rPr>
        <w:t xml:space="preserve">Analysis of the engagement_index and burnout_score by attrition status reveals a clear and statistically meaningful separation between retained and churned employees: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Retained (Attrition=0)</w:t>
            </w:r>
          </w:p>
        </w:tc>
        <w:tc>
          <w:tcPr>
            <w:tcW w:type="dxa" w:w="2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Churned (Attrition=1)</w:t>
            </w:r>
          </w:p>
        </w:tc>
        <w:tc>
          <w:tcPr>
            <w:tcW w:type="dxa" w:w="2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Difference</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Mean Engagement Index</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2.764</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2.513</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-0.251 (9.1% lower)</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Mean Burnout Score</w:t>
            </w:r>
          </w:p>
        </w:tc>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0.511</w:t>
            </w:r>
          </w:p>
        </w:tc>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0.886</w:t>
            </w:r>
          </w:p>
        </w:tc>
        <w:tc>
          <w:tcPr>
            <w:tcW w:type="dxa" w:w="2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+0.375 (73.4% higher)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 High Burnout Risk</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~38%</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 percentage points</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7: Engagement and Burnout by Attrition Status</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The boxplot analysis (Visualisation 8) confirms that churned employees have a consistently lower engagement distribution, with a median closer to 2.5 compared to 2.75 for retained employees. The burnout score boxplot (Visualisation 9) shows churned employees skewing strongly toward scores of 1-2, while retained employees cluster around 0-1.</w:t>
      </w:r>
    </w:p>
    <w:p>
      <w:pPr>
        <w:spacing w:after="100"/>
      </w:pPr>
    </w:p>
    <w:p>
      <w:pPr>
        <w:pStyle w:val="Heading2"/>
        <w:spacing w:after="160" w:before="240"/>
      </w:pPr>
      <w:r>
        <w:rPr>
          <w:rFonts w:ascii="Arial" w:cs="Arial" w:eastAsia="Arial" w:hAnsi="Arial"/>
          <w:b/>
          <w:bCs/>
          <w:color w:val="1F3864"/>
          <w:sz w:val="32"/>
          <w:szCs w:val="32"/>
        </w:rPr>
        <w:t xml:space="preserve">4.4 Business Travel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Travel Category</w:t>
            </w:r>
          </w:p>
        </w:tc>
        <w:tc>
          <w:tcPr>
            <w:tcW w:type="dxa" w:w="2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Engagement Index</w:t>
            </w:r>
          </w:p>
        </w:tc>
        <w:tc>
          <w:tcPr>
            <w:tcW w:type="dxa" w:w="2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Burnout Score</w:t>
            </w:r>
          </w:p>
        </w:tc>
        <w:tc>
          <w:tcPr>
            <w:tcW w:type="dxa" w:w="24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Attrition Rate</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Non-Travel</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2.735</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0.533</w:t>
            </w:r>
          </w:p>
        </w:tc>
        <w:tc>
          <w:tcPr>
            <w:tcW w:type="dxa" w:w="24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8.0%</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Travel_Rarely</w:t>
            </w:r>
          </w:p>
        </w:tc>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2.715</w:t>
            </w:r>
          </w:p>
        </w:tc>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0.570</w:t>
            </w:r>
          </w:p>
        </w:tc>
        <w:tc>
          <w:tcPr>
            <w:tcW w:type="dxa" w:w="24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14.9%</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Travel_Frequently</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2.749</w:t>
            </w:r>
          </w:p>
        </w:tc>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0.596</w:t>
            </w:r>
          </w:p>
        </w:tc>
        <w:tc>
          <w:tcPr>
            <w:tcW w:type="dxa" w:w="24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24.9%</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8: Business Travel Analysis</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Frequent travellers have the highest burnout score (0.596) and attrition rate (24.9%), nearly three times that of non-travelling employees. This finding suggests that business travel frequency compounds burnout risk, particularly when combined with overtime.</w:t>
      </w:r>
    </w:p>
    <w:p>
      <w:pPr>
        <w:spacing w:after="100"/>
      </w:pPr>
    </w:p>
    <w:p>
      <w:pPr>
        <w:pStyle w:val="Heading2"/>
        <w:spacing w:after="160" w:before="240"/>
      </w:pPr>
      <w:r>
        <w:rPr>
          <w:rFonts w:ascii="Arial" w:cs="Arial" w:eastAsia="Arial" w:hAnsi="Arial"/>
          <w:b/>
          <w:bCs/>
          <w:color w:val="1F3864"/>
          <w:sz w:val="32"/>
          <w:szCs w:val="32"/>
        </w:rPr>
        <w:t xml:space="preserve">4.5 Commute Distance Effect</w:t>
      </w:r>
    </w:p>
    <w:p>
      <w:pPr>
        <w:spacing w:after="160" w:line="288"/>
        <w:jc w:val="both"/>
      </w:pPr>
      <w:r>
        <w:rPr>
          <w:rFonts w:ascii="Arial" w:cs="Arial" w:eastAsia="Arial" w:hAnsi="Arial"/>
          <w:b w:val="false"/>
          <w:bCs w:val="false"/>
          <w:i w:val="false"/>
          <w:iCs w:val="false"/>
          <w:color w:val="2C2C2C"/>
          <w:sz w:val="22"/>
          <w:szCs w:val="22"/>
        </w:rPr>
        <w:t xml:space="preserve">Contrary to expectations, commute type shows minimal impact on engagement. Long commute employees score 2.723 vs 2.724 for short commute employees — a negligible 0.001 difference. This finding suggests that remote work flexibility or compensation policies may have already neutralised commute-related stress, and commute distance should be deprioritised as an intervention target.</w:t>
      </w:r>
    </w:p>
    <w:p>
      <w:pPr>
        <w:spacing w:after="100"/>
      </w:pPr>
    </w:p>
    <w:p>
      <w:pPr>
        <w:pStyle w:val="Heading2"/>
        <w:spacing w:after="160" w:before="240"/>
      </w:pPr>
      <w:r>
        <w:rPr>
          <w:rFonts w:ascii="Arial" w:cs="Arial" w:eastAsia="Arial" w:hAnsi="Arial"/>
          <w:b/>
          <w:bCs/>
          <w:color w:val="1F3864"/>
          <w:sz w:val="32"/>
          <w:szCs w:val="32"/>
        </w:rPr>
        <w:t xml:space="preserve">4.6 Job Level and Tenure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Job Level</w:t>
            </w:r>
          </w:p>
        </w:tc>
        <w:tc>
          <w:tcPr>
            <w:tcW w:type="dxa" w:w="2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Engagement Index</w:t>
            </w:r>
          </w:p>
        </w:tc>
        <w:tc>
          <w:tcPr>
            <w:tcW w:type="dxa" w:w="4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Level 1 (Entry)</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2.726</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Moderate — high attrition segment</w:t>
            </w:r>
          </w:p>
        </w:tc>
      </w:tr>
      <w:tr>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Level 2</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2.726</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Consistent with Level 1</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Level 3 (Mid)</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2.674</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Lowest engagement — critical watch point</w:t>
            </w:r>
          </w:p>
        </w:tc>
      </w:tr>
      <w:tr>
        <w:tc>
          <w:tcPr>
            <w:tcW w:type="dxa" w:w="22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Level 4 (Senior)</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2.783</w:t>
            </w:r>
          </w:p>
        </w:tc>
        <w:tc>
          <w:tcPr>
            <w:tcW w:type="dxa" w:w="4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Highest engagement in organisation</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Level 5 (Executive)</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2.746</w:t>
            </w:r>
          </w:p>
        </w:tc>
        <w:tc>
          <w:tcPr>
            <w:tcW w:type="dxa" w:w="4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Strong but slight dip from Level 4</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9: Engagement by Job Level</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Level 3 employees — mid-career professionals — show the lowest engagement (2.674) across all job levels. This segment is typically characterised by high performance expectations, career progression uncertainty, and increasing workloads without commensurate seniority benefits. This segment warrants targeted retention and development investment.</w:t>
      </w:r>
    </w:p>
    <w:p>
      <w:pPr>
        <w:spacing w:after="100"/>
      </w:pPr>
    </w:p>
    <w:p>
      <w:pPr>
        <w:pStyle w:val="Heading2"/>
        <w:spacing w:after="160" w:before="240"/>
      </w:pPr>
      <w:r>
        <w:rPr>
          <w:rFonts w:ascii="Arial" w:cs="Arial" w:eastAsia="Arial" w:hAnsi="Arial"/>
          <w:b/>
          <w:bCs/>
          <w:color w:val="1F3864"/>
          <w:sz w:val="32"/>
          <w:szCs w:val="32"/>
        </w:rPr>
        <w:t xml:space="preserve">4.7 Tenure Group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Tenure Group</w:t>
            </w:r>
          </w:p>
        </w:tc>
        <w:tc>
          <w:tcPr>
            <w:tcW w:type="dxa" w:w="234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Avg Engagement</w:t>
            </w:r>
          </w:p>
        </w:tc>
        <w:tc>
          <w:tcPr>
            <w:tcW w:type="dxa" w:w="468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Observation</w:t>
            </w:r>
          </w:p>
        </w:tc>
      </w:tr>
      <w:tr>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 years</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2.719</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New joiner adjustment period</w:t>
            </w:r>
          </w:p>
        </w:tc>
      </w:tr>
      <w:tr>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3-5 years</w:t>
            </w:r>
          </w:p>
        </w:tc>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2.705</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Lowest — common churn window</w:t>
            </w:r>
          </w:p>
        </w:tc>
      </w:tr>
      <w:tr>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6-10 years</w:t>
            </w:r>
          </w:p>
        </w:tc>
        <w:tc>
          <w:tcPr>
            <w:tcW w:type="dxa" w:w="234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2.744</w:t>
            </w:r>
          </w:p>
        </w:tc>
        <w:tc>
          <w:tcPr>
            <w:tcW w:type="dxa" w:w="468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Most established, slightly higher engagement</w:t>
            </w:r>
          </w:p>
        </w:tc>
      </w:tr>
      <w:tr>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10+ years</w:t>
            </w:r>
          </w:p>
        </w:tc>
        <w:tc>
          <w:tcPr>
            <w:tcW w:type="dxa" w:w="234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2.720</w:t>
            </w:r>
          </w:p>
        </w:tc>
        <w:tc>
          <w:tcPr>
            <w:tcW w:type="dxa" w:w="468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Experienced cohort, stable but slightly lower</w:t>
            </w:r>
          </w:p>
        </w:tc>
      </w:tr>
    </w:tbl>
    <w:p>
      <w:pPr>
        <w:spacing w:after="160"/>
      </w:pPr>
    </w:p>
    <w:p>
      <w:pPr>
        <w:spacing w:after="160" w:line="288"/>
        <w:jc w:val="both"/>
      </w:pPr>
      <w:r>
        <w:rPr>
          <w:rFonts w:ascii="Arial" w:cs="Arial" w:eastAsia="Arial" w:hAnsi="Arial"/>
          <w:b w:val="false"/>
          <w:bCs w:val="false"/>
          <w:i w:val="false"/>
          <w:iCs w:val="false"/>
          <w:color w:val="2C2C2C"/>
          <w:sz w:val="22"/>
          <w:szCs w:val="22"/>
        </w:rPr>
        <w:t xml:space="preserve">Table 10: Engagement by Tenure Group</w:t>
      </w:r>
    </w:p>
    <w:p>
      <w:pPr>
        <w:spacing w:after="80"/>
      </w:pPr>
    </w:p>
    <w:p>
      <w:pPr>
        <w:spacing w:after="160" w:line="288"/>
        <w:jc w:val="both"/>
      </w:pPr>
      <w:r>
        <w:rPr>
          <w:rFonts w:ascii="Arial" w:cs="Arial" w:eastAsia="Arial" w:hAnsi="Arial"/>
          <w:b w:val="false"/>
          <w:bCs w:val="false"/>
          <w:i w:val="false"/>
          <w:iCs w:val="false"/>
          <w:color w:val="2C2C2C"/>
          <w:sz w:val="22"/>
          <w:szCs w:val="22"/>
        </w:rPr>
        <w:t xml:space="preserve">Employees with 3-5 years of tenure show the lowest engagement (2.705), consistent with the well-documented '3-year itch' — the period when employees who have completed their initial growth phase begin evaluating external opportunities. This cohort should be a priority for structured career development conversations and retention programmes.</w:t>
      </w:r>
    </w:p>
    <w:p>
      <w:r>
        <w:br w:type="page"/>
      </w:r>
    </w:p>
    <w:p>
      <w:pPr>
        <w:pStyle w:val="Heading1"/>
        <w:spacing w:after="160" w:before="360"/>
      </w:pPr>
      <w:r>
        <w:rPr>
          <w:rFonts w:ascii="Arial" w:cs="Arial" w:eastAsia="Arial" w:hAnsi="Arial"/>
          <w:b/>
          <w:bCs/>
          <w:color w:val="1F3864"/>
          <w:sz w:val="40"/>
          <w:szCs w:val="40"/>
        </w:rPr>
        <w:t xml:space="preserve">5. Key Performance Indicators</w:t>
      </w:r>
    </w:p>
    <w:p>
      <w:pPr>
        <w:pBdr>
          <w:bottom w:val="single" w:color="C0C8D8" w:sz="4" w:space="1"/>
        </w:pBdr>
        <w:spacing w:after="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Formula / Source</w:t>
            </w:r>
          </w:p>
        </w:tc>
        <w:tc>
          <w:tcPr>
            <w:tcW w:type="dxa" w:w="16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2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 Index</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Mean of 4 satisfaction dimensions</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2.723 / 4.00</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Composite workforce engagement score</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Burnout Risk Score</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Overtime + WLB &lt;= 2</w:t>
            </w:r>
          </w:p>
        </w:tc>
        <w:tc>
          <w:tcPr>
            <w:tcW w:type="dxa" w:w="1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 / 1 / 2</w:t>
            </w:r>
          </w:p>
        </w:tc>
        <w:tc>
          <w:tcPr>
            <w:tcW w:type="dxa" w:w="2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Individual burnout risk indicator</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Work-Life Balance Index</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Mean of worklifebalance column</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2.76 / 4.00</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Average balance rating across workforce</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Satisfaction Stability Score</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Row std of 4 engagement dims</w:t>
            </w:r>
          </w:p>
        </w:tc>
        <w:tc>
          <w:tcPr>
            <w:tcW w:type="dxa" w:w="1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~0.90</w:t>
            </w:r>
          </w:p>
        </w:tc>
        <w:tc>
          <w:tcPr>
            <w:tcW w:type="dxa" w:w="2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Consistency of satisfaction across dimensions</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Workload Stress Indicator</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Overtime + Frequent Travel</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 / 1 / 2</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Combined workload pressure score</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Overtime Attrition Multiplier</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OT attrition / Non-OT attrition</w:t>
            </w:r>
          </w:p>
        </w:tc>
        <w:tc>
          <w:tcPr>
            <w:tcW w:type="dxa" w:w="1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2.93x</w:t>
            </w:r>
          </w:p>
        </w:tc>
        <w:tc>
          <w:tcPr>
            <w:tcW w:type="dxa" w:w="2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Relative attrition risk from overtime</w:t>
            </w:r>
          </w:p>
        </w:tc>
      </w:tr>
      <w:tr>
        <w:tc>
          <w:tcPr>
            <w:tcW w:type="dxa" w:w="2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Engagement-Attrition Gap</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Retained eng - Churned eng</w:t>
            </w:r>
          </w:p>
        </w:tc>
        <w:tc>
          <w:tcPr>
            <w:tcW w:type="dxa" w:w="16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0.251</w:t>
            </w:r>
          </w:p>
        </w:tc>
        <w:tc>
          <w:tcPr>
            <w:tcW w:type="dxa" w:w="2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 difference between groups</w:t>
            </w:r>
          </w:p>
        </w:tc>
      </w:tr>
      <w:tr>
        <w:tc>
          <w:tcPr>
            <w:tcW w:type="dxa" w:w="2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High Burnout Rate</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 employees with score = 2</w:t>
            </w:r>
          </w:p>
        </w:tc>
        <w:tc>
          <w:tcPr>
            <w:tcW w:type="dxa" w:w="16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~28%</w:t>
            </w:r>
          </w:p>
        </w:tc>
        <w:tc>
          <w:tcPr>
            <w:tcW w:type="dxa" w:w="2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Proportion at immediate risk</w:t>
            </w:r>
          </w:p>
        </w:tc>
      </w:tr>
    </w:tbl>
    <w:p>
      <w:pPr>
        <w:spacing w:after="200"/>
      </w:pPr>
    </w:p>
    <w:p>
      <w:pPr>
        <w:spacing w:after="160" w:line="288"/>
        <w:jc w:val="both"/>
      </w:pPr>
      <w:r>
        <w:rPr>
          <w:rFonts w:ascii="Arial" w:cs="Arial" w:eastAsia="Arial" w:hAnsi="Arial"/>
          <w:b w:val="false"/>
          <w:bCs w:val="false"/>
          <w:i w:val="false"/>
          <w:iCs w:val="false"/>
          <w:color w:val="2C2C2C"/>
          <w:sz w:val="22"/>
          <w:szCs w:val="22"/>
        </w:rPr>
        <w:t xml:space="preserve">Table 11: Key Performance Indicators Summary</w:t>
      </w:r>
    </w:p>
    <w:p>
      <w:r>
        <w:br w:type="page"/>
      </w:r>
    </w:p>
    <w:p>
      <w:pPr>
        <w:pStyle w:val="Heading1"/>
        <w:spacing w:after="160" w:before="360"/>
      </w:pPr>
      <w:r>
        <w:rPr>
          <w:rFonts w:ascii="Arial" w:cs="Arial" w:eastAsia="Arial" w:hAnsi="Arial"/>
          <w:b/>
          <w:bCs/>
          <w:color w:val="1F3864"/>
          <w:sz w:val="40"/>
          <w:szCs w:val="40"/>
        </w:rPr>
        <w:t xml:space="preserve">6. Streamlit Web Application</w:t>
      </w:r>
    </w:p>
    <w:p>
      <w:pPr>
        <w:pBdr>
          <w:bottom w:val="single" w:color="C0C8D8" w:sz="4" w:space="1"/>
        </w:pBdr>
        <w:spacing w:after="0"/>
      </w:pPr>
    </w:p>
    <w:p>
      <w:pPr>
        <w:spacing w:after="160" w:line="288"/>
        <w:jc w:val="both"/>
      </w:pPr>
      <w:r>
        <w:rPr>
          <w:rFonts w:ascii="Arial" w:cs="Arial" w:eastAsia="Arial" w:hAnsi="Arial"/>
          <w:b w:val="false"/>
          <w:bCs w:val="false"/>
          <w:i w:val="false"/>
          <w:iCs w:val="false"/>
          <w:color w:val="2C2C2C"/>
          <w:sz w:val="22"/>
          <w:szCs w:val="22"/>
        </w:rPr>
        <w:t xml:space="preserve">A fully interactive Streamlit web application was developed to translate the analytical findings into a real-time HR intelligence tool accessible to HR managers, department heads, and executive leadership without requiring technical expertise.</w:t>
      </w:r>
    </w:p>
    <w:p>
      <w:pPr>
        <w:spacing w:after="100"/>
      </w:pPr>
    </w:p>
    <w:p>
      <w:pPr>
        <w:pStyle w:val="Heading2"/>
        <w:spacing w:after="160" w:before="240"/>
      </w:pPr>
      <w:r>
        <w:rPr>
          <w:rFonts w:ascii="Arial" w:cs="Arial" w:eastAsia="Arial" w:hAnsi="Arial"/>
          <w:b/>
          <w:bCs/>
          <w:color w:val="1F3864"/>
          <w:sz w:val="32"/>
          <w:szCs w:val="32"/>
        </w:rPr>
        <w:t xml:space="preserve">6.1 Dashboard Architecture</w:t>
      </w:r>
    </w:p>
    <w:p>
      <w:pPr>
        <w:spacing w:after="160" w:line="288"/>
        <w:jc w:val="both"/>
      </w:pPr>
      <w:r>
        <w:rPr>
          <w:rFonts w:ascii="Arial" w:cs="Arial" w:eastAsia="Arial" w:hAnsi="Arial"/>
          <w:b w:val="false"/>
          <w:bCs w:val="false"/>
          <w:i w:val="false"/>
          <w:iCs w:val="false"/>
          <w:color w:val="2C2C2C"/>
          <w:sz w:val="22"/>
          <w:szCs w:val="22"/>
        </w:rPr>
        <w:t xml:space="preserve">The application is structured into four tabbed dashboard modules matching the project requirements:</w:t>
      </w:r>
    </w:p>
    <w:p>
      <w:pPr>
        <w:pStyle w:val="ListParagraph"/>
        <w:numPr>
          <w:ilvl w:val="0"/>
          <w:numId w:val="2"/>
        </w:numPr>
        <w:spacing w:after="100"/>
      </w:pPr>
      <w:r>
        <w:rPr>
          <w:rFonts w:ascii="Arial" w:cs="Arial" w:eastAsia="Arial" w:hAnsi="Arial"/>
          <w:color w:val="2C2C2C"/>
          <w:sz w:val="22"/>
          <w:szCs w:val="22"/>
        </w:rPr>
        <w:t xml:space="preserve">Engagement Health Overview: Engagement index distribution histogram with threshold and average lines, all five satisfaction dimensions horizontal bar chart, department-level engagement vs attrition dual-axis chart, and engagement vs attrition boxplot comparison</w:t>
      </w:r>
    </w:p>
    <w:p>
      <w:pPr>
        <w:pStyle w:val="ListParagraph"/>
        <w:numPr>
          <w:ilvl w:val="0"/>
          <w:numId w:val="2"/>
        </w:numPr>
        <w:spacing w:after="100"/>
      </w:pPr>
      <w:r>
        <w:rPr>
          <w:rFonts w:ascii="Arial" w:cs="Arial" w:eastAsia="Arial" w:hAnsi="Arial"/>
          <w:color w:val="2C2C2C"/>
          <w:sz w:val="22"/>
          <w:szCs w:val="22"/>
        </w:rPr>
        <w:t xml:space="preserve">Burnout Risk Dashboard: Burnout risk level distribution, overtime vs attrition rate bar chart, work-life balance vs burnout score chart, business travel vs burnout dual-axis chart, and a department-overtime burnout heatmap</w:t>
      </w:r>
    </w:p>
    <w:p>
      <w:pPr>
        <w:pStyle w:val="ListParagraph"/>
        <w:numPr>
          <w:ilvl w:val="0"/>
          <w:numId w:val="2"/>
        </w:numPr>
        <w:spacing w:after="100"/>
      </w:pPr>
      <w:r>
        <w:rPr>
          <w:rFonts w:ascii="Arial" w:cs="Arial" w:eastAsia="Arial" w:hAnsi="Arial"/>
          <w:color w:val="2C2C2C"/>
          <w:sz w:val="22"/>
          <w:szCs w:val="22"/>
        </w:rPr>
        <w:t xml:space="preserve">Role &amp; Career Stage Analysis: Engagement by job role with threshold flagging, job level engagement trend line, tenure group engagement and attrition bars, and a full role-level summary table</w:t>
      </w:r>
    </w:p>
    <w:p>
      <w:pPr>
        <w:pStyle w:val="ListParagraph"/>
        <w:numPr>
          <w:ilvl w:val="0"/>
          <w:numId w:val="2"/>
        </w:numPr>
        <w:spacing w:after="100"/>
      </w:pPr>
      <w:r>
        <w:rPr>
          <w:rFonts w:ascii="Arial" w:cs="Arial" w:eastAsia="Arial" w:hAnsi="Arial"/>
          <w:color w:val="2C2C2C"/>
          <w:sz w:val="22"/>
          <w:szCs w:val="22"/>
        </w:rPr>
        <w:t xml:space="preserve">Manager Action Panel: Live low-engagement alerts with risk badges, workload stress by department, satisfaction stability volatility chart, and six auto-generated data-driven recommended actions</w:t>
      </w:r>
    </w:p>
    <w:p>
      <w:pPr>
        <w:spacing w:after="100"/>
      </w:pPr>
    </w:p>
    <w:p>
      <w:pPr>
        <w:pStyle w:val="Heading2"/>
        <w:spacing w:after="160" w:before="240"/>
      </w:pPr>
      <w:r>
        <w:rPr>
          <w:rFonts w:ascii="Arial" w:cs="Arial" w:eastAsia="Arial" w:hAnsi="Arial"/>
          <w:b/>
          <w:bCs/>
          <w:color w:val="1F3864"/>
          <w:sz w:val="32"/>
          <w:szCs w:val="32"/>
        </w:rPr>
        <w:t xml:space="preserve">6.2 User Capabilities</w:t>
      </w:r>
    </w:p>
    <w:p>
      <w:pPr>
        <w:pStyle w:val="ListParagraph"/>
        <w:numPr>
          <w:ilvl w:val="0"/>
          <w:numId w:val="2"/>
        </w:numPr>
        <w:spacing w:after="100"/>
      </w:pPr>
      <w:r>
        <w:rPr>
          <w:rFonts w:ascii="Arial" w:cs="Arial" w:eastAsia="Arial" w:hAnsi="Arial"/>
          <w:color w:val="2C2C2C"/>
          <w:sz w:val="22"/>
          <w:szCs w:val="22"/>
        </w:rPr>
        <w:t xml:space="preserve">Department &amp; Role Filters: Restrict all analysis to specific department or job role</w:t>
      </w:r>
    </w:p>
    <w:p>
      <w:pPr>
        <w:pStyle w:val="ListParagraph"/>
        <w:numPr>
          <w:ilvl w:val="0"/>
          <w:numId w:val="2"/>
        </w:numPr>
        <w:spacing w:after="100"/>
      </w:pPr>
      <w:r>
        <w:rPr>
          <w:rFonts w:ascii="Arial" w:cs="Arial" w:eastAsia="Arial" w:hAnsi="Arial"/>
          <w:color w:val="2C2C2C"/>
          <w:sz w:val="22"/>
          <w:szCs w:val="22"/>
        </w:rPr>
        <w:t xml:space="preserve">Overtime Toggle: Filter dataset to overtime-only or non-overtime employees</w:t>
      </w:r>
    </w:p>
    <w:p>
      <w:pPr>
        <w:pStyle w:val="ListParagraph"/>
        <w:numPr>
          <w:ilvl w:val="0"/>
          <w:numId w:val="2"/>
        </w:numPr>
        <w:spacing w:after="100"/>
      </w:pPr>
      <w:r>
        <w:rPr>
          <w:rFonts w:ascii="Arial" w:cs="Arial" w:eastAsia="Arial" w:hAnsi="Arial"/>
          <w:color w:val="2C2C2C"/>
          <w:sz w:val="22"/>
          <w:szCs w:val="22"/>
        </w:rPr>
        <w:t xml:space="preserve">Engagement Threshold Slider: Dynamically set the threshold for flagging low-engagement employees (1.0 to 4.0)</w:t>
      </w:r>
    </w:p>
    <w:p>
      <w:pPr>
        <w:pStyle w:val="ListParagraph"/>
        <w:numPr>
          <w:ilvl w:val="0"/>
          <w:numId w:val="2"/>
        </w:numPr>
        <w:spacing w:after="100"/>
      </w:pPr>
      <w:r>
        <w:rPr>
          <w:rFonts w:ascii="Arial" w:cs="Arial" w:eastAsia="Arial" w:hAnsi="Arial"/>
          <w:color w:val="2C2C2C"/>
          <w:sz w:val="22"/>
          <w:szCs w:val="22"/>
        </w:rPr>
        <w:t xml:space="preserve">Tenure Range Selector: Filter employees by years at company range</w:t>
      </w:r>
    </w:p>
    <w:p>
      <w:pPr>
        <w:spacing w:after="100"/>
      </w:pPr>
    </w:p>
    <w:p>
      <w:pPr>
        <w:pStyle w:val="Heading2"/>
        <w:spacing w:after="160" w:before="240"/>
      </w:pPr>
      <w:r>
        <w:rPr>
          <w:rFonts w:ascii="Arial" w:cs="Arial" w:eastAsia="Arial" w:hAnsi="Arial"/>
          <w:b/>
          <w:bCs/>
          <w:color w:val="1F3864"/>
          <w:sz w:val="32"/>
          <w:szCs w:val="32"/>
        </w:rPr>
        <w:t xml:space="preserve">6.3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Data Processing</w:t>
            </w:r>
          </w:p>
        </w:tc>
        <w:tc>
          <w:tcPr>
            <w:tcW w:type="dxa" w:w="5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Python, pandas, NumPy</w:t>
            </w:r>
          </w:p>
        </w:tc>
      </w:tr>
      <w:tr>
        <w:tc>
          <w:tcPr>
            <w:tcW w:type="dxa" w:w="4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Visualisation</w:t>
            </w:r>
          </w:p>
        </w:tc>
        <w:tc>
          <w:tcPr>
            <w:tcW w:type="dxa" w:w="5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Plotly Express, Plotly Graph Objects</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Web Framework</w:t>
            </w:r>
          </w:p>
        </w:tc>
        <w:tc>
          <w:tcPr>
            <w:tcW w:type="dxa" w:w="5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Streamlit</w:t>
            </w:r>
          </w:p>
        </w:tc>
      </w:tr>
      <w:tr>
        <w:tc>
          <w:tcPr>
            <w:tcW w:type="dxa" w:w="4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Development Environment</w:t>
            </w:r>
          </w:p>
        </w:tc>
        <w:tc>
          <w:tcPr>
            <w:tcW w:type="dxa" w:w="53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JupyterLab, VS Code</w:t>
            </w:r>
          </w:p>
        </w:tc>
      </w:tr>
      <w:tr>
        <w:tc>
          <w:tcPr>
            <w:tcW w:type="dxa" w:w="4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Data Source</w:t>
            </w:r>
          </w:p>
        </w:tc>
        <w:tc>
          <w:tcPr>
            <w:tcW w:type="dxa" w:w="53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Palo Alto Networks.csv (IBM HR Analytics)</w:t>
            </w:r>
          </w:p>
        </w:tc>
      </w:tr>
    </w:tbl>
    <w:p>
      <w:pPr>
        <w:spacing w:after="200"/>
      </w:pPr>
    </w:p>
    <w:p>
      <w:pPr>
        <w:spacing w:after="160" w:line="288"/>
        <w:jc w:val="both"/>
      </w:pPr>
      <w:r>
        <w:rPr>
          <w:rFonts w:ascii="Arial" w:cs="Arial" w:eastAsia="Arial" w:hAnsi="Arial"/>
          <w:b w:val="false"/>
          <w:bCs w:val="false"/>
          <w:i w:val="false"/>
          <w:iCs w:val="false"/>
          <w:color w:val="2C2C2C"/>
          <w:sz w:val="22"/>
          <w:szCs w:val="22"/>
        </w:rPr>
        <w:t xml:space="preserve">Table 12: Technical Stack</w:t>
      </w:r>
    </w:p>
    <w:p>
      <w:r>
        <w:br w:type="page"/>
      </w:r>
    </w:p>
    <w:p>
      <w:pPr>
        <w:pStyle w:val="Heading1"/>
        <w:spacing w:after="160" w:before="360"/>
      </w:pPr>
      <w:r>
        <w:rPr>
          <w:rFonts w:ascii="Arial" w:cs="Arial" w:eastAsia="Arial" w:hAnsi="Arial"/>
          <w:b/>
          <w:bCs/>
          <w:color w:val="1F3864"/>
          <w:sz w:val="40"/>
          <w:szCs w:val="40"/>
        </w:rPr>
        <w:t xml:space="preserve">7. Conclusions and Recommendations</w:t>
      </w:r>
    </w:p>
    <w:p>
      <w:pPr>
        <w:pBdr>
          <w:bottom w:val="single" w:color="C0C8D8" w:sz="4" w:space="1"/>
        </w:pBdr>
        <w:spacing w:after="0"/>
      </w:pPr>
    </w:p>
    <w:p>
      <w:pPr>
        <w:pStyle w:val="Heading2"/>
        <w:spacing w:after="160" w:before="240"/>
      </w:pPr>
      <w:r>
        <w:rPr>
          <w:rFonts w:ascii="Arial" w:cs="Arial" w:eastAsia="Arial" w:hAnsi="Arial"/>
          <w:b/>
          <w:bCs/>
          <w:color w:val="1F3864"/>
          <w:sz w:val="32"/>
          <w:szCs w:val="32"/>
        </w:rPr>
        <w:t xml:space="preserve">7.1 Conclusions</w:t>
      </w:r>
    </w:p>
    <w:p>
      <w:pPr>
        <w:spacing w:after="160" w:line="288"/>
        <w:jc w:val="both"/>
      </w:pPr>
      <w:r>
        <w:rPr>
          <w:rFonts w:ascii="Arial" w:cs="Arial" w:eastAsia="Arial" w:hAnsi="Arial"/>
          <w:b w:val="false"/>
          <w:bCs w:val="false"/>
          <w:i w:val="false"/>
          <w:iCs w:val="false"/>
          <w:color w:val="2C2C2C"/>
          <w:sz w:val="22"/>
          <w:szCs w:val="22"/>
        </w:rPr>
        <w:t xml:space="preserve">This study demonstrates that employee attrition at Palo Alto Networks is not random — it is structurally driven by a small number of identifiable and manageable factors. Overtime is the single strongest predictor of attrition, creating a nearly threefold increase in departure risk. Employees who eventually leave the organisation show measurably lower engagement (2.51 vs 2.76) and significantly higher burnout scores (0.89 vs 0.51) — meaning their dissatisfaction is detectable in the data before they resign.</w:t>
      </w:r>
    </w:p>
    <w:p>
      <w:pPr>
        <w:spacing w:after="160" w:line="288"/>
        <w:jc w:val="both"/>
      </w:pPr>
      <w:r>
        <w:rPr>
          <w:rFonts w:ascii="Arial" w:cs="Arial" w:eastAsia="Arial" w:hAnsi="Arial"/>
          <w:b w:val="false"/>
          <w:bCs w:val="false"/>
          <w:i w:val="false"/>
          <w:iCs w:val="false"/>
          <w:color w:val="2C2C2C"/>
          <w:sz w:val="22"/>
          <w:szCs w:val="22"/>
        </w:rPr>
        <w:t xml:space="preserve">The 3-5 year tenure cohort and Level 3 mid-career employees represent the highest-risk segments requiring proactive retention investment. Business travel frequency compounds burnout risk and compounds attrition, particularly when combined with overtime. Commute distance, by contrast, shows negligible influence and should not be prioritised in retention strategies.</w:t>
      </w:r>
    </w:p>
    <w:p>
      <w:pPr>
        <w:spacing w:after="160" w:line="288"/>
        <w:jc w:val="both"/>
      </w:pPr>
      <w:r>
        <w:rPr>
          <w:rFonts w:ascii="Arial" w:cs="Arial" w:eastAsia="Arial" w:hAnsi="Arial"/>
          <w:b w:val="false"/>
          <w:bCs w:val="false"/>
          <w:i w:val="false"/>
          <w:iCs w:val="false"/>
          <w:color w:val="2C2C2C"/>
          <w:sz w:val="22"/>
          <w:szCs w:val="22"/>
        </w:rPr>
        <w:t xml:space="preserve">The Streamlit dashboard operationalises these insights, enabling HR teams to move from annual survey cycles to continuous, real-time workforce monitoring — flagging at-risk individuals and departments before attrition occurs rather than analysing it after the fact.</w:t>
      </w:r>
    </w:p>
    <w:p>
      <w:pPr>
        <w:spacing w:after="100"/>
      </w:pPr>
    </w:p>
    <w:p>
      <w:pPr>
        <w:pStyle w:val="Heading2"/>
        <w:spacing w:after="160" w:before="240"/>
      </w:pPr>
      <w:r>
        <w:rPr>
          <w:rFonts w:ascii="Arial" w:cs="Arial" w:eastAsia="Arial" w:hAnsi="Arial"/>
          <w:b/>
          <w:bCs/>
          <w:color w:val="1F3864"/>
          <w:sz w:val="32"/>
          <w:szCs w:val="32"/>
        </w:rPr>
        <w:t xml:space="preserve">7.2 Strategic Recommendations</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160"/>
      </w:tblGrid>
      <w:tr>
        <w:trPr>
          <w:tblHeader/>
        </w:trPr>
        <w:tc>
          <w:tcPr>
            <w:tcW w:type="dxa" w:w="14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c>
          <w:tcPr>
            <w:tcW w:type="dxa" w:w="300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Evidence</w:t>
            </w:r>
          </w:p>
        </w:tc>
        <w:tc>
          <w:tcPr>
            <w:tcW w:type="dxa" w:w="1160"/>
            <w:tcBorders>
              <w:top w:val="single" w:color="C0C8D8" w:sz="1"/>
              <w:left w:val="single" w:color="C0C8D8" w:sz="1"/>
              <w:bottom w:val="single" w:color="C0C8D8" w:sz="1"/>
              <w:right w:val="single" w:color="C0C8D8"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 — Critical</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Implement mandatory overtime limits or premium compensation</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30.5% attrition for OT workers vs 10.4% — 2.93x risk</w:t>
            </w:r>
          </w:p>
        </w:tc>
        <w:tc>
          <w:tcPr>
            <w:tcW w:type="dxa" w:w="1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Immediate</w:t>
            </w:r>
          </w:p>
        </w:tc>
      </w:tr>
      <w:tr>
        <w:tc>
          <w:tcPr>
            <w:tcW w:type="dxa" w:w="14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2 — Critical</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Launch targeted burnout intervention for ~28% High Risk employees</w:t>
            </w:r>
          </w:p>
        </w:tc>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Burnout score 0.89 for churned vs 0.51 retained</w:t>
            </w:r>
          </w:p>
        </w:tc>
        <w:tc>
          <w:tcPr>
            <w:tcW w:type="dxa" w:w="11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Q3 2026</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 — High</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Design retention programme for 3-5 year tenure cohort</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Lowest engagement (2.705) in established employee segments</w:t>
            </w:r>
          </w:p>
        </w:tc>
        <w:tc>
          <w:tcPr>
            <w:tcW w:type="dxa" w:w="1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Q3 2026</w:t>
            </w:r>
          </w:p>
        </w:tc>
      </w:tr>
      <w:tr>
        <w:tc>
          <w:tcPr>
            <w:tcW w:type="dxa" w:w="14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4 — High</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Invest in Level 3 career development and progression clarity</w:t>
            </w:r>
          </w:p>
        </w:tc>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Lowest engagement (2.674) across all job levels</w:t>
            </w:r>
          </w:p>
        </w:tc>
        <w:tc>
          <w:tcPr>
            <w:tcW w:type="dxa" w:w="11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Q4 2026</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 — Medium</w:t>
            </w:r>
          </w:p>
        </w:tc>
        <w:tc>
          <w:tcPr>
            <w:tcW w:type="dxa" w:w="28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Review business travel policy for frequent travellers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Highest burnout (0.596) and 24.9% attrition rate</w:t>
            </w:r>
          </w:p>
        </w:tc>
        <w:tc>
          <w:tcPr>
            <w:tcW w:type="dxa" w:w="1160"/>
            <w:tcBorders>
              <w:top w:val="single" w:color="C0C8D8" w:sz="1"/>
              <w:left w:val="single" w:color="C0C8D8" w:sz="1"/>
              <w:bottom w:val="single" w:color="C0C8D8" w:sz="1"/>
              <w:right w:val="single" w:color="C0C8D8"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 2026</w:t>
            </w:r>
          </w:p>
        </w:tc>
      </w:tr>
      <w:tr>
        <w:tc>
          <w:tcPr>
            <w:tcW w:type="dxa" w:w="14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6 — Medium</w:t>
            </w:r>
          </w:p>
        </w:tc>
        <w:tc>
          <w:tcPr>
            <w:tcW w:type="dxa" w:w="28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Deploy Streamlit dashboard for monthly HR reviews</w:t>
            </w:r>
          </w:p>
        </w:tc>
        <w:tc>
          <w:tcPr>
            <w:tcW w:type="dxa" w:w="300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Enable continuous monitoring vs annual survey cycle</w:t>
            </w:r>
          </w:p>
        </w:tc>
        <w:tc>
          <w:tcPr>
            <w:tcW w:type="dxa" w:w="1160"/>
            <w:tcBorders>
              <w:top w:val="single" w:color="C0C8D8" w:sz="1"/>
              <w:left w:val="single" w:color="C0C8D8" w:sz="1"/>
              <w:bottom w:val="single" w:color="C0C8D8" w:sz="1"/>
              <w:right w:val="single" w:color="C0C8D8" w:sz="1"/>
            </w:tcBorders>
            <w:shd w:fill="F5F7FA" w:val="clear"/>
            <w:tcMar>
              <w:top w:type="dxa" w:w="80"/>
              <w:left w:type="dxa" w:w="140"/>
              <w:bottom w:type="dxa" w:w="80"/>
              <w:right w:type="dxa" w:w="140"/>
            </w:tcMar>
          </w:tcPr>
          <w:p>
            <w:r>
              <w:rPr>
                <w:rFonts w:ascii="Arial" w:cs="Arial" w:eastAsia="Arial" w:hAnsi="Arial"/>
                <w:color w:val="2C2C2C"/>
                <w:sz w:val="20"/>
                <w:szCs w:val="20"/>
              </w:rPr>
              <w:t xml:space="preserve">Q3 2026</w:t>
            </w:r>
          </w:p>
        </w:tc>
      </w:tr>
    </w:tbl>
    <w:p>
      <w:pPr>
        <w:spacing w:after="200"/>
      </w:pPr>
    </w:p>
    <w:p>
      <w:pPr>
        <w:spacing w:after="160" w:line="288"/>
        <w:jc w:val="both"/>
      </w:pPr>
      <w:r>
        <w:rPr>
          <w:rFonts w:ascii="Arial" w:cs="Arial" w:eastAsia="Arial" w:hAnsi="Arial"/>
          <w:b w:val="false"/>
          <w:bCs w:val="false"/>
          <w:i w:val="false"/>
          <w:iCs w:val="false"/>
          <w:color w:val="2C2C2C"/>
          <w:sz w:val="22"/>
          <w:szCs w:val="22"/>
        </w:rPr>
        <w:t xml:space="preserve">Table 13: Strategic Recommendations</w:t>
      </w:r>
    </w:p>
    <w:p>
      <w:r>
        <w:br w:type="page"/>
      </w:r>
    </w:p>
    <w:p>
      <w:pPr>
        <w:pStyle w:val="Heading1"/>
        <w:spacing w:after="160" w:before="360"/>
      </w:pPr>
      <w:r>
        <w:rPr>
          <w:rFonts w:ascii="Arial" w:cs="Arial" w:eastAsia="Arial" w:hAnsi="Arial"/>
          <w:b/>
          <w:bCs/>
          <w:color w:val="1F3864"/>
          <w:sz w:val="40"/>
          <w:szCs w:val="40"/>
        </w:rPr>
        <w:t xml:space="preserve">8. References</w:t>
      </w:r>
    </w:p>
    <w:p>
      <w:pPr>
        <w:pBdr>
          <w:bottom w:val="single" w:color="C0C8D8" w:sz="4" w:space="1"/>
        </w:pBdr>
        <w:spacing w:after="0"/>
      </w:pPr>
    </w:p>
    <w:p>
      <w:pPr>
        <w:spacing w:after="160" w:line="288"/>
        <w:jc w:val="both"/>
      </w:pPr>
      <w:r>
        <w:rPr>
          <w:rFonts w:ascii="Arial" w:cs="Arial" w:eastAsia="Arial" w:hAnsi="Arial"/>
          <w:b w:val="false"/>
          <w:bCs w:val="false"/>
          <w:i/>
          <w:iCs/>
          <w:color w:val="2C2C2C"/>
          <w:sz w:val="22"/>
          <w:szCs w:val="22"/>
        </w:rPr>
        <w:t xml:space="preserve">1. Unified Mentor. (2026). Employee Engagement &amp; Burnout Risk Analysis — Project Brief. Unified Mentor Internship Program.</w:t>
      </w:r>
    </w:p>
    <w:p>
      <w:pPr>
        <w:spacing w:after="80"/>
      </w:pPr>
    </w:p>
    <w:p>
      <w:pPr>
        <w:spacing w:after="160" w:line="288"/>
        <w:jc w:val="both"/>
      </w:pPr>
      <w:r>
        <w:rPr>
          <w:rFonts w:ascii="Arial" w:cs="Arial" w:eastAsia="Arial" w:hAnsi="Arial"/>
          <w:b w:val="false"/>
          <w:bCs w:val="false"/>
          <w:i/>
          <w:iCs/>
          <w:color w:val="2C2C2C"/>
          <w:sz w:val="22"/>
          <w:szCs w:val="22"/>
        </w:rPr>
        <w:t xml:space="preserve">2. IBM. (2017). IBM HR Analytics Employee Attrition &amp; Performance Dataset. IBM Watson Analytics Community.</w:t>
      </w:r>
    </w:p>
    <w:p>
      <w:pPr>
        <w:spacing w:after="80"/>
      </w:pPr>
    </w:p>
    <w:p>
      <w:pPr>
        <w:spacing w:after="160" w:line="288"/>
        <w:jc w:val="both"/>
      </w:pPr>
      <w:r>
        <w:rPr>
          <w:rFonts w:ascii="Arial" w:cs="Arial" w:eastAsia="Arial" w:hAnsi="Arial"/>
          <w:b w:val="false"/>
          <w:bCs w:val="false"/>
          <w:i/>
          <w:iCs/>
          <w:color w:val="2C2C2C"/>
          <w:sz w:val="22"/>
          <w:szCs w:val="22"/>
        </w:rPr>
        <w:t xml:space="preserve">3. Gallup. (2023). State of the Global Workplace Report. Gallup Inc. https://www.gallup.com/workplace/349484/state-of-the-global-workplace.aspx</w:t>
      </w:r>
    </w:p>
    <w:p>
      <w:pPr>
        <w:spacing w:after="80"/>
      </w:pPr>
    </w:p>
    <w:p>
      <w:pPr>
        <w:spacing w:after="160" w:line="288"/>
        <w:jc w:val="both"/>
      </w:pPr>
      <w:r>
        <w:rPr>
          <w:rFonts w:ascii="Arial" w:cs="Arial" w:eastAsia="Arial" w:hAnsi="Arial"/>
          <w:b w:val="false"/>
          <w:bCs w:val="false"/>
          <w:i/>
          <w:iCs/>
          <w:color w:val="2C2C2C"/>
          <w:sz w:val="22"/>
          <w:szCs w:val="22"/>
        </w:rPr>
        <w:t xml:space="preserve">4. Maslach, C., &amp; Leiter, M. P. (2016). Burnout: A Brief History of the Concept. In T. W. Britt, C. A. Castro, &amp; A. B. Adler (Eds.), Military Life: The Psychology of Serving in Peace and Combat. Praeger Security International.</w:t>
      </w:r>
    </w:p>
    <w:p>
      <w:pPr>
        <w:spacing w:after="80"/>
      </w:pPr>
    </w:p>
    <w:p>
      <w:pPr>
        <w:spacing w:after="160" w:line="288"/>
        <w:jc w:val="both"/>
      </w:pPr>
      <w:r>
        <w:rPr>
          <w:rFonts w:ascii="Arial" w:cs="Arial" w:eastAsia="Arial" w:hAnsi="Arial"/>
          <w:b w:val="false"/>
          <w:bCs w:val="false"/>
          <w:i/>
          <w:iCs/>
          <w:color w:val="2C2C2C"/>
          <w:sz w:val="22"/>
          <w:szCs w:val="22"/>
        </w:rPr>
        <w:t xml:space="preserve">5. Harter, J. K., Schmidt, F. L., &amp; Hayes, T. L. (2002). Business-unit-level relationship between employee satisfaction, employee engagement, and business outcomes: A meta-analysis. Journal of Applied Psychology, 87(2), 268–279.</w:t>
      </w:r>
    </w:p>
    <w:p>
      <w:pPr>
        <w:spacing w:after="80"/>
      </w:pPr>
    </w:p>
    <w:p>
      <w:pPr>
        <w:spacing w:after="160" w:line="288"/>
        <w:jc w:val="both"/>
      </w:pPr>
      <w:r>
        <w:rPr>
          <w:rFonts w:ascii="Arial" w:cs="Arial" w:eastAsia="Arial" w:hAnsi="Arial"/>
          <w:b w:val="false"/>
          <w:bCs w:val="false"/>
          <w:i/>
          <w:iCs/>
          <w:color w:val="2C2C2C"/>
          <w:sz w:val="22"/>
          <w:szCs w:val="22"/>
        </w:rPr>
        <w:t xml:space="preserve">6. Python Software Foundation. (2024). Python 3.12 Documentation. https://docs.python.org</w:t>
      </w:r>
    </w:p>
    <w:p>
      <w:pPr>
        <w:spacing w:after="80"/>
      </w:pPr>
    </w:p>
    <w:p>
      <w:pPr>
        <w:spacing w:after="160" w:line="288"/>
        <w:jc w:val="both"/>
      </w:pPr>
      <w:r>
        <w:rPr>
          <w:rFonts w:ascii="Arial" w:cs="Arial" w:eastAsia="Arial" w:hAnsi="Arial"/>
          <w:b w:val="false"/>
          <w:bCs w:val="false"/>
          <w:i/>
          <w:iCs/>
          <w:color w:val="2C2C2C"/>
          <w:sz w:val="22"/>
          <w:szCs w:val="22"/>
        </w:rPr>
        <w:t xml:space="preserve">7. Streamlit Inc. (2024). Streamlit Documentation. https://docs.streamlit.io</w:t>
      </w:r>
    </w:p>
    <w:p>
      <w:pPr>
        <w:spacing w:after="80"/>
      </w:pPr>
    </w:p>
    <w:p>
      <w:pPr>
        <w:spacing w:after="160" w:line="288"/>
        <w:jc w:val="both"/>
      </w:pPr>
      <w:r>
        <w:rPr>
          <w:rFonts w:ascii="Arial" w:cs="Arial" w:eastAsia="Arial" w:hAnsi="Arial"/>
          <w:b w:val="false"/>
          <w:bCs w:val="false"/>
          <w:i/>
          <w:iCs/>
          <w:color w:val="2C2C2C"/>
          <w:sz w:val="22"/>
          <w:szCs w:val="22"/>
        </w:rPr>
        <w:t xml:space="preserve">8. The pandas Development Team. (2024). pandas Documentation. https://pandas.pydata.org</w:t>
      </w:r>
    </w:p>
    <w:p>
      <w:pPr>
        <w:spacing w:after="80"/>
      </w:pPr>
    </w:p>
    <w:p>
      <w:pPr>
        <w:spacing w:after="160" w:line="288"/>
        <w:jc w:val="both"/>
      </w:pPr>
      <w:r>
        <w:rPr>
          <w:rFonts w:ascii="Arial" w:cs="Arial" w:eastAsia="Arial" w:hAnsi="Arial"/>
          <w:b w:val="false"/>
          <w:bCs w:val="false"/>
          <w:i/>
          <w:iCs/>
          <w:color w:val="2C2C2C"/>
          <w:sz w:val="22"/>
          <w:szCs w:val="22"/>
        </w:rPr>
        <w:t xml:space="preserve">9. Plotly Technologies Inc. (2024). Plotly Python Graphing Library. https://plotly.com/python</w:t>
      </w:r>
    </w:p>
    <w:p>
      <w:pPr>
        <w:spacing w:after="80"/>
      </w:pPr>
    </w:p>
    <w:p>
      <w:pPr>
        <w:spacing w:after="160" w:line="288"/>
        <w:jc w:val="both"/>
      </w:pPr>
      <w:r>
        <w:rPr>
          <w:rFonts w:ascii="Arial" w:cs="Arial" w:eastAsia="Arial" w:hAnsi="Arial"/>
          <w:b w:val="false"/>
          <w:bCs w:val="false"/>
          <w:i/>
          <w:iCs/>
          <w:color w:val="2C2C2C"/>
          <w:sz w:val="22"/>
          <w:szCs w:val="22"/>
        </w:rPr>
        <w:t xml:space="preserve">10. Society for Human Resource Management. (2023). Employee Job Satisfaction and Engagement Report. SHRM Foundation.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4" w:space="1"/>
      </w:pBdr>
      <w:tabs>
        <w:tab w:val="right" w:pos="9026"/>
      </w:tabs>
      <w:spacing w:before="80"/>
    </w:pPr>
    <w:r>
      <w:rPr>
        <w:rFonts w:ascii="Arial" w:cs="Arial" w:eastAsia="Arial" w:hAnsi="Arial"/>
        <w:color w:val="555555"/>
        <w:sz w:val="18"/>
        <w:szCs w:val="18"/>
      </w:rPr>
      <w:t xml:space="preserve">Unified Mentor Internship Program | Vishwa Bharathi</w:t>
    </w:r>
    <w:r>
      <w:rPr>
        <w:sz w:val="18"/>
        <w:szCs w:val="18"/>
      </w:rPr>
      <w:t xml:space="preserve">	</w:t>
    </w: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100"/>
    </w:pPr>
    <w:r>
      <w:rPr>
        <w:rFonts w:ascii="Arial" w:cs="Arial" w:eastAsia="Arial" w:hAnsi="Arial"/>
        <w:color w:val="555555"/>
        <w:sz w:val="18"/>
        <w:szCs w:val="18"/>
      </w:rPr>
      <w:t xml:space="preserve">Employee Engagement &amp; Burnout Risk Analysis — Palo Alto Networks</w:t>
    </w:r>
    <w:r>
      <w:rPr>
        <w:sz w:val="18"/>
        <w:szCs w:val="18"/>
      </w:rPr>
      <w:t xml:space="preserve">	</w:t>
    </w:r>
    <w:r>
      <w:rPr>
        <w:rFonts w:ascii="Arial" w:cs="Arial" w:eastAsia="Arial" w:hAnsi="Arial"/>
        <w:color w:val="555555"/>
        <w:sz w:val="18"/>
        <w:szCs w:val="18"/>
      </w:rPr>
      <w:t xml:space="preserve">Unified Mentor Internship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40"/>
      <w:outlineLvl w:val="1"/>
    </w:pPr>
    <w:rPr>
      <w:rFonts w:ascii="Arial" w:cs="Arial" w:eastAsia="Arial" w:hAnsi="Arial"/>
      <w:b/>
      <w:bCs/>
      <w:color w:val="1F3864"/>
      <w:sz w:val="32"/>
      <w:szCs w:val="32"/>
    </w:rPr>
  </w:style>
  <w:style w:type="paragraph" w:styleId="Heading3">
    <w:name w:val="Heading 3"/>
    <w:basedOn w:val="Normal"/>
    <w:next w:val="Normal"/>
    <w:qFormat/>
    <w:pPr>
      <w:spacing w:after="100" w:before="18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2026-05-18T05:01:21.479Z</dcterms:created>
  <dcterms:modified xsi:type="dcterms:W3CDTF">2026-05-18T05:01:21.493Z</dcterms:modified>
</cp:coreProperties>
</file>

<file path=docProps/custom.xml><?xml version="1.0" encoding="utf-8"?>
<Properties xmlns="http://schemas.openxmlformats.org/officeDocument/2006/custom-properties" xmlns:vt="http://schemas.openxmlformats.org/officeDocument/2006/docPropsVTypes"/>
</file>