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500"/>
              <w:left w:type="dxa" w:w="500"/>
              <w:bottom w:type="dxa" w:w="500"/>
              <w:right w:type="dxa" w:w="500"/>
            </w:tcMar>
          </w:tcPr>
          <w:p>
            <w:pPr>
              <w:spacing w:after="100"/>
              <w:jc w:val="center"/>
            </w:pPr>
            <w:r>
              <w:rPr>
                <w:rFonts w:ascii="Calibri" w:cs="Calibri" w:eastAsia="Calibri" w:hAnsi="Calibri"/>
                <w:b/>
                <w:bCs/>
                <w:color w:val="A8C4E0"/>
                <w:spacing w:val="120"/>
                <w:sz w:val="20"/>
                <w:szCs w:val="20"/>
              </w:rPr>
              <w:t xml:space="preserve">EXECUTIVE SUMMARY</w:t>
            </w:r>
          </w:p>
          <w:p>
            <w:pPr>
              <w:spacing w:after="80"/>
            </w:pPr>
          </w:p>
          <w:p>
            <w:pPr>
              <w:spacing w:after="100"/>
              <w:jc w:val="center"/>
            </w:pPr>
            <w:r>
              <w:rPr>
                <w:rFonts w:ascii="Calibri" w:cs="Calibri" w:eastAsia="Calibri" w:hAnsi="Calibri"/>
                <w:b/>
                <w:bCs/>
                <w:color w:val="FFFFFF"/>
                <w:sz w:val="48"/>
                <w:szCs w:val="48"/>
              </w:rPr>
              <w:t xml:space="preserve">Product Line Profitability &amp;</w:t>
            </w:r>
          </w:p>
          <w:p>
            <w:pPr>
              <w:spacing w:after="100"/>
              <w:jc w:val="center"/>
            </w:pPr>
            <w:r>
              <w:rPr>
                <w:rFonts w:ascii="Calibri" w:cs="Calibri" w:eastAsia="Calibri" w:hAnsi="Calibri"/>
                <w:b/>
                <w:bCs/>
                <w:color w:val="FFFFFF"/>
                <w:sz w:val="48"/>
                <w:szCs w:val="48"/>
              </w:rPr>
              <w:t xml:space="preserve">Margin Performance Analysis</w:t>
            </w:r>
          </w:p>
          <w:p>
            <w:pPr>
              <w:spacing w:after="80"/>
            </w:pPr>
          </w:p>
          <w:p>
            <w:pPr>
              <w:spacing w:after="100"/>
              <w:jc w:val="center"/>
            </w:pPr>
            <w:r>
              <w:rPr>
                <w:rFonts w:ascii="Calibri" w:cs="Calibri" w:eastAsia="Calibri" w:hAnsi="Calibri"/>
                <w:i/>
                <w:iCs/>
                <w:color w:val="A8C4E0"/>
                <w:sz w:val="28"/>
                <w:szCs w:val="28"/>
              </w:rPr>
              <w:t xml:space="preserve">Nassau Candy Distributor</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87"/>
              <w:gridCol w:w="2787"/>
              <w:gridCol w:w="2786"/>
            </w:tblGrid>
            <w:tr>
              <w:tc>
                <w:tcPr>
                  <w:tcBorders>
                    <w:top w:val="none" w:color="FFFFFF" w:sz="0"/>
                    <w:left w:val="none" w:color="FFFFFF" w:sz="0"/>
                    <w:bottom w:val="none" w:color="FFFFFF" w:sz="0"/>
                    <w:right w:val="single" w:color="4A6FA5" w:sz="1"/>
                  </w:tcBorders>
                  <w:tcMar>
                    <w:top w:type="dxa" w:w="80"/>
                    <w:left w:type="dxa" w:w="20"/>
                    <w:bottom w:type="dxa" w:w="80"/>
                    <w:right w:type="dxa" w:w="20"/>
                  </w:tcMar>
                </w:tcPr>
                <w:p>
                  <w:pPr>
                    <w:spacing w:after="100"/>
                    <w:jc w:val="center"/>
                  </w:pPr>
                  <w:r>
                    <w:rPr>
                      <w:rFonts w:ascii="Calibri" w:cs="Calibri" w:eastAsia="Calibri" w:hAnsi="Calibri"/>
                      <w:b/>
                      <w:bCs/>
                      <w:color w:val="7BAFD4"/>
                      <w:sz w:val="17"/>
                      <w:szCs w:val="17"/>
                    </w:rPr>
                    <w:t xml:space="preserve">PREPARED BY</w:t>
                  </w:r>
                </w:p>
                <w:p>
                  <w:pPr>
                    <w:spacing w:after="100"/>
                    <w:jc w:val="center"/>
                  </w:pPr>
                  <w:r>
                    <w:rPr>
                      <w:rFonts w:ascii="Calibri" w:cs="Calibri" w:eastAsia="Calibri" w:hAnsi="Calibri"/>
                      <w:b/>
                      <w:bCs/>
                      <w:color w:val="FFFFFF"/>
                      <w:sz w:val="20"/>
                      <w:szCs w:val="20"/>
                    </w:rPr>
                    <w:t xml:space="preserve">Vishwa Bharathi</w:t>
                  </w:r>
                </w:p>
                <w:p>
                  <w:pPr>
                    <w:spacing w:after="100"/>
                    <w:jc w:val="center"/>
                  </w:pPr>
                  <w:r>
                    <w:rPr>
                      <w:rFonts w:ascii="Calibri" w:cs="Calibri" w:eastAsia="Calibri" w:hAnsi="Calibri"/>
                      <w:color w:val="A8C4E0"/>
                      <w:sz w:val="17"/>
                      <w:szCs w:val="17"/>
                    </w:rPr>
                    <w:t xml:space="preserve">Data Analytics Intern</w:t>
                  </w:r>
                </w:p>
              </w:tc>
              <w:tc>
                <w:tcPr>
                  <w:tcBorders>
                    <w:top w:val="none" w:color="FFFFFF" w:sz="0"/>
                    <w:left w:val="single" w:color="4A6FA5" w:sz="1"/>
                    <w:bottom w:val="none" w:color="FFFFFF" w:sz="0"/>
                    <w:right w:val="single" w:color="4A6FA5" w:sz="1"/>
                  </w:tcBorders>
                  <w:tcMar>
                    <w:top w:type="dxa" w:w="80"/>
                    <w:left w:type="dxa" w:w="20"/>
                    <w:bottom w:type="dxa" w:w="80"/>
                    <w:right w:type="dxa" w:w="20"/>
                  </w:tcMar>
                </w:tcPr>
                <w:p>
                  <w:pPr>
                    <w:spacing w:after="100"/>
                    <w:jc w:val="center"/>
                  </w:pPr>
                  <w:r>
                    <w:rPr>
                      <w:rFonts w:ascii="Calibri" w:cs="Calibri" w:eastAsia="Calibri" w:hAnsi="Calibri"/>
                      <w:b/>
                      <w:bCs/>
                      <w:color w:val="7BAFD4"/>
                      <w:sz w:val="17"/>
                      <w:szCs w:val="17"/>
                    </w:rPr>
                    <w:t xml:space="preserve">SUBMITTED TO</w:t>
                  </w:r>
                </w:p>
                <w:p>
                  <w:pPr>
                    <w:spacing w:after="100"/>
                    <w:jc w:val="center"/>
                  </w:pPr>
                  <w:r>
                    <w:rPr>
                      <w:rFonts w:ascii="Calibri" w:cs="Calibri" w:eastAsia="Calibri" w:hAnsi="Calibri"/>
                      <w:b/>
                      <w:bCs/>
                      <w:color w:val="FFFFFF"/>
                      <w:sz w:val="20"/>
                      <w:szCs w:val="20"/>
                    </w:rPr>
                    <w:t xml:space="preserve">Unified Mentor</w:t>
                  </w:r>
                </w:p>
                <w:p>
                  <w:pPr>
                    <w:spacing w:after="100"/>
                    <w:jc w:val="center"/>
                  </w:pPr>
                  <w:r>
                    <w:rPr>
                      <w:rFonts w:ascii="Calibri" w:cs="Calibri" w:eastAsia="Calibri" w:hAnsi="Calibri"/>
                      <w:color w:val="A8C4E0"/>
                      <w:sz w:val="17"/>
                      <w:szCs w:val="17"/>
                    </w:rPr>
                    <w:t xml:space="preserve">Internship Program</w:t>
                  </w:r>
                </w:p>
              </w:tc>
              <w:tc>
                <w:tcPr>
                  <w:tcBorders>
                    <w:top w:val="none" w:color="FFFFFF" w:sz="0"/>
                    <w:left w:val="single" w:color="4A6FA5" w:sz="1"/>
                    <w:bottom w:val="none" w:color="FFFFFF" w:sz="0"/>
                    <w:right w:val="none" w:color="FFFFFF" w:sz="0"/>
                  </w:tcBorders>
                  <w:tcMar>
                    <w:top w:type="dxa" w:w="80"/>
                    <w:left w:type="dxa" w:w="20"/>
                    <w:bottom w:type="dxa" w:w="80"/>
                    <w:right w:type="dxa" w:w="20"/>
                  </w:tcMar>
                </w:tcPr>
                <w:p>
                  <w:pPr>
                    <w:spacing w:after="100"/>
                    <w:jc w:val="center"/>
                  </w:pPr>
                  <w:r>
                    <w:rPr>
                      <w:rFonts w:ascii="Calibri" w:cs="Calibri" w:eastAsia="Calibri" w:hAnsi="Calibri"/>
                      <w:b/>
                      <w:bCs/>
                      <w:color w:val="7BAFD4"/>
                      <w:sz w:val="17"/>
                      <w:szCs w:val="17"/>
                    </w:rPr>
                    <w:t xml:space="preserve">CLASSIFICATION</w:t>
                  </w:r>
                </w:p>
                <w:p>
                  <w:pPr>
                    <w:spacing w:after="100"/>
                    <w:jc w:val="center"/>
                  </w:pPr>
                  <w:r>
                    <w:rPr>
                      <w:rFonts w:ascii="Calibri" w:cs="Calibri" w:eastAsia="Calibri" w:hAnsi="Calibri"/>
                      <w:b/>
                      <w:bCs/>
                      <w:color w:val="FFFFFF"/>
                      <w:sz w:val="20"/>
                      <w:szCs w:val="20"/>
                    </w:rPr>
                    <w:t xml:space="preserve">Confidential</w:t>
                  </w:r>
                </w:p>
                <w:p>
                  <w:pPr>
                    <w:spacing w:after="100"/>
                    <w:jc w:val="center"/>
                  </w:pPr>
                  <w:r>
                    <w:rPr>
                      <w:rFonts w:ascii="Calibri" w:cs="Calibri" w:eastAsia="Calibri" w:hAnsi="Calibri"/>
                      <w:color w:val="A8C4E0"/>
                      <w:sz w:val="17"/>
                      <w:szCs w:val="17"/>
                    </w:rPr>
                    <w:t xml:space="preserve">For Internal Use Only</w:t>
                  </w:r>
                </w:p>
              </w:tc>
            </w:tr>
          </w:tbl>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B8C" w:sz="1"/>
              <w:left w:val="single" w:color="1A4B8C" w:sz="16"/>
              <w:bottom w:val="single" w:color="1A4B8C" w:sz="1"/>
              <w:right w:val="single" w:color="CCCCCC" w:sz="1"/>
            </w:tcBorders>
            <w:shd w:fill="D6E8F7" w:val="clear"/>
            <w:tcMar>
              <w:top w:type="dxa" w:w="160"/>
              <w:left w:type="dxa" w:w="240"/>
              <w:bottom w:type="dxa" w:w="160"/>
              <w:right w:type="dxa" w:w="240"/>
            </w:tcMar>
          </w:tcPr>
          <w:p>
            <w:pPr>
              <w:spacing w:after="60"/>
            </w:pPr>
            <w:r>
              <w:rPr>
                <w:rFonts w:ascii="Calibri" w:cs="Calibri" w:eastAsia="Calibri" w:hAnsi="Calibri"/>
                <w:b/>
                <w:bCs/>
                <w:color w:val="1A4B8C"/>
                <w:sz w:val="20"/>
                <w:szCs w:val="20"/>
              </w:rPr>
              <w:t xml:space="preserve">PURPOSE OF THIS DOCUMENT</w:t>
            </w:r>
          </w:p>
          <w:p>
            <w:pPr>
              <w:spacing w:after="0" w:line="276"/>
              <w:jc w:val="both"/>
            </w:pPr>
            <w:r>
              <w:rPr>
                <w:rFonts w:ascii="Calibri" w:cs="Calibri" w:eastAsia="Calibri" w:hAnsi="Calibri"/>
                <w:color w:val="0D2B55"/>
                <w:sz w:val="22"/>
                <w:szCs w:val="22"/>
              </w:rPr>
              <w:t xml:space="preserve">This Executive Summary presents the key findings, strategic implications, and recommendations arising from the Product Line Profitability &amp; Margin Performance Analysis conducted for Nassau Candy Distributor. It is prepared for senior leadership and government stakeholders requiring a concise, evidence-based overview of product margin intelligence, financial risk exposure, and priority actions. The full technical analysis and interactive dashboard are available upon request.</w:t>
            </w:r>
          </w:p>
        </w:tc>
      </w:tr>
    </w:tbl>
    <w:p>
      <w:pPr>
        <w:spacing w:after="200"/>
      </w:pPr>
    </w:p>
    <w:p>
      <w:pPr>
        <w:pBdr>
          <w:bottom w:val="single" w:color="0D2B55" w:sz="6" w:space="1"/>
        </w:pBdr>
        <w:spacing w:after="60" w:before="280"/>
      </w:pPr>
      <w:r>
        <w:rPr>
          <w:rFonts w:ascii="Calibri" w:cs="Calibri" w:eastAsia="Calibri" w:hAnsi="Calibri"/>
          <w:b/>
          <w:bCs/>
          <w:color w:val="0D2B55"/>
          <w:spacing w:val="40"/>
          <w:sz w:val="26"/>
          <w:szCs w:val="26"/>
        </w:rPr>
        <w:t xml:space="preserve">AT A GLANCE — PORTFOLIO SNAPSHOT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A6B3A" w:sz="12"/>
              <w:left w:val="single" w:color="C0C8D8" w:sz="1"/>
              <w:bottom w:val="single" w:color="C0C8D8" w:sz="1"/>
              <w:right w:val="single" w:color="C0C8D8" w:sz="1"/>
            </w:tcBorders>
            <w:shd w:fill="D4EDDA"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TOTAL GROSS PROFIT</w:t>
            </w:r>
          </w:p>
          <w:p>
            <w:pPr>
              <w:spacing w:after="40"/>
            </w:pPr>
            <w:r>
              <w:rPr>
                <w:rFonts w:ascii="Calibri" w:cs="Calibri" w:eastAsia="Calibri" w:hAnsi="Calibri"/>
                <w:b/>
                <w:bCs/>
                <w:color w:val="1A6B3A"/>
                <w:sz w:val="34"/>
                <w:szCs w:val="34"/>
              </w:rPr>
              <w:t xml:space="preserve">$93,443</w:t>
            </w:r>
          </w:p>
          <w:p>
            <w:pPr>
              <w:spacing w:after="0"/>
            </w:pPr>
            <w:r>
              <w:rPr>
                <w:rFonts w:ascii="Calibri" w:cs="Calibri" w:eastAsia="Calibri" w:hAnsi="Calibri"/>
                <w:i/>
                <w:iCs/>
                <w:color w:val="4A4A4A"/>
                <w:sz w:val="17"/>
                <w:szCs w:val="17"/>
              </w:rPr>
              <w:t xml:space="preserve">Across all 10,194 orders</w:t>
            </w:r>
          </w:p>
        </w:tc>
        <w:tc>
          <w:tcPr>
            <w:tcBorders>
              <w:top w:val="single" w:color="1A4B8C" w:sz="12"/>
              <w:left w:val="single" w:color="C0C8D8" w:sz="1"/>
              <w:bottom w:val="single" w:color="C0C8D8" w:sz="1"/>
              <w:right w:val="single" w:color="C0C8D8" w:sz="1"/>
            </w:tcBorders>
            <w:shd w:fill="D6E8F7"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OVERALL GROSS MARGIN</w:t>
            </w:r>
          </w:p>
          <w:p>
            <w:pPr>
              <w:spacing w:after="40"/>
            </w:pPr>
            <w:r>
              <w:rPr>
                <w:rFonts w:ascii="Calibri" w:cs="Calibri" w:eastAsia="Calibri" w:hAnsi="Calibri"/>
                <w:b/>
                <w:bCs/>
                <w:color w:val="1A4B8C"/>
                <w:sz w:val="34"/>
                <w:szCs w:val="34"/>
              </w:rPr>
              <w:t xml:space="preserve">65.9%</w:t>
            </w:r>
          </w:p>
          <w:p>
            <w:pPr>
              <w:spacing w:after="0"/>
            </w:pPr>
            <w:r>
              <w:rPr>
                <w:rFonts w:ascii="Calibri" w:cs="Calibri" w:eastAsia="Calibri" w:hAnsi="Calibri"/>
                <w:i/>
                <w:iCs/>
                <w:color w:val="4A4A4A"/>
                <w:sz w:val="17"/>
                <w:szCs w:val="17"/>
              </w:rPr>
              <w:t xml:space="preserve">Profit ÷ Revenue</w:t>
            </w:r>
          </w:p>
        </w:tc>
        <w:tc>
          <w:tcPr>
            <w:tcBorders>
              <w:top w:val="single" w:color="B8860B" w:sz="12"/>
              <w:left w:val="single" w:color="C0C8D8" w:sz="1"/>
              <w:bottom w:val="single" w:color="C0C8D8" w:sz="1"/>
              <w:right w:val="single" w:color="C0C8D8" w:sz="1"/>
            </w:tcBorders>
            <w:shd w:fill="FDF3D0"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TOTAL REVENUE</w:t>
            </w:r>
          </w:p>
          <w:p>
            <w:pPr>
              <w:spacing w:after="40"/>
            </w:pPr>
            <w:r>
              <w:rPr>
                <w:rFonts w:ascii="Calibri" w:cs="Calibri" w:eastAsia="Calibri" w:hAnsi="Calibri"/>
                <w:b/>
                <w:bCs/>
                <w:color w:val="B8860B"/>
                <w:sz w:val="34"/>
                <w:szCs w:val="34"/>
              </w:rPr>
              <w:t xml:space="preserve">$141,784</w:t>
            </w:r>
          </w:p>
          <w:p>
            <w:pPr>
              <w:spacing w:after="0"/>
            </w:pPr>
            <w:r>
              <w:rPr>
                <w:rFonts w:ascii="Calibri" w:cs="Calibri" w:eastAsia="Calibri" w:hAnsi="Calibri"/>
                <w:i/>
                <w:iCs/>
                <w:color w:val="4A4A4A"/>
                <w:sz w:val="17"/>
                <w:szCs w:val="17"/>
              </w:rPr>
              <w:t xml:space="preserve">Full transaction period</w:t>
            </w:r>
          </w:p>
        </w:tc>
        <w:tc>
          <w:tcPr>
            <w:tcBorders>
              <w:top w:val="single" w:color="0B6E7A" w:sz="12"/>
              <w:left w:val="single" w:color="C0C8D8" w:sz="1"/>
              <w:bottom w:val="single" w:color="C0C8D8" w:sz="1"/>
              <w:right w:val="single" w:color="C0C8D8" w:sz="1"/>
            </w:tcBorders>
            <w:shd w:fill="F4F6F9"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MARGIN VOLATILITY</w:t>
            </w:r>
          </w:p>
          <w:p>
            <w:pPr>
              <w:spacing w:after="40"/>
            </w:pPr>
            <w:r>
              <w:rPr>
                <w:rFonts w:ascii="Calibri" w:cs="Calibri" w:eastAsia="Calibri" w:hAnsi="Calibri"/>
                <w:b/>
                <w:bCs/>
                <w:color w:val="0B6E7A"/>
                <w:sz w:val="34"/>
                <w:szCs w:val="34"/>
              </w:rPr>
              <w:t xml:space="preserve">&lt;1%</w:t>
            </w:r>
          </w:p>
          <w:p>
            <w:pPr>
              <w:spacing w:after="0"/>
            </w:pPr>
            <w:r>
              <w:rPr>
                <w:rFonts w:ascii="Calibri" w:cs="Calibri" w:eastAsia="Calibri" w:hAnsi="Calibri"/>
                <w:i/>
                <w:iCs/>
                <w:color w:val="4A4A4A"/>
                <w:sz w:val="17"/>
                <w:szCs w:val="17"/>
              </w:rPr>
              <w:t xml:space="preserve">Monthly std deviation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D2B55" w:sz="12"/>
              <w:left w:val="single" w:color="C0C8D8" w:sz="1"/>
              <w:bottom w:val="single" w:color="C0C8D8" w:sz="1"/>
              <w:right w:val="single" w:color="C0C8D8" w:sz="1"/>
            </w:tcBorders>
            <w:shd w:fill="F4F6F9"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PRODUCTS ANALYSED</w:t>
            </w:r>
          </w:p>
          <w:p>
            <w:pPr>
              <w:spacing w:after="40"/>
            </w:pPr>
            <w:r>
              <w:rPr>
                <w:rFonts w:ascii="Calibri" w:cs="Calibri" w:eastAsia="Calibri" w:hAnsi="Calibri"/>
                <w:b/>
                <w:bCs/>
                <w:color w:val="0D2B55"/>
                <w:sz w:val="34"/>
                <w:szCs w:val="34"/>
              </w:rPr>
              <w:t xml:space="preserve">15</w:t>
            </w:r>
          </w:p>
          <w:p>
            <w:pPr>
              <w:spacing w:after="0"/>
            </w:pPr>
            <w:r>
              <w:rPr>
                <w:rFonts w:ascii="Calibri" w:cs="Calibri" w:eastAsia="Calibri" w:hAnsi="Calibri"/>
                <w:i/>
                <w:iCs/>
                <w:color w:val="4A4A4A"/>
                <w:sz w:val="17"/>
                <w:szCs w:val="17"/>
              </w:rPr>
              <w:t xml:space="preserve">Across 3 divisions</w:t>
            </w:r>
          </w:p>
        </w:tc>
        <w:tc>
          <w:tcPr>
            <w:tcBorders>
              <w:top w:val="single" w:color="0D2B55" w:sz="12"/>
              <w:left w:val="single" w:color="C0C8D8" w:sz="1"/>
              <w:bottom w:val="single" w:color="C0C8D8" w:sz="1"/>
              <w:right w:val="single" w:color="C0C8D8" w:sz="1"/>
            </w:tcBorders>
            <w:shd w:fill="F4F6F9"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ORDERS PROCESSED</w:t>
            </w:r>
          </w:p>
          <w:p>
            <w:pPr>
              <w:spacing w:after="40"/>
            </w:pPr>
            <w:r>
              <w:rPr>
                <w:rFonts w:ascii="Calibri" w:cs="Calibri" w:eastAsia="Calibri" w:hAnsi="Calibri"/>
                <w:b/>
                <w:bCs/>
                <w:color w:val="0D2B55"/>
                <w:sz w:val="34"/>
                <w:szCs w:val="34"/>
              </w:rPr>
              <w:t xml:space="preserve">10,194</w:t>
            </w:r>
          </w:p>
          <w:p>
            <w:pPr>
              <w:spacing w:after="0"/>
            </w:pPr>
            <w:r>
              <w:rPr>
                <w:rFonts w:ascii="Calibri" w:cs="Calibri" w:eastAsia="Calibri" w:hAnsi="Calibri"/>
                <w:i/>
                <w:iCs/>
                <w:color w:val="4A4A4A"/>
                <w:sz w:val="17"/>
                <w:szCs w:val="17"/>
              </w:rPr>
              <w:t xml:space="preserve">2024 – 2026 dataset</w:t>
            </w:r>
          </w:p>
        </w:tc>
        <w:tc>
          <w:tcPr>
            <w:tcBorders>
              <w:top w:val="single" w:color="8B1A1A" w:sz="12"/>
              <w:left w:val="single" w:color="C0C8D8" w:sz="1"/>
              <w:bottom w:val="single" w:color="C0C8D8" w:sz="1"/>
              <w:right w:val="single" w:color="C0C8D8" w:sz="1"/>
            </w:tcBorders>
            <w:shd w:fill="FAD7D7"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CRITICAL RISK PRODUCT</w:t>
            </w:r>
          </w:p>
          <w:p>
            <w:pPr>
              <w:spacing w:after="40"/>
            </w:pPr>
            <w:r>
              <w:rPr>
                <w:rFonts w:ascii="Calibri" w:cs="Calibri" w:eastAsia="Calibri" w:hAnsi="Calibri"/>
                <w:b/>
                <w:bCs/>
                <w:color w:val="8B1A1A"/>
                <w:sz w:val="34"/>
                <w:szCs w:val="34"/>
              </w:rPr>
              <w:t xml:space="preserve">1</w:t>
            </w:r>
          </w:p>
          <w:p>
            <w:pPr>
              <w:spacing w:after="0"/>
            </w:pPr>
            <w:r>
              <w:rPr>
                <w:rFonts w:ascii="Calibri" w:cs="Calibri" w:eastAsia="Calibri" w:hAnsi="Calibri"/>
                <w:i/>
                <w:iCs/>
                <w:color w:val="4A4A4A"/>
                <w:sz w:val="17"/>
                <w:szCs w:val="17"/>
              </w:rPr>
              <w:t xml:space="preserve">Kazookles — 8% margin</w:t>
            </w:r>
          </w:p>
        </w:tc>
        <w:tc>
          <w:tcPr>
            <w:tcBorders>
              <w:top w:val="single" w:color="A0522D" w:sz="12"/>
              <w:left w:val="single" w:color="C0C8D8" w:sz="1"/>
              <w:bottom w:val="single" w:color="C0C8D8" w:sz="1"/>
              <w:right w:val="single" w:color="C0C8D8" w:sz="1"/>
            </w:tcBorders>
            <w:shd w:fill="FDEBD0" w:val="clear"/>
            <w:tcMar>
              <w:top w:type="dxa" w:w="140"/>
              <w:left w:type="dxa" w:w="160"/>
              <w:bottom w:type="dxa" w:w="140"/>
              <w:right w:type="dxa" w:w="160"/>
            </w:tcMar>
          </w:tcPr>
          <w:p>
            <w:pPr>
              <w:spacing w:after="40"/>
            </w:pPr>
            <w:r>
              <w:rPr>
                <w:rFonts w:ascii="Calibri" w:cs="Calibri" w:eastAsia="Calibri" w:hAnsi="Calibri"/>
                <w:b/>
                <w:bCs/>
                <w:color w:val="4A4A4A"/>
                <w:sz w:val="17"/>
                <w:szCs w:val="17"/>
              </w:rPr>
              <w:t xml:space="preserve">WATCH LIST PRODUCTS</w:t>
            </w:r>
          </w:p>
          <w:p>
            <w:pPr>
              <w:spacing w:after="40"/>
            </w:pPr>
            <w:r>
              <w:rPr>
                <w:rFonts w:ascii="Calibri" w:cs="Calibri" w:eastAsia="Calibri" w:hAnsi="Calibri"/>
                <w:b/>
                <w:bCs/>
                <w:color w:val="A0522D"/>
                <w:sz w:val="34"/>
                <w:szCs w:val="34"/>
              </w:rPr>
              <w:t xml:space="preserve">3</w:t>
            </w:r>
          </w:p>
          <w:p>
            <w:pPr>
              <w:spacing w:after="0"/>
            </w:pPr>
            <w:r>
              <w:rPr>
                <w:rFonts w:ascii="Calibri" w:cs="Calibri" w:eastAsia="Calibri" w:hAnsi="Calibri"/>
                <w:i/>
                <w:iCs/>
                <w:color w:val="4A4A4A"/>
                <w:sz w:val="17"/>
                <w:szCs w:val="17"/>
              </w:rPr>
              <w:t xml:space="preserve">Below 50% margin threshold</w:t>
            </w:r>
          </w:p>
        </w:tc>
      </w:tr>
    </w:tbl>
    <w:p>
      <w:pPr>
        <w:spacing w:after="200"/>
      </w:pPr>
    </w:p>
    <w:p>
      <w:pPr>
        <w:pBdr>
          <w:bottom w:val="single" w:color="0D2B55" w:sz="6" w:space="1"/>
        </w:pBdr>
        <w:spacing w:after="60" w:before="280"/>
      </w:pPr>
      <w:r>
        <w:rPr>
          <w:rFonts w:ascii="Calibri" w:cs="Calibri" w:eastAsia="Calibri" w:hAnsi="Calibri"/>
          <w:b/>
          <w:bCs/>
          <w:color w:val="0D2B55"/>
          <w:spacing w:val="40"/>
          <w:sz w:val="26"/>
          <w:szCs w:val="26"/>
        </w:rPr>
        <w:t xml:space="preserve">BUSINESS CONTEXT</w:t>
      </w:r>
    </w:p>
    <w:p>
      <w:pPr>
        <w:spacing w:after="160" w:line="288"/>
        <w:jc w:val="both"/>
      </w:pPr>
      <w:r>
        <w:rPr>
          <w:rFonts w:ascii="Calibri" w:cs="Calibri" w:eastAsia="Calibri" w:hAnsi="Calibri"/>
          <w:b w:val="false"/>
          <w:bCs w:val="false"/>
          <w:i w:val="false"/>
          <w:iCs w:val="false"/>
          <w:color w:val="1C1C1C"/>
          <w:sz w:val="22"/>
          <w:szCs w:val="22"/>
        </w:rPr>
        <w:t xml:space="preserve">Nassau Candy Distributor operates across three product divisions — Chocolate, Sugar, and Other — distributing branded confectionery across the United States and Canada. Historically, business performance has been measured primarily through sales volume, which can obscure the true profitability of individual product lines. This analysis was commissioned to provide granular margin visibility at the product and division level, enabling evidence-based decisions on pricing, supply chain management, and portfolio rationalisation.</w:t>
      </w:r>
    </w:p>
    <w:p>
      <w:pPr>
        <w:spacing w:after="160" w:line="288"/>
        <w:jc w:val="both"/>
      </w:pPr>
      <w:r>
        <w:rPr>
          <w:rFonts w:ascii="Calibri" w:cs="Calibri" w:eastAsia="Calibri" w:hAnsi="Calibri"/>
          <w:b w:val="false"/>
          <w:bCs w:val="false"/>
          <w:i w:val="false"/>
          <w:iCs w:val="false"/>
          <w:color w:val="1C1C1C"/>
          <w:sz w:val="22"/>
          <w:szCs w:val="22"/>
        </w:rPr>
        <w:t xml:space="preserve">The study was conducted using a full transactional dataset of 10,194 order records. Five key profitability metrics were engineered and applied: Gross Margin (%), Profit per Unit, Revenue Contribution, Profit Contribution, and Margin Volatility.</w:t>
      </w:r>
    </w:p>
    <w:p>
      <w:pPr>
        <w:spacing w:after="100"/>
      </w:pPr>
    </w:p>
    <w:p>
      <w:pPr>
        <w:pBdr>
          <w:bottom w:val="single" w:color="0D2B55" w:sz="6" w:space="1"/>
        </w:pBdr>
        <w:spacing w:after="60" w:before="280"/>
      </w:pPr>
      <w:r>
        <w:rPr>
          <w:rFonts w:ascii="Calibri" w:cs="Calibri" w:eastAsia="Calibri" w:hAnsi="Calibri"/>
          <w:b/>
          <w:bCs/>
          <w:color w:val="0D2B55"/>
          <w:spacing w:val="40"/>
          <w:sz w:val="26"/>
          <w:szCs w:val="26"/>
        </w:rPr>
        <w:t xml:space="preserve">CRITICAL FINDINGS</w:t>
      </w:r>
    </w:p>
    <w:p>
      <w:pPr>
        <w:spacing w:after="80"/>
      </w:pPr>
    </w:p>
    <w:p>
      <w:pPr>
        <w:spacing w:after="80" w:before="160"/>
      </w:pPr>
      <w:r>
        <w:rPr>
          <w:rFonts w:ascii="Calibri" w:cs="Calibri" w:eastAsia="Calibri" w:hAnsi="Calibri"/>
          <w:b/>
          <w:bCs/>
          <w:color w:val="0D2B55"/>
          <w:sz w:val="23"/>
          <w:szCs w:val="23"/>
        </w:rPr>
        <w:t xml:space="preserve">Finding 1 — Extreme Profit Concentration in the Wonka Bar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
        <w:gridCol w:w="4000"/>
      </w:tblGrid>
      <w:tr>
        <w:tc>
          <w:tcPr>
            <w:tcW w:type="dxa" w:w="5200"/>
            <w:tcBorders>
              <w:top w:val="none" w:color="FFFFFF" w:sz="0"/>
              <w:left w:val="none" w:color="FFFFFF" w:sz="0"/>
              <w:bottom w:val="none" w:color="FFFFFF" w:sz="0"/>
              <w:right w:val="none" w:color="FFFFFF" w:sz="0"/>
            </w:tcBorders>
          </w:tcPr>
          <w:p>
            <w:pPr>
              <w:spacing w:after="160" w:line="288"/>
              <w:jc w:val="both"/>
            </w:pPr>
            <w:r>
              <w:rPr>
                <w:rFonts w:ascii="Calibri" w:cs="Calibri" w:eastAsia="Calibri" w:hAnsi="Calibri"/>
                <w:b w:val="false"/>
                <w:bCs w:val="false"/>
                <w:i w:val="false"/>
                <w:iCs w:val="false"/>
                <w:color w:val="1C1C1C"/>
                <w:sz w:val="22"/>
                <w:szCs w:val="22"/>
              </w:rPr>
              <w:t xml:space="preserve">Five Wonka Bar variants collectively generate 95.07% of total company gross profit, despite representing only 33% of the product catalogue. This level of concentration presents a material strategic dependency risk. Any supply disruption, cost increase, or demand shift affecting the Wonka Bar range would have immediate and severe impact on overall company profitability.</w:t>
            </w:r>
          </w:p>
          <w:p>
            <w:pPr>
              <w:spacing w:after="80"/>
            </w:pPr>
          </w:p>
          <w:p>
            <w:pPr>
              <w:pStyle w:val="ListParagraph"/>
              <w:numPr>
                <w:ilvl w:val="0"/>
                <w:numId w:val="2"/>
              </w:numPr>
              <w:spacing w:after="100"/>
            </w:pPr>
            <w:r>
              <w:rPr>
                <w:rFonts w:ascii="Calibri" w:cs="Calibri" w:eastAsia="Calibri" w:hAnsi="Calibri"/>
                <w:color w:val="1C1C1C"/>
                <w:sz w:val="22"/>
                <w:szCs w:val="22"/>
              </w:rPr>
              <w:t xml:space="preserve">Wonka Bar - Scrumdiddlyumptious: $19,357.50 profit (20.72% share)</w:t>
            </w:r>
          </w:p>
          <w:p>
            <w:pPr>
              <w:pStyle w:val="ListParagraph"/>
              <w:numPr>
                <w:ilvl w:val="0"/>
                <w:numId w:val="2"/>
              </w:numPr>
              <w:spacing w:after="100"/>
            </w:pPr>
            <w:r>
              <w:rPr>
                <w:rFonts w:ascii="Calibri" w:cs="Calibri" w:eastAsia="Calibri" w:hAnsi="Calibri"/>
                <w:color w:val="1C1C1C"/>
                <w:sz w:val="22"/>
                <w:szCs w:val="22"/>
              </w:rPr>
              <w:t xml:space="preserve">Wonka Bar - Triple Dazzle Caramel: $18,610.20 profit (19.92% share)</w:t>
            </w:r>
          </w:p>
          <w:p>
            <w:pPr>
              <w:pStyle w:val="ListParagraph"/>
              <w:numPr>
                <w:ilvl w:val="0"/>
                <w:numId w:val="2"/>
              </w:numPr>
              <w:spacing w:after="100"/>
            </w:pPr>
            <w:r>
              <w:rPr>
                <w:rFonts w:ascii="Calibri" w:cs="Calibri" w:eastAsia="Calibri" w:hAnsi="Calibri"/>
                <w:color w:val="1C1C1C"/>
                <w:sz w:val="22"/>
                <w:szCs w:val="22"/>
              </w:rPr>
              <w:t xml:space="preserve">Wonka Bar - Milk Chocolate: $17,443.37 profit (18.67% share)</w:t>
            </w:r>
          </w:p>
          <w:p>
            <w:pPr>
              <w:pStyle w:val="ListParagraph"/>
              <w:numPr>
                <w:ilvl w:val="0"/>
                <w:numId w:val="2"/>
              </w:numPr>
              <w:spacing w:after="100"/>
            </w:pPr>
            <w:r>
              <w:rPr>
                <w:rFonts w:ascii="Calibri" w:cs="Calibri" w:eastAsia="Calibri" w:hAnsi="Calibri"/>
                <w:color w:val="1C1C1C"/>
                <w:sz w:val="22"/>
                <w:szCs w:val="22"/>
              </w:rPr>
              <w:t xml:space="preserve">Wonka Bar - Nutty Crunch Surprise: $16,819.95 profit (18.00% share)</w:t>
            </w:r>
          </w:p>
          <w:p>
            <w:pPr>
              <w:pStyle w:val="ListParagraph"/>
              <w:numPr>
                <w:ilvl w:val="0"/>
                <w:numId w:val="2"/>
              </w:numPr>
              <w:spacing w:after="100"/>
            </w:pPr>
            <w:r>
              <w:rPr>
                <w:rFonts w:ascii="Calibri" w:cs="Calibri" w:eastAsia="Calibri" w:hAnsi="Calibri"/>
                <w:color w:val="1C1C1C"/>
                <w:sz w:val="22"/>
                <w:szCs w:val="22"/>
              </w:rPr>
              <w:t xml:space="preserve">Wonka Bar - Fudge Mallows: $16,593.60 profit (17.76% share)</w:t>
            </w:r>
          </w:p>
        </w:tc>
        <w:tc>
          <w:tcPr>
            <w:tcW w:type="dxa" w:w="160"/>
            <w:tcBorders>
              <w:top w:val="none" w:color="FFFFFF" w:sz="0"/>
              <w:left w:val="none" w:color="FFFFFF" w:sz="0"/>
              <w:bottom w:val="none" w:color="FFFFFF" w:sz="0"/>
              <w:right w:val="none" w:color="FFFFFF" w:sz="0"/>
            </w:tcBorders>
          </w:tcPr>
          <w:p>
            <w:pPr>
              <w:spacing w:after="160"/>
            </w:pPr>
          </w:p>
        </w:tc>
        <w:tc>
          <w:tcPr>
            <w:tcW w:type="dxa" w:w="4000"/>
            <w:tcBorders>
              <w:top w:val="none" w:color="FFFFFF" w:sz="0"/>
              <w:left w:val="none" w:color="FFFFFF" w:sz="0"/>
              <w:bottom w:val="none" w:color="FFFFFF" w:sz="0"/>
              <w:right w:val="none" w:color="FFFFFF" w:sz="0"/>
            </w:tcBorders>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tblGrid>
            <w:tr>
              <w:trPr>
                <w:tblHeader/>
              </w:trPr>
              <w:tc>
                <w:tcPr>
                  <w:tcW w:type="dxa" w:w="24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18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Products for 80% of profit</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5 products</w:t>
                  </w:r>
                </w:p>
              </w:tc>
            </w:tr>
            <w:tr>
              <w:tc>
                <w:tcPr>
                  <w:tcW w:type="dxa" w:w="24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 of catalogue</w:t>
                  </w:r>
                </w:p>
              </w:tc>
              <w:tc>
                <w:tcPr>
                  <w:tcW w:type="dxa" w:w="1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33%</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Top product margin</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71%</w:t>
                  </w:r>
                </w:p>
              </w:tc>
            </w:tr>
            <w:tr>
              <w:tc>
                <w:tcPr>
                  <w:tcW w:type="dxa" w:w="24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Combined profit share</w:t>
                  </w:r>
                </w:p>
              </w:tc>
              <w:tc>
                <w:tcPr>
                  <w:tcW w:type="dxa" w:w="1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95.07%</w:t>
                  </w:r>
                </w:p>
              </w:tc>
            </w:tr>
          </w:tbl>
          <w:p/>
        </w:tc>
      </w:tr>
    </w:tbl>
    <w:p>
      <w:pPr>
        <w:spacing w:after="200"/>
      </w:pPr>
    </w:p>
    <w:p>
      <w:pPr>
        <w:spacing w:after="80" w:before="160"/>
      </w:pPr>
      <w:r>
        <w:rPr>
          <w:rFonts w:ascii="Calibri" w:cs="Calibri" w:eastAsia="Calibri" w:hAnsi="Calibri"/>
          <w:b/>
          <w:bCs/>
          <w:color w:val="0D2B55"/>
          <w:sz w:val="23"/>
          <w:szCs w:val="23"/>
        </w:rPr>
        <w:t xml:space="preserve">Finding 2 — Chocolate Division is the Financial Backbone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800"/>
        <w:gridCol w:w="1560"/>
      </w:tblGrid>
      <w:tr>
        <w:trPr>
          <w:tblHeader/>
        </w:trPr>
        <w:tc>
          <w:tcPr>
            <w:tcW w:type="dxa" w:w="22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Division</w:t>
            </w:r>
          </w:p>
        </w:tc>
        <w:tc>
          <w:tcPr>
            <w:tcW w:type="dxa" w:w="19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Total Revenue</w:t>
            </w:r>
          </w:p>
        </w:tc>
        <w:tc>
          <w:tcPr>
            <w:tcW w:type="dxa" w:w="19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Total Profit</w:t>
            </w:r>
          </w:p>
        </w:tc>
        <w:tc>
          <w:tcPr>
            <w:tcW w:type="dxa" w:w="18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Avg Gross Margin</w:t>
            </w:r>
          </w:p>
        </w:tc>
        <w:tc>
          <w:tcPr>
            <w:tcW w:type="dxa" w:w="156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 of Company Profit</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Chocolate</w:t>
            </w:r>
          </w:p>
        </w:tc>
        <w:tc>
          <w:tcPr>
            <w:tcW w:type="dxa" w:w="1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$131,692.90</w:t>
            </w:r>
          </w:p>
        </w:tc>
        <w:tc>
          <w:tcPr>
            <w:tcW w:type="dxa" w:w="1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$88,824.62</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67%</w:t>
            </w:r>
          </w:p>
        </w:tc>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95.1%</w:t>
            </w:r>
          </w:p>
        </w:tc>
      </w:tr>
      <w:tr>
        <w:tc>
          <w:tcPr>
            <w:tcW w:type="dxa" w:w="2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Other</w:t>
            </w:r>
          </w:p>
        </w:tc>
        <w:tc>
          <w:tcPr>
            <w:tcW w:type="dxa" w:w="19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$9,663.25</w:t>
            </w:r>
          </w:p>
        </w:tc>
        <w:tc>
          <w:tcPr>
            <w:tcW w:type="dxa" w:w="19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$4,333.45</w:t>
            </w:r>
          </w:p>
        </w:tc>
        <w:tc>
          <w:tcPr>
            <w:tcW w:type="dxa" w:w="1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45%</w:t>
            </w:r>
          </w:p>
        </w:tc>
        <w:tc>
          <w:tcPr>
            <w:tcW w:type="dxa" w:w="156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4.6%</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Sugar</w:t>
            </w:r>
          </w:p>
        </w:tc>
        <w:tc>
          <w:tcPr>
            <w:tcW w:type="dxa" w:w="1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$427.48</w:t>
            </w:r>
          </w:p>
        </w:tc>
        <w:tc>
          <w:tcPr>
            <w:tcW w:type="dxa" w:w="1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$284.73</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67%</w:t>
            </w:r>
          </w:p>
        </w:tc>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0.3%</w:t>
            </w:r>
          </w:p>
        </w:tc>
      </w:tr>
    </w:tbl>
    <w:p>
      <w:pPr>
        <w:spacing w:after="140"/>
      </w:pPr>
    </w:p>
    <w:p>
      <w:pPr>
        <w:spacing w:after="160" w:line="288"/>
        <w:jc w:val="both"/>
      </w:pPr>
      <w:r>
        <w:rPr>
          <w:rFonts w:ascii="Calibri" w:cs="Calibri" w:eastAsia="Calibri" w:hAnsi="Calibri"/>
          <w:b w:val="false"/>
          <w:bCs w:val="false"/>
          <w:i w:val="false"/>
          <w:iCs w:val="false"/>
          <w:color w:val="1C1C1C"/>
          <w:sz w:val="22"/>
          <w:szCs w:val="22"/>
        </w:rPr>
        <w:t xml:space="preserve">The Chocolate division dominates with a 67% gross margin and accounts for 95.1% of total profit. The Other division, while generating meaningful revenue of $9,663.25, achieves only a 45% average gross margin — a 22 percentage point gap compared to the Chocolate and Sugar divisions. This structural inefficiency in the Other division warrants a dedicated product review.</w:t>
      </w:r>
    </w:p>
    <w:p>
      <w:pPr>
        <w:spacing w:after="140"/>
      </w:pPr>
    </w:p>
    <w:p>
      <w:pPr>
        <w:spacing w:after="80" w:before="160"/>
      </w:pPr>
      <w:r>
        <w:rPr>
          <w:rFonts w:ascii="Calibri" w:cs="Calibri" w:eastAsia="Calibri" w:hAnsi="Calibri"/>
          <w:b/>
          <w:bCs/>
          <w:color w:val="0D2B55"/>
          <w:sz w:val="23"/>
          <w:szCs w:val="23"/>
        </w:rPr>
        <w:t xml:space="preserve">Finding 3 — Kazookles: A Critical Margin Risk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1"/>
              <w:left w:val="single" w:color="8B1A1A" w:sz="16"/>
              <w:bottom w:val="single" w:color="8B1A1A" w:sz="1"/>
              <w:right w:val="single" w:color="CCCCCC" w:sz="1"/>
            </w:tcBorders>
            <w:shd w:fill="FAD7D7" w:val="clear"/>
            <w:tcMar>
              <w:top w:type="dxa" w:w="160"/>
              <w:left w:type="dxa" w:w="240"/>
              <w:bottom w:type="dxa" w:w="160"/>
              <w:right w:type="dxa" w:w="240"/>
            </w:tcMar>
          </w:tcPr>
          <w:p>
            <w:pPr>
              <w:spacing w:after="60"/>
            </w:pPr>
            <w:r>
              <w:rPr>
                <w:rFonts w:ascii="Calibri" w:cs="Calibri" w:eastAsia="Calibri" w:hAnsi="Calibri"/>
                <w:b/>
                <w:bCs/>
                <w:color w:val="8B1A1A"/>
                <w:sz w:val="20"/>
                <w:szCs w:val="20"/>
              </w:rPr>
              <w:t xml:space="preserve">⚠  HIGH PRIORITY — IMMEDIATE ACTION REQUIRED</w:t>
            </w:r>
          </w:p>
          <w:p>
            <w:pPr>
              <w:spacing w:after="0" w:line="276"/>
              <w:jc w:val="both"/>
            </w:pPr>
            <w:r>
              <w:rPr>
                <w:rFonts w:ascii="Calibri" w:cs="Calibri" w:eastAsia="Calibri" w:hAnsi="Calibri"/>
                <w:color w:val="8B1A1A"/>
                <w:sz w:val="22"/>
                <w:szCs w:val="22"/>
              </w:rPr>
              <w:t xml:space="preserve">Kazookles generates $1,205.75 in revenue but retains only $92.75 in gross profit — a margin of just 8%. A staggering 92 cents of every dollar in Kazookles revenue is consumed by cost. This product is effectively subsidised by the rest of the portfolio and represents the most urgent case for cost renegotiation, repricing, or discontinuation review.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100"/>
        <w:gridCol w:w="1200"/>
        <w:gridCol w:w="1100"/>
        <w:gridCol w:w="1200"/>
        <w:gridCol w:w="1460"/>
      </w:tblGrid>
      <w:tr>
        <w:trPr>
          <w:tblHeader/>
        </w:trPr>
        <w:tc>
          <w:tcPr>
            <w:tcW w:type="dxa" w:w="21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Product</w:t>
            </w:r>
          </w:p>
        </w:tc>
        <w:tc>
          <w:tcPr>
            <w:tcW w:type="dxa" w:w="12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Revenue</w:t>
            </w:r>
          </w:p>
        </w:tc>
        <w:tc>
          <w:tcPr>
            <w:tcW w:type="dxa" w:w="11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Cost</w:t>
            </w:r>
          </w:p>
        </w:tc>
        <w:tc>
          <w:tcPr>
            <w:tcW w:type="dxa" w:w="12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Gross Profit</w:t>
            </w:r>
          </w:p>
        </w:tc>
        <w:tc>
          <w:tcPr>
            <w:tcW w:type="dxa" w:w="11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Cost Ratio</w:t>
            </w:r>
          </w:p>
        </w:tc>
        <w:tc>
          <w:tcPr>
            <w:tcW w:type="dxa" w:w="12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Gross Margin</w:t>
            </w:r>
          </w:p>
        </w:tc>
        <w:tc>
          <w:tcPr>
            <w:tcW w:type="dxa" w:w="146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dxa" w:w="2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Kazookles</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$1,205.75</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$1,113.00</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$92.75</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92%</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8%</w:t>
            </w:r>
          </w:p>
        </w:tc>
        <w:tc>
          <w:tcPr>
            <w:tcW w:type="dxa" w:w="1460"/>
            <w:tcBorders>
              <w:top w:val="single" w:color="C0C8D8" w:sz="1"/>
              <w:left w:val="single" w:color="C0C8D8" w:sz="1"/>
              <w:bottom w:val="single" w:color="C0C8D8" w:sz="1"/>
              <w:right w:val="single" w:color="C0C8D8" w:sz="1"/>
            </w:tcBorders>
            <w:shd w:fill="FAD7D7" w:val="clear"/>
            <w:tcMar>
              <w:top w:type="dxa" w:w="80"/>
              <w:left w:type="dxa" w:w="140"/>
              <w:bottom w:type="dxa" w:w="80"/>
              <w:right w:type="dxa" w:w="140"/>
            </w:tcMar>
          </w:tcPr>
          <w:p>
            <w:r>
              <w:rPr>
                <w:rFonts w:ascii="Calibri" w:cs="Calibri" w:eastAsia="Calibri" w:hAnsi="Calibri"/>
                <w:b/>
                <w:bCs/>
                <w:color w:val="8B1A1A"/>
                <w:sz w:val="20"/>
                <w:szCs w:val="20"/>
              </w:rPr>
              <w:t xml:space="preserve">HIGH RISK</w:t>
            </w:r>
          </w:p>
        </w:tc>
      </w:tr>
      <w:tr>
        <w:tc>
          <w:tcPr>
            <w:tcW w:type="dxa" w:w="2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Fun Dip</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$12.00</w:t>
            </w:r>
          </w:p>
        </w:tc>
        <w:tc>
          <w:tcPr>
            <w:tcW w:type="dxa" w:w="1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$7.20</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$4.80</w:t>
            </w:r>
          </w:p>
        </w:tc>
        <w:tc>
          <w:tcPr>
            <w:tcW w:type="dxa" w:w="1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60%</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40%</w:t>
            </w:r>
          </w:p>
        </w:tc>
        <w:tc>
          <w:tcPr>
            <w:tcW w:type="dxa" w:w="1460"/>
            <w:tcBorders>
              <w:top w:val="single" w:color="C0C8D8" w:sz="1"/>
              <w:left w:val="single" w:color="C0C8D8" w:sz="1"/>
              <w:bottom w:val="single" w:color="C0C8D8" w:sz="1"/>
              <w:right w:val="single" w:color="C0C8D8" w:sz="1"/>
            </w:tcBorders>
            <w:shd w:fill="FDEBD0" w:val="clear"/>
            <w:tcMar>
              <w:top w:type="dxa" w:w="80"/>
              <w:left w:type="dxa" w:w="140"/>
              <w:bottom w:type="dxa" w:w="80"/>
              <w:right w:type="dxa" w:w="140"/>
            </w:tcMar>
          </w:tcPr>
          <w:p>
            <w:r>
              <w:rPr>
                <w:rFonts w:ascii="Calibri" w:cs="Calibri" w:eastAsia="Calibri" w:hAnsi="Calibri"/>
                <w:b/>
                <w:bCs/>
                <w:color w:val="A0522D"/>
                <w:sz w:val="20"/>
                <w:szCs w:val="20"/>
              </w:rPr>
              <w:t xml:space="preserve">WATCH</w:t>
            </w:r>
          </w:p>
        </w:tc>
      </w:tr>
      <w:tr>
        <w:tc>
          <w:tcPr>
            <w:tcW w:type="dxa" w:w="2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Nerds</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$15.00</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$8.00</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$7.00</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53%</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47%</w:t>
            </w:r>
          </w:p>
        </w:tc>
        <w:tc>
          <w:tcPr>
            <w:tcW w:type="dxa" w:w="1460"/>
            <w:tcBorders>
              <w:top w:val="single" w:color="C0C8D8" w:sz="1"/>
              <w:left w:val="single" w:color="C0C8D8" w:sz="1"/>
              <w:bottom w:val="single" w:color="C0C8D8" w:sz="1"/>
              <w:right w:val="single" w:color="C0C8D8" w:sz="1"/>
            </w:tcBorders>
            <w:shd w:fill="FDEBD0" w:val="clear"/>
            <w:tcMar>
              <w:top w:type="dxa" w:w="80"/>
              <w:left w:type="dxa" w:w="140"/>
              <w:bottom w:type="dxa" w:w="80"/>
              <w:right w:type="dxa" w:w="140"/>
            </w:tcMar>
          </w:tcPr>
          <w:p>
            <w:r>
              <w:rPr>
                <w:rFonts w:ascii="Calibri" w:cs="Calibri" w:eastAsia="Calibri" w:hAnsi="Calibri"/>
                <w:b/>
                <w:bCs/>
                <w:color w:val="A0522D"/>
                <w:sz w:val="20"/>
                <w:szCs w:val="20"/>
              </w:rPr>
              <w:t xml:space="preserve">WATCH</w:t>
            </w:r>
          </w:p>
        </w:tc>
      </w:tr>
      <w:tr>
        <w:tc>
          <w:tcPr>
            <w:tcW w:type="dxa" w:w="2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SweeTARTS</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$61.50</w:t>
            </w:r>
          </w:p>
        </w:tc>
        <w:tc>
          <w:tcPr>
            <w:tcW w:type="dxa" w:w="1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$32.80</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$28.70</w:t>
            </w:r>
          </w:p>
        </w:tc>
        <w:tc>
          <w:tcPr>
            <w:tcW w:type="dxa" w:w="11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53%</w:t>
            </w:r>
          </w:p>
        </w:tc>
        <w:tc>
          <w:tcPr>
            <w:tcW w:type="dxa" w:w="12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47%</w:t>
            </w:r>
          </w:p>
        </w:tc>
        <w:tc>
          <w:tcPr>
            <w:tcW w:type="dxa" w:w="1460"/>
            <w:tcBorders>
              <w:top w:val="single" w:color="C0C8D8" w:sz="1"/>
              <w:left w:val="single" w:color="C0C8D8" w:sz="1"/>
              <w:bottom w:val="single" w:color="C0C8D8" w:sz="1"/>
              <w:right w:val="single" w:color="C0C8D8" w:sz="1"/>
            </w:tcBorders>
            <w:shd w:fill="FDEBD0" w:val="clear"/>
            <w:tcMar>
              <w:top w:type="dxa" w:w="80"/>
              <w:left w:type="dxa" w:w="140"/>
              <w:bottom w:type="dxa" w:w="80"/>
              <w:right w:type="dxa" w:w="140"/>
            </w:tcMar>
          </w:tcPr>
          <w:p>
            <w:r>
              <w:rPr>
                <w:rFonts w:ascii="Calibri" w:cs="Calibri" w:eastAsia="Calibri" w:hAnsi="Calibri"/>
                <w:b/>
                <w:bCs/>
                <w:color w:val="A0522D"/>
                <w:sz w:val="20"/>
                <w:szCs w:val="20"/>
              </w:rPr>
              <w:t xml:space="preserve">WATCH</w:t>
            </w:r>
          </w:p>
        </w:tc>
      </w:tr>
    </w:tbl>
    <w:p>
      <w:pPr>
        <w:spacing w:after="200"/>
      </w:pPr>
    </w:p>
    <w:p>
      <w:pPr>
        <w:spacing w:after="80" w:before="160"/>
      </w:pPr>
      <w:r>
        <w:rPr>
          <w:rFonts w:ascii="Calibri" w:cs="Calibri" w:eastAsia="Calibri" w:hAnsi="Calibri"/>
          <w:b/>
          <w:bCs/>
          <w:color w:val="0D2B55"/>
          <w:sz w:val="23"/>
          <w:szCs w:val="23"/>
        </w:rPr>
        <w:t xml:space="preserve">Finding 4 — Pareto Analysis: 27% of Products Generate 80%+ of Profit</w:t>
      </w:r>
    </w:p>
    <w:p>
      <w:pPr>
        <w:spacing w:after="160" w:line="288"/>
        <w:jc w:val="both"/>
      </w:pPr>
      <w:r>
        <w:rPr>
          <w:rFonts w:ascii="Calibri" w:cs="Calibri" w:eastAsia="Calibri" w:hAnsi="Calibri"/>
          <w:b w:val="false"/>
          <w:bCs w:val="false"/>
          <w:i w:val="false"/>
          <w:iCs w:val="false"/>
          <w:color w:val="1C1C1C"/>
          <w:sz w:val="22"/>
          <w:szCs w:val="22"/>
        </w:rPr>
        <w:t xml:space="preserve">The Pareto concentration analysis confirms that just 4 products (26.7% of the 15-product catalogue) account for approximately 77% of cumulative gross profit. Reaching the 80% profit threshold requires only 5 products. This finding has direct implications for portfolio strategy, supplier negotiation priorities, and risk management planning.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6"/>
              <w:bottom w:val="single" w:color="B8860B" w:sz="1"/>
              <w:right w:val="single" w:color="CCCCCC" w:sz="1"/>
            </w:tcBorders>
            <w:shd w:fill="FDF3D0" w:val="clear"/>
            <w:tcMar>
              <w:top w:type="dxa" w:w="160"/>
              <w:left w:type="dxa" w:w="240"/>
              <w:bottom w:type="dxa" w:w="160"/>
              <w:right w:type="dxa" w:w="240"/>
            </w:tcMar>
          </w:tcPr>
          <w:p>
            <w:pPr>
              <w:spacing w:after="60"/>
            </w:pPr>
            <w:r>
              <w:rPr>
                <w:rFonts w:ascii="Calibri" w:cs="Calibri" w:eastAsia="Calibri" w:hAnsi="Calibri"/>
                <w:b/>
                <w:bCs/>
                <w:color w:val="B8860B"/>
                <w:sz w:val="20"/>
                <w:szCs w:val="20"/>
              </w:rPr>
              <w:t xml:space="preserve">PARETO PRINCIPLE APPLIED</w:t>
            </w:r>
          </w:p>
          <w:p>
            <w:pPr>
              <w:spacing w:after="0" w:line="276"/>
              <w:jc w:val="both"/>
            </w:pPr>
            <w:r>
              <w:rPr>
                <w:rFonts w:ascii="Calibri" w:cs="Calibri" w:eastAsia="Calibri" w:hAnsi="Calibri"/>
                <w:color w:val="1C1C1C"/>
                <w:sz w:val="22"/>
                <w:szCs w:val="22"/>
              </w:rPr>
              <w:t xml:space="preserve">In the Nassau Candy portfolio, the 80/20 rule is even more extreme: approximately 33% of products generate over 95% of profits. This is a concentration risk that government regulators and financial stakeholders should note as a structural vulnerability in the business model.</w:t>
            </w:r>
          </w:p>
        </w:tc>
      </w:tr>
    </w:tbl>
    <w:p>
      <w:pPr>
        <w:spacing w:after="200"/>
      </w:pPr>
    </w:p>
    <w:p>
      <w:r>
        <w:br w:type="page"/>
      </w:r>
    </w:p>
    <w:p>
      <w:pPr>
        <w:pBdr>
          <w:bottom w:val="single" w:color="0D2B55" w:sz="6" w:space="1"/>
        </w:pBdr>
        <w:spacing w:after="60" w:before="280"/>
      </w:pPr>
      <w:r>
        <w:rPr>
          <w:rFonts w:ascii="Calibri" w:cs="Calibri" w:eastAsia="Calibri" w:hAnsi="Calibri"/>
          <w:b/>
          <w:bCs/>
          <w:color w:val="0D2B55"/>
          <w:spacing w:val="40"/>
          <w:sz w:val="26"/>
          <w:szCs w:val="26"/>
        </w:rPr>
        <w:t xml:space="preserve">STRATEGIC RECOMMENDATIONS FOR LEADERSHIP</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00"/>
        <w:gridCol w:w="1060"/>
      </w:tblGrid>
      <w:tr>
        <w:trPr>
          <w:tblHeader/>
        </w:trPr>
        <w:tc>
          <w:tcPr>
            <w:tcW w:type="dxa" w:w="15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Priority</w:t>
            </w:r>
          </w:p>
        </w:tc>
        <w:tc>
          <w:tcPr>
            <w:tcW w:type="dxa" w:w="28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Recommendation</w:t>
            </w:r>
          </w:p>
        </w:tc>
        <w:tc>
          <w:tcPr>
            <w:tcW w:type="dxa" w:w="300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Rationale</w:t>
            </w:r>
          </w:p>
        </w:tc>
        <w:tc>
          <w:tcPr>
            <w:tcW w:type="dxa" w:w="1060"/>
            <w:tcBorders>
              <w:top w:val="single" w:color="C0C8D8" w:sz="1"/>
              <w:left w:val="single" w:color="C0C8D8" w:sz="1"/>
              <w:bottom w:val="single" w:color="C0C8D8" w:sz="1"/>
              <w:right w:val="single" w:color="C0C8D8" w:sz="1"/>
            </w:tcBorders>
            <w:shd w:fill="0D2B55" w:val="clear"/>
            <w:tcMar>
              <w:top w:type="dxa" w:w="100"/>
              <w:left w:type="dxa" w:w="140"/>
              <w:bottom w:type="dxa" w:w="100"/>
              <w:right w:type="dxa" w:w="140"/>
            </w:tcMar>
          </w:tcPr>
          <w:p>
            <w:r>
              <w:rPr>
                <w:rFonts w:ascii="Calibri" w:cs="Calibri" w:eastAsia="Calibri" w:hAnsi="Calibri"/>
                <w:b/>
                <w:bCs/>
                <w:color w:val="FFFFFF"/>
                <w:sz w:val="20"/>
                <w:szCs w:val="20"/>
              </w:rPr>
              <w:t xml:space="preserve">Timeframe</w:t>
            </w:r>
          </w:p>
        </w:tc>
      </w:tr>
      <w:tr>
        <w:tc>
          <w:tcPr>
            <w:tcW w:type="dxa" w:w="1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1 — CRITICAL</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Initiate Kazookles cost review or discontinuation</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92% cost ratio — lowest margin in entire portfolio</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Immediate</w:t>
            </w:r>
          </w:p>
        </w:tc>
      </w:tr>
      <w:tr>
        <w:tc>
          <w:tcPr>
            <w:tcW w:type="dxa" w:w="1500"/>
            <w:tcBorders>
              <w:top w:val="single" w:color="C0C8D8" w:sz="1"/>
              <w:left w:val="single" w:color="C0C8D8" w:sz="1"/>
              <w:bottom w:val="single" w:color="C0C8D8" w:sz="1"/>
              <w:right w:val="single" w:color="C0C8D8" w:sz="1"/>
            </w:tcBorders>
            <w:shd w:fill="FAD7D7" w:val="clear"/>
            <w:tcMar>
              <w:top w:type="dxa" w:w="80"/>
              <w:left w:type="dxa" w:w="140"/>
              <w:bottom w:type="dxa" w:w="80"/>
              <w:right w:type="dxa" w:w="140"/>
            </w:tcMar>
          </w:tcPr>
          <w:p>
            <w:r>
              <w:rPr>
                <w:rFonts w:ascii="Calibri" w:cs="Calibri" w:eastAsia="Calibri" w:hAnsi="Calibri"/>
                <w:b/>
                <w:bCs/>
                <w:color w:val="8B1A1A"/>
                <w:sz w:val="20"/>
                <w:szCs w:val="20"/>
              </w:rPr>
              <w:t xml:space="preserve">2 — HIGH</w:t>
            </w:r>
          </w:p>
        </w:tc>
        <w:tc>
          <w:tcPr>
            <w:tcW w:type="dxa" w:w="2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Protect Wonka Bar supply chain and pricing integrity</w:t>
            </w:r>
          </w:p>
        </w:tc>
        <w:tc>
          <w:tcPr>
            <w:tcW w:type="dxa" w:w="30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5 products = 95% of all profit; any disruption is catastrophic</w:t>
            </w:r>
          </w:p>
        </w:tc>
        <w:tc>
          <w:tcPr>
            <w:tcW w:type="dxa" w:w="106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Ongoing</w:t>
            </w:r>
          </w:p>
        </w:tc>
      </w:tr>
      <w:tr>
        <w:tc>
          <w:tcPr>
            <w:tcW w:type="dxa" w:w="1500"/>
            <w:tcBorders>
              <w:top w:val="single" w:color="C0C8D8" w:sz="1"/>
              <w:left w:val="single" w:color="C0C8D8" w:sz="1"/>
              <w:bottom w:val="single" w:color="C0C8D8" w:sz="1"/>
              <w:right w:val="single" w:color="C0C8D8" w:sz="1"/>
            </w:tcBorders>
            <w:shd w:fill="FAD7D7" w:val="clear"/>
            <w:tcMar>
              <w:top w:type="dxa" w:w="80"/>
              <w:left w:type="dxa" w:w="140"/>
              <w:bottom w:type="dxa" w:w="80"/>
              <w:right w:type="dxa" w:w="140"/>
            </w:tcMar>
          </w:tcPr>
          <w:p>
            <w:r>
              <w:rPr>
                <w:rFonts w:ascii="Calibri" w:cs="Calibri" w:eastAsia="Calibri" w:hAnsi="Calibri"/>
                <w:b/>
                <w:bCs/>
                <w:color w:val="8B1A1A"/>
                <w:sz w:val="20"/>
                <w:szCs w:val="20"/>
              </w:rPr>
              <w:t xml:space="preserve">3 — HIGH</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Audit and restructure the Other division product mix</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45% margin vs 67% industry-leading divisions — 22pt gap</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Q1 2026</w:t>
            </w:r>
          </w:p>
        </w:tc>
      </w:tr>
      <w:tr>
        <w:tc>
          <w:tcPr>
            <w:tcW w:type="dxa" w:w="15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4 — MEDIUM</w:t>
            </w:r>
          </w:p>
        </w:tc>
        <w:tc>
          <w:tcPr>
            <w:tcW w:type="dxa" w:w="2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Diversify the profit base beyond Wonka Bar variants</w:t>
            </w:r>
          </w:p>
        </w:tc>
        <w:tc>
          <w:tcPr>
            <w:tcW w:type="dxa" w:w="30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Extreme concentration risk — develop higher-margin alternatives</w:t>
            </w:r>
          </w:p>
        </w:tc>
        <w:tc>
          <w:tcPr>
            <w:tcW w:type="dxa" w:w="106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Q2 2026</w:t>
            </w:r>
          </w:p>
        </w:tc>
      </w:tr>
      <w:tr>
        <w:tc>
          <w:tcPr>
            <w:tcW w:type="dxa" w:w="1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5 — MEDIUM</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Quarterly monitoring of Watch-list products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Fun Dip, Nerds, SweeTARTS require margin trend surveillance</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Quarterly</w:t>
            </w:r>
          </w:p>
        </w:tc>
      </w:tr>
      <w:tr>
        <w:tc>
          <w:tcPr>
            <w:tcW w:type="dxa" w:w="15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6 — LOW</w:t>
            </w:r>
          </w:p>
        </w:tc>
        <w:tc>
          <w:tcPr>
            <w:tcW w:type="dxa" w:w="2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Deploy Streamlit dashboard for operational reviews</w:t>
            </w:r>
          </w:p>
        </w:tc>
        <w:tc>
          <w:tcPr>
            <w:tcW w:type="dxa" w:w="30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Enable real-time margin KPI monitoring for leadership team</w:t>
            </w:r>
          </w:p>
        </w:tc>
        <w:tc>
          <w:tcPr>
            <w:tcW w:type="dxa" w:w="106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Q1 2026</w:t>
            </w:r>
          </w:p>
        </w:tc>
      </w:tr>
    </w:tbl>
    <w:p>
      <w:pPr>
        <w:spacing w:after="200"/>
      </w:pPr>
    </w:p>
    <w:p>
      <w:pPr>
        <w:pBdr>
          <w:bottom w:val="single" w:color="0D2B55" w:sz="6" w:space="1"/>
        </w:pBdr>
        <w:spacing w:after="60" w:before="280"/>
      </w:pPr>
      <w:r>
        <w:rPr>
          <w:rFonts w:ascii="Calibri" w:cs="Calibri" w:eastAsia="Calibri" w:hAnsi="Calibri"/>
          <w:b/>
          <w:bCs/>
          <w:color w:val="0D2B55"/>
          <w:spacing w:val="40"/>
          <w:sz w:val="26"/>
          <w:szCs w:val="26"/>
        </w:rPr>
        <w:t xml:space="preserve">ANALYTICAL DASHBOARD &amp; TOOLS</w:t>
      </w:r>
    </w:p>
    <w:p>
      <w:pPr>
        <w:spacing w:after="160" w:line="288"/>
        <w:jc w:val="both"/>
      </w:pPr>
      <w:r>
        <w:rPr>
          <w:rFonts w:ascii="Calibri" w:cs="Calibri" w:eastAsia="Calibri" w:hAnsi="Calibri"/>
          <w:b w:val="false"/>
          <w:bCs w:val="false"/>
          <w:i w:val="false"/>
          <w:iCs w:val="false"/>
          <w:color w:val="1C1C1C"/>
          <w:sz w:val="22"/>
          <w:szCs w:val="22"/>
        </w:rPr>
        <w:t xml:space="preserve">An interactive Streamlit web application has been developed to provide leadership with real-time access to all margin intelligence findings. The dashboard is structured across four modules: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
        <w:gridCol w:w="4000"/>
      </w:tblGrid>
      <w:tr>
        <w:tc>
          <w:tcPr>
            <w:tcW w:type="dxa" w:w="5200"/>
            <w:tcBorders>
              <w:top w:val="none" w:color="FFFFFF" w:sz="0"/>
              <w:left w:val="none" w:color="FFFFFF" w:sz="0"/>
              <w:bottom w:val="none" w:color="FFFFFF" w:sz="0"/>
              <w:right w:val="none" w:color="FFFFFF" w:sz="0"/>
            </w:tcBorders>
          </w:tcPr>
          <w:p>
            <w:pPr>
              <w:pStyle w:val="ListParagraph"/>
              <w:numPr>
                <w:ilvl w:val="0"/>
                <w:numId w:val="2"/>
              </w:numPr>
              <w:spacing w:after="100"/>
            </w:pPr>
            <w:r>
              <w:rPr>
                <w:rFonts w:ascii="Calibri" w:cs="Calibri" w:eastAsia="Calibri" w:hAnsi="Calibri"/>
                <w:color w:val="1C1C1C"/>
                <w:sz w:val="22"/>
                <w:szCs w:val="22"/>
              </w:rPr>
              <w:t xml:space="preserve">Product Profitability Overview — margin leaderboard and profit contribution charts</w:t>
            </w:r>
          </w:p>
          <w:p>
            <w:pPr>
              <w:pStyle w:val="ListParagraph"/>
              <w:numPr>
                <w:ilvl w:val="0"/>
                <w:numId w:val="2"/>
              </w:numPr>
              <w:spacing w:after="100"/>
            </w:pPr>
            <w:r>
              <w:rPr>
                <w:rFonts w:ascii="Calibri" w:cs="Calibri" w:eastAsia="Calibri" w:hAnsi="Calibri"/>
                <w:color w:val="1C1C1C"/>
                <w:sz w:val="22"/>
                <w:szCs w:val="22"/>
              </w:rPr>
              <w:t xml:space="preserve">Division Performance Dashboard — revenue vs profit comparison and margin trend analysis</w:t>
            </w:r>
          </w:p>
          <w:p>
            <w:pPr>
              <w:pStyle w:val="ListParagraph"/>
              <w:numPr>
                <w:ilvl w:val="0"/>
                <w:numId w:val="2"/>
              </w:numPr>
              <w:spacing w:after="100"/>
            </w:pPr>
            <w:r>
              <w:rPr>
                <w:rFonts w:ascii="Calibri" w:cs="Calibri" w:eastAsia="Calibri" w:hAnsi="Calibri"/>
                <w:color w:val="1C1C1C"/>
                <w:sz w:val="22"/>
                <w:szCs w:val="22"/>
              </w:rPr>
              <w:t xml:space="preserve">Cost &amp; Margin Diagnostics — scatter plot risk visualisation and margin risk flags</w:t>
            </w:r>
          </w:p>
          <w:p>
            <w:pPr>
              <w:pStyle w:val="ListParagraph"/>
              <w:numPr>
                <w:ilvl w:val="0"/>
                <w:numId w:val="2"/>
              </w:numPr>
              <w:spacing w:after="100"/>
            </w:pPr>
            <w:r>
              <w:rPr>
                <w:rFonts w:ascii="Calibri" w:cs="Calibri" w:eastAsia="Calibri" w:hAnsi="Calibri"/>
                <w:color w:val="1C1C1C"/>
                <w:sz w:val="22"/>
                <w:szCs w:val="22"/>
              </w:rPr>
              <w:t xml:space="preserve">Profit Concentration Analysis — Pareto charts and dependency indicators</w:t>
            </w:r>
          </w:p>
        </w:tc>
        <w:tc>
          <w:tcPr>
            <w:tcW w:type="dxa" w:w="160"/>
            <w:tcBorders>
              <w:top w:val="none" w:color="FFFFFF" w:sz="0"/>
              <w:left w:val="none" w:color="FFFFFF" w:sz="0"/>
              <w:bottom w:val="none" w:color="FFFFFF" w:sz="0"/>
              <w:right w:val="none" w:color="FFFFFF" w:sz="0"/>
            </w:tcBorders>
          </w:tcPr>
          <w:p>
            <w:pPr>
              <w:spacing w:after="160"/>
            </w:pPr>
          </w:p>
        </w:tc>
        <w:tc>
          <w:tcPr>
            <w:tcW w:type="dxa" w:w="4000"/>
            <w:tcBorders>
              <w:top w:val="none" w:color="FFFFFF" w:sz="0"/>
              <w:left w:val="none" w:color="FFFFFF" w:sz="0"/>
              <w:bottom w:val="none" w:color="FFFFFF" w:sz="0"/>
              <w:right w:val="none" w:color="FFFFFF" w:sz="0"/>
            </w:tcBorders>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tblGrid>
            <w:tr>
              <w:trPr>
                <w:tblHeader/>
              </w:trPr>
              <w:tc>
                <w:tcPr>
                  <w:tcW w:type="dxa" w:w="2400"/>
                  <w:tcBorders>
                    <w:top w:val="single" w:color="C0C8D8" w:sz="1"/>
                    <w:left w:val="single" w:color="C0C8D8" w:sz="1"/>
                    <w:bottom w:val="single" w:color="C0C8D8" w:sz="1"/>
                    <w:right w:val="single" w:color="C0C8D8" w:sz="1"/>
                  </w:tcBorders>
                  <w:shd w:fill="0B6E7A" w:val="clear"/>
                  <w:tcMar>
                    <w:top w:type="dxa" w:w="100"/>
                    <w:left w:type="dxa" w:w="140"/>
                    <w:bottom w:type="dxa" w:w="100"/>
                    <w:right w:type="dxa" w:w="140"/>
                  </w:tcMar>
                </w:tcPr>
                <w:p>
                  <w:r>
                    <w:rPr>
                      <w:rFonts w:ascii="Calibri" w:cs="Calibri" w:eastAsia="Calibri" w:hAnsi="Calibri"/>
                      <w:b/>
                      <w:bCs/>
                      <w:color w:val="FFFFFF"/>
                      <w:sz w:val="20"/>
                      <w:szCs w:val="20"/>
                    </w:rPr>
                    <w:t xml:space="preserve">User Control</w:t>
                  </w:r>
                </w:p>
              </w:tc>
              <w:tc>
                <w:tcPr>
                  <w:tcW w:type="dxa" w:w="1800"/>
                  <w:tcBorders>
                    <w:top w:val="single" w:color="C0C8D8" w:sz="1"/>
                    <w:left w:val="single" w:color="C0C8D8" w:sz="1"/>
                    <w:bottom w:val="single" w:color="C0C8D8" w:sz="1"/>
                    <w:right w:val="single" w:color="C0C8D8" w:sz="1"/>
                  </w:tcBorders>
                  <w:shd w:fill="0B6E7A" w:val="clear"/>
                  <w:tcMar>
                    <w:top w:type="dxa" w:w="100"/>
                    <w:left w:type="dxa" w:w="140"/>
                    <w:bottom w:type="dxa" w:w="100"/>
                    <w:right w:type="dxa" w:w="140"/>
                  </w:tcMar>
                </w:tcPr>
                <w:p>
                  <w:r>
                    <w:rPr>
                      <w:rFonts w:ascii="Calibri" w:cs="Calibri" w:eastAsia="Calibri" w:hAnsi="Calibri"/>
                      <w:b/>
                      <w:bCs/>
                      <w:color w:val="FFFFFF"/>
                      <w:sz w:val="20"/>
                      <w:szCs w:val="20"/>
                    </w:rPr>
                    <w:t xml:space="preserve">Function</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Date Range Selector</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Filter by order period</w:t>
                  </w:r>
                </w:p>
              </w:tc>
            </w:tr>
            <w:tr>
              <w:tc>
                <w:tcPr>
                  <w:tcW w:type="dxa" w:w="24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Division Filter</w:t>
                  </w:r>
                </w:p>
              </w:tc>
              <w:tc>
                <w:tcPr>
                  <w:tcW w:type="dxa" w:w="1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Isolate a specific division</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Margin Threshold</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Adjust risk flag sensitivity</w:t>
                  </w:r>
                </w:p>
              </w:tc>
            </w:tr>
            <w:tr>
              <w:tc>
                <w:tcPr>
                  <w:tcW w:type="dxa" w:w="24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Product Search</w:t>
                  </w:r>
                </w:p>
              </w:tc>
              <w:tc>
                <w:tcPr>
                  <w:tcW w:type="dxa" w:w="1800"/>
                  <w:tcBorders>
                    <w:top w:val="single" w:color="C0C8D8" w:sz="1"/>
                    <w:left w:val="single" w:color="C0C8D8" w:sz="1"/>
                    <w:bottom w:val="single" w:color="C0C8D8" w:sz="1"/>
                    <w:right w:val="single" w:color="C0C8D8" w:sz="1"/>
                  </w:tcBorders>
                  <w:shd w:fill="F4F6F9" w:val="clear"/>
                  <w:tcMar>
                    <w:top w:type="dxa" w:w="80"/>
                    <w:left w:type="dxa" w:w="140"/>
                    <w:bottom w:type="dxa" w:w="80"/>
                    <w:right w:type="dxa" w:w="140"/>
                  </w:tcMar>
                </w:tcPr>
                <w:p>
                  <w:r>
                    <w:rPr>
                      <w:rFonts w:ascii="Calibri" w:cs="Calibri" w:eastAsia="Calibri" w:hAnsi="Calibri"/>
                      <w:b w:val="false"/>
                      <w:bCs w:val="false"/>
                      <w:color w:val="1C1C1C"/>
                      <w:sz w:val="20"/>
                      <w:szCs w:val="20"/>
                    </w:rPr>
                    <w:t xml:space="preserve">Drill down to specific SKU</w:t>
                  </w:r>
                </w:p>
              </w:tc>
            </w:tr>
          </w:tbl>
          <w:p/>
        </w:tc>
      </w:tr>
    </w:tbl>
    <w:p>
      <w:pPr>
        <w:spacing w:after="200"/>
      </w:pPr>
    </w:p>
    <w:p>
      <w:pPr>
        <w:pBdr>
          <w:bottom w:val="single" w:color="0D2B55" w:sz="6" w:space="1"/>
        </w:pBdr>
        <w:spacing w:after="60" w:before="280"/>
      </w:pPr>
      <w:r>
        <w:rPr>
          <w:rFonts w:ascii="Calibri" w:cs="Calibri" w:eastAsia="Calibri" w:hAnsi="Calibri"/>
          <w:b/>
          <w:bCs/>
          <w:color w:val="0D2B55"/>
          <w:spacing w:val="40"/>
          <w:sz w:val="26"/>
          <w:szCs w:val="26"/>
        </w:rPr>
        <w:t xml:space="preserve">CONCLUSION</w:t>
      </w:r>
    </w:p>
    <w:p>
      <w:pPr>
        <w:spacing w:after="160" w:line="288"/>
        <w:jc w:val="both"/>
      </w:pPr>
      <w:r>
        <w:rPr>
          <w:rFonts w:ascii="Calibri" w:cs="Calibri" w:eastAsia="Calibri" w:hAnsi="Calibri"/>
          <w:b w:val="false"/>
          <w:bCs w:val="false"/>
          <w:i w:val="false"/>
          <w:iCs w:val="false"/>
          <w:color w:val="1C1C1C"/>
          <w:sz w:val="22"/>
          <w:szCs w:val="22"/>
        </w:rPr>
        <w:t xml:space="preserve">This analysis demonstrates that Nassau Candy Distributor's profitability is structurally sound but dangerously concentrated. The overall 66% gross margin is a position of strength; however, that strength is almost entirely dependent on five Wonka Bar product variants and the Chocolate division. Without margin diversification and the elimination of cost-inefficient products such as Kazookles, the business remains exposed to significant concentration and margin erosion risk.</w:t>
      </w:r>
    </w:p>
    <w:p>
      <w:pPr>
        <w:spacing w:after="160" w:line="288"/>
        <w:jc w:val="both"/>
      </w:pPr>
      <w:r>
        <w:rPr>
          <w:rFonts w:ascii="Calibri" w:cs="Calibri" w:eastAsia="Calibri" w:hAnsi="Calibri"/>
          <w:b w:val="false"/>
          <w:bCs w:val="false"/>
          <w:i w:val="false"/>
          <w:iCs w:val="false"/>
          <w:color w:val="1C1C1C"/>
          <w:sz w:val="22"/>
          <w:szCs w:val="22"/>
        </w:rPr>
        <w:t xml:space="preserve">The delivery of this analysis alongside an interactive Streamlit dashboard marks a transition from volume-based reporting to margin intelligence — providing leadership with the tools required to make data-driven decisions on pricing, portfolio rationalisation, and division performance management.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6"/>
              <w:bottom w:val="single" w:color="1A6B3A" w:sz="1"/>
              <w:right w:val="single" w:color="CCCCCC" w:sz="1"/>
            </w:tcBorders>
            <w:shd w:fill="D4EDDA" w:val="clear"/>
            <w:tcMar>
              <w:top w:type="dxa" w:w="160"/>
              <w:left w:type="dxa" w:w="240"/>
              <w:bottom w:type="dxa" w:w="160"/>
              <w:right w:type="dxa" w:w="240"/>
            </w:tcMar>
          </w:tcPr>
          <w:p>
            <w:pPr>
              <w:spacing w:after="60"/>
            </w:pPr>
            <w:r>
              <w:rPr>
                <w:rFonts w:ascii="Calibri" w:cs="Calibri" w:eastAsia="Calibri" w:hAnsi="Calibri"/>
                <w:b/>
                <w:bCs/>
                <w:color w:val="1A6B3A"/>
                <w:sz w:val="20"/>
                <w:szCs w:val="20"/>
              </w:rPr>
              <w:t xml:space="preserve">BOTTOM LINE FOR STAKEHOLDERS</w:t>
            </w:r>
          </w:p>
          <w:p>
            <w:pPr>
              <w:spacing w:after="0" w:line="276"/>
              <w:jc w:val="both"/>
            </w:pPr>
            <w:r>
              <w:rPr>
                <w:rFonts w:ascii="Calibri" w:cs="Calibri" w:eastAsia="Calibri" w:hAnsi="Calibri"/>
                <w:color w:val="1A6B3A"/>
                <w:sz w:val="22"/>
                <w:szCs w:val="22"/>
              </w:rPr>
              <w:t xml:space="preserve">Nassau Candy Distributor is highly profitable in its core Chocolate division but carries structural risk through extreme profit concentration (95% in 5 products) and a critically underperforming product (Kazookles at 8% margin). Immediate action on Kazookles and medium-term portfolio diversification are the two highest-return interventions available to leadership.</w:t>
            </w:r>
          </w:p>
        </w:tc>
      </w:tr>
    </w:tbl>
    <w:p>
      <w:pPr>
        <w:spacing w:after="200"/>
      </w:pPr>
    </w:p>
    <w:p>
      <w:pPr>
        <w:pBdr>
          <w:bottom w:val="single" w:color="E8ECF2" w:sz="4" w:space="1"/>
        </w:pBdr>
        <w:spacing w:after="0"/>
      </w:pPr>
    </w:p>
    <w:p>
      <w:pPr>
        <w:spacing w:after="120"/>
      </w:pPr>
    </w:p>
    <w:p>
      <w:pPr>
        <w:spacing w:after="60"/>
        <w:jc w:val="center"/>
      </w:pPr>
      <w:r>
        <w:rPr>
          <w:rFonts w:ascii="Calibri" w:cs="Calibri" w:eastAsia="Calibri" w:hAnsi="Calibri"/>
          <w:color w:val="4A4A4A"/>
          <w:sz w:val="20"/>
          <w:szCs w:val="20"/>
        </w:rPr>
        <w:t xml:space="preserve">For further information or the full technical report, please contact:</w:t>
      </w:r>
    </w:p>
    <w:p>
      <w:pPr>
        <w:spacing w:after="60"/>
        <w:jc w:val="center"/>
      </w:pPr>
      <w:r>
        <w:rPr>
          <w:rFonts w:ascii="Calibri" w:cs="Calibri" w:eastAsia="Calibri" w:hAnsi="Calibri"/>
          <w:b/>
          <w:bCs/>
          <w:color w:val="0D2B55"/>
          <w:sz w:val="22"/>
          <w:szCs w:val="22"/>
        </w:rPr>
        <w:t xml:space="preserve">Vishwa Bharathi  |  Data Analytics Intern  |  Unified Mentor Program  |  2026</w:t>
      </w:r>
    </w:p>
    <w:p>
      <w:pPr>
        <w:spacing w:after="0"/>
        <w:jc w:val="center"/>
      </w:pPr>
      <w:r>
        <w:rPr>
          <w:rFonts w:ascii="Calibri" w:cs="Calibri" w:eastAsia="Calibri" w:hAnsi="Calibri"/>
          <w:i/>
          <w:iCs/>
          <w:color w:val="4A4A4A"/>
          <w:sz w:val="18"/>
          <w:szCs w:val="18"/>
        </w:rPr>
        <w:t xml:space="preserve">This document is confidential and intended for authorised stakeholders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2" w:sz="4" w:space="1"/>
      </w:pBdr>
      <w:tabs>
        <w:tab w:val="right" w:pos="9026"/>
      </w:tabs>
      <w:spacing w:before="80"/>
    </w:pPr>
    <w:r>
      <w:rPr>
        <w:rFonts w:ascii="Calibri" w:cs="Calibri" w:eastAsia="Calibri" w:hAnsi="Calibri"/>
        <w:color w:val="4A4A4A"/>
        <w:sz w:val="17"/>
        <w:szCs w:val="17"/>
      </w:rPr>
      <w:t xml:space="preserve">Unified Mentor Internship Program  |  Prepared by: Vishwa Bharathi  |  2026</w:t>
    </w:r>
    <w:r>
      <w:rPr>
        <w:sz w:val="18"/>
        <w:szCs w:val="18"/>
      </w:rPr>
      <w:t xml:space="preserve">	</w:t>
    </w:r>
    <w:r>
      <w:rPr>
        <w:rFonts w:ascii="Calibri" w:cs="Calibri" w:eastAsia="Calibri" w:hAnsi="Calibri"/>
        <w:color w:val="4A4A4A"/>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8" w:space="1"/>
      </w:pBdr>
      <w:tabs>
        <w:tab w:val="right" w:pos="9026"/>
      </w:tabs>
      <w:spacing w:after="80"/>
    </w:pPr>
    <w:r>
      <w:rPr>
        <w:rFonts w:ascii="Calibri" w:cs="Calibri" w:eastAsia="Calibri" w:hAnsi="Calibri"/>
        <w:b/>
        <w:bCs/>
        <w:color w:val="0D2B55"/>
        <w:sz w:val="18"/>
        <w:szCs w:val="18"/>
      </w:rPr>
      <w:t xml:space="preserve">EXECUTIVE SUMMARY — CONFIDENTIAL</w:t>
    </w:r>
    <w:r>
      <w:rPr>
        <w:sz w:val="18"/>
        <w:szCs w:val="18"/>
      </w:rPr>
      <w:t xml:space="preserve">	</w:t>
    </w:r>
    <w:r>
      <w:rPr>
        <w:rFonts w:ascii="Calibri" w:cs="Calibri" w:eastAsia="Calibri" w:hAnsi="Calibri"/>
        <w:color w:val="4A4A4A"/>
        <w:sz w:val="17"/>
        <w:szCs w:val="17"/>
      </w:rPr>
      <w:t xml:space="preserve">Nassau Candy Distributor | Profitability Intelligence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2026-05-08T06:16:52.365Z</dcterms:created>
  <dcterms:modified xsi:type="dcterms:W3CDTF">2026-05-08T06:16:52.383Z</dcterms:modified>
</cp:coreProperties>
</file>

<file path=docProps/custom.xml><?xml version="1.0" encoding="utf-8"?>
<Properties xmlns="http://schemas.openxmlformats.org/officeDocument/2006/custom-properties" xmlns:vt="http://schemas.openxmlformats.org/officeDocument/2006/docPropsVTypes"/>
</file>