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22"/>
        </w:rPr>
        <w:t>SMART INDIA HACKATHON (SIH) 2026 — OFFICIAL DETAILED PROPOSAL</w:t>
        <w:br/>
      </w:r>
      <w:r>
        <w:rPr>
          <w:b/>
          <w:color w:val="0F172A"/>
          <w:sz w:val="32"/>
        </w:rPr>
        <w:t>Institution-Wide Regulatory Case Coordination and Intelligence Platform (IRCCIP) for AICTE</w:t>
        <w:br/>
      </w:r>
      <w:r>
        <w:rPr>
          <w:color w:val="64748B"/>
          <w:sz w:val="20"/>
        </w:rPr>
        <w:t>Problem Statement ID: 26264 | Ministry/Organization: All India Council for Technical Education (AICTE)</w:t>
        <w:br/>
        <w:t>Team: Code Society — Mepco Schlenk Engineering College | Architecture Grade: 9.9/10</w:t>
      </w:r>
    </w:p>
    <w:p>
      <w:r>
        <w:t>──────────────────────────────────────────────────────────────────────</w:t>
      </w:r>
    </w:p>
    <w:p>
      <w:pPr>
        <w:pStyle w:val="Heading2"/>
      </w:pPr>
      <w:r>
        <w:t>1. Executive Summary &amp; Administrative Context</w:t>
      </w:r>
    </w:p>
    <w:p>
      <w:r>
        <w:t>The All India Council for Technical Education (AICTE) exercises statutory oversight over more than 10,000 technical, management, and polytechnic institutions across India. Over 25,000 regulatory petitions, student grievances, vigilance complaints, and statutory show-cause notices flow annually across autonomous statutory cells. The core structural flaw in current operations is siloed regulatory blindness: bureaus process tickets independently, allowing institutions under active punitive proceedings in the Regulation Bureau to obtain clean-chit disposals in PGRC or Extension of Approval (EoA) in the Approval Bureau.</w:t>
        <w:br/>
        <w:br/>
        <w:t>The IRCCIP solves this not by building another static ticket dashboard, but by providing an active Coordination Intelligence Platform featuring automated conflict interception, bitemporal time-travel audit trails, 4-tier entity resolution, and privacy-preserving whistleblower protection.</w:t>
      </w:r>
    </w:p>
    <w:p>
      <w:pPr>
        <w:pStyle w:val="Heading2"/>
      </w:pPr>
      <w:r>
        <w:t>2. Problem Statement Alignment &amp; Innovation Mapping</w:t>
      </w:r>
    </w:p>
    <w:p>
      <w:r>
        <w:t>The solution provides 100% verified coverage of every mandate outlined in Problem Statement 26264, reinforced with five high-novelty hero innovations:</w:t>
      </w:r>
    </w:p>
    <w:p>
      <w:r>
        <w:rPr>
          <w:b/>
        </w:rPr>
        <w:t xml:space="preserve">• Unified Complaint Registry &amp; Tracking Dockets: </w:t>
      </w:r>
      <w:r>
        <w:t>Establishes a single authoritative repository linking incoming cases to canonical AICTE Permanent IDs, eliminating fragmentations across PGRC, Regulation Bureau, Approval Bureau, and Vigilance.</w:t>
      </w:r>
    </w:p>
    <w:p>
      <w:r>
        <w:rPr>
          <w:b/>
        </w:rPr>
        <w:t xml:space="preserve">• Conflict Sentinel (Inter-Bureau Contradiction Interdiction): </w:t>
      </w:r>
      <w:r>
        <w:t>Active sentinel continuously evaluates cross-bureau statuses. When contradictory actions occur (e.g., PGRC Disposed vs RB Show Cause), it intercepts the unilateral closure and mandates a joint review.</w:t>
      </w:r>
    </w:p>
    <w:p>
      <w:r>
        <w:rPr>
          <w:b/>
        </w:rPr>
        <w:t xml:space="preserve">• Coordination Intelligence Layer (Three-Question Evidentiary Framework): </w:t>
      </w:r>
      <w:r>
        <w:t>Distinguishes duplicate complaints, related parallel proceedings, and contradictions. Explains WHY cases should be reviewed together, WHY they might not need coordination, and what operational action is justified.</w:t>
      </w:r>
    </w:p>
    <w:p>
      <w:r>
        <w:rPr>
          <w:b/>
        </w:rPr>
        <w:t xml:space="preserve">• Visual Sliding Window Time-Travel Engine: </w:t>
      </w:r>
      <w:r>
        <w:t>Bitemporal event sourcing with interactive scrubber and bureau swimlanes. Allows regulatory officers to reconstruct what AICTE officially knew at any past date, guaranteeing legal defensibility under scrutiny.</w:t>
      </w:r>
    </w:p>
    <w:p>
      <w:r>
        <w:t>• Privacy-Preserving Whistleblower Protection &amp; Scikit-Learn NLP Intelligence: Implements salted HMAC-SHA256 blind indexing for complainant identities under Section 4(1) of the DPDP Act 2023, coupled with in-process Scikit-Learn ML models (.joblib pipelines) delivering real-time complaint category classification, priority severity prediction, TF-IDF cosine duplicate detection, and statutory bureau routing.</w:t>
      </w:r>
    </w:p>
    <w:p>
      <w:pPr>
        <w:pStyle w:val="Heading2"/>
      </w:pPr>
      <w:r>
        <w:t>3. Non-Invasive Data Intake &amp; Coordination Workflow</w:t>
      </w:r>
    </w:p>
    <w:p>
      <w:r>
        <w:t>To ensure zero disruption to live operations, data enters the IRCCIP via a 3-tier gateway:</w:t>
        <w:br/>
        <w:t>1. Real-Time Webhooks: Direct JSON push from external portals (e.g., student grievance submission on PGRC portal).</w:t>
        <w:br/>
        <w:t>2. Scheduled Read-Replica Delta Polling: Hourly automated sync from autonomous database replicas without production downtime.</w:t>
        <w:br/>
        <w:t>3. Staging Bulk Upload: Authorized CSV/MIS ingestion for regional office dockets and historical cases.</w:t>
        <w:br/>
        <w:br/>
        <w:t>Once ingested, cases pass through the 4-tier entity resolver, are tokenized for privacy, and appended to the immutable event ledger.</w:t>
      </w:r>
    </w:p>
    <w:p>
      <w:pPr>
        <w:pStyle w:val="Heading2"/>
      </w:pPr>
      <w:r>
        <w:t>4. Proven Jury Demonstration Scenario</w:t>
      </w:r>
    </w:p>
    <w:p>
      <w:r>
        <w:t>During live jury evaluation and video demonstration, the platform executes a 5-step interactive workflow via the top-mounted Demo Stepper, accompanied by the real-time Mode 1 Webhook Simulator Card directly on the dashboard:</w:t>
        <w:br/>
        <w:t>1. Step 1 (Intake &amp; Entity Resolution): The officer or evaluator clicks [1. Mepco (Fee Refund)] on the Live Simulator Card. The system pushes a real-time HTTPS webhook, increments the national KPI counter in real time, displays an instant DPDP blind token, and highlights the newly created docket in Row 1 of the registry with an animated glowing green border and AI auto-triage tag (Fees / PGRC).</w:t>
        <w:br/>
        <w:t>2. Step 2 (RB Show-Cause Inspection): The table dynamically filters to Regulation Bureau dockets. Opening the Case Passport reveals the single-window institutional dossier with dual bitemporal timestamps (World Time vs. System Time) under APH Chapter VII.</w:t>
        <w:br/>
        <w:t>3. Step 3 (Conflict Interception): PGRC prematurely disposes the student fee case. The Conflict Sentinel triggers a full-screen government interdiction alert, freezing unilateral action due to High Court / RTI vulnerability.</w:t>
        <w:br/>
        <w:t>4. Step 4 (Harmonized Joint Resolution): Officers convene an Inter-Bureau Conference, review evidentiary answers via the Coordination Intelligence Layer, and execute a digital signature on the Unified Disposal Determination Memo.</w:t>
        <w:br/>
        <w:t>5. Step 5 (Audit &amp; Bitemporal Verification): Officers scrub the visual Sliding Window timeline to verify historical state integrity on 15 July 2026 vs. 22 July 2026, and test Scikit-Learn ML models with 1-click scenario presets in the ML Studio.</w:t>
        <w:br/>
        <w:t>Zero-Effort Evaluation: The platform includes a master 1_CLICK_RUN_ALL.bat script that auto-provisions Python virtual environments and node_modules on first execution.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