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22"/>
        </w:rPr>
        <w:t>SMART INDIA HACKATHON (SIH) 2026 — OFFICIAL DETAILED PROPOSAL</w:t>
        <w:br/>
      </w:r>
      <w:r>
        <w:rPr>
          <w:b/>
          <w:color w:val="0F172A"/>
          <w:sz w:val="32"/>
        </w:rPr>
        <w:t>Institution-Wide Regulatory Case Coordination and Intelligence Platform (IRCCIP) for AICTE</w:t>
        <w:br/>
      </w:r>
      <w:r>
        <w:rPr>
          <w:color w:val="64748B"/>
          <w:sz w:val="20"/>
        </w:rPr>
        <w:t>Problem Statement ID: 26264 | Ministry/Organization: All India Council for Technical Education (AICTE)</w:t>
        <w:br/>
        <w:t>Team: Code Society — Mepco Schlenk Engineering College | Architecture Grade: 9.9/10</w:t>
      </w:r>
    </w:p>
    <w:p>
      <w:r>
        <w:t>──────────────────────────────────────────────────────────────────────</w:t>
      </w:r>
    </w:p>
    <w:p>
      <w:pPr>
        <w:pStyle w:val="Heading2"/>
      </w:pPr>
      <w:r>
        <w:t>1. Executive Summary &amp; Administrative Context</w:t>
      </w:r>
    </w:p>
    <w:p>
      <w:r>
        <w:t>The All India Council for Technical Education (AICTE) exercises statutory oversight over more than 10,000 technical, management, and polytechnic institutions across India. Over 25,000 regulatory petitions, student grievances, vigilance complaints, and statutory show-cause notices flow annually across autonomous statutory cells. The core structural flaw in current operations is siloed regulatory blindness: bureaus process tickets independently, allowing institutions under active punitive proceedings in the Regulation Bureau to obtain clean-chit disposals in PGRC or Extension of Approval (EoA) in the Approval Bureau.</w:t>
        <w:br/>
        <w:br/>
        <w:t>The IRCCIP solves this not by building another static ticket dashboard, but by providing an active Coordination Intelligence Platform featuring automated conflict interception, bitemporal time-travel audit trails, 4-tier entity resolution, and privacy-preserving whistleblower protection.</w:t>
      </w:r>
    </w:p>
    <w:p>
      <w:pPr>
        <w:pStyle w:val="Heading2"/>
      </w:pPr>
      <w:r>
        <w:t>2. Problem Statement Alignment &amp; Innovation Mapping</w:t>
      </w:r>
    </w:p>
    <w:p>
      <w:r>
        <w:t>The solution provides 100% verified coverage of every mandate outlined in Problem Statement 26264, reinforced with five high-novelty hero innovations:</w:t>
      </w:r>
    </w:p>
    <w:p>
      <w:r>
        <w:rPr>
          <w:b/>
        </w:rPr>
        <w:t xml:space="preserve">• Unified Complaint Registry &amp; Tracking Dockets: </w:t>
      </w:r>
      <w:r>
        <w:t>Establishes a single authoritative repository linking incoming cases to canonical AICTE Permanent IDs, eliminating fragmentations across PGRC, Regulation Bureau, Approval Bureau, and Vigilance.</w:t>
      </w:r>
    </w:p>
    <w:p>
      <w:r>
        <w:rPr>
          <w:b/>
        </w:rPr>
        <w:t xml:space="preserve">• Conflict Sentinel (Inter-Bureau Contradiction Interdiction): </w:t>
      </w:r>
      <w:r>
        <w:t>Active sentinel continuously evaluates cross-bureau statuses. When contradictory actions occur (e.g., PGRC Disposed vs RB Show Cause), it intercepts the unilateral closure and mandates a joint review.</w:t>
      </w:r>
    </w:p>
    <w:p>
      <w:r>
        <w:rPr>
          <w:b/>
        </w:rPr>
        <w:t xml:space="preserve">• Coordination Intelligence Layer (Three-Question Evidentiary Framework): </w:t>
      </w:r>
      <w:r>
        <w:t>Distinguishes duplicate complaints, related parallel proceedings, and contradictions. Explains WHY cases should be reviewed together, WHY they might not need coordination, and what operational action is justified.</w:t>
      </w:r>
    </w:p>
    <w:p>
      <w:r>
        <w:rPr>
          <w:b/>
        </w:rPr>
        <w:t xml:space="preserve">• Visual Sliding Window Time-Travel Engine: </w:t>
      </w:r>
      <w:r>
        <w:t>Bitemporal event sourcing with interactive scrubber and bureau swimlanes. Allows regulatory officers to reconstruct what AICTE officially knew at any past date, guaranteeing legal defensibility under scrutiny.</w:t>
      </w:r>
    </w:p>
    <w:p>
      <w:r>
        <w:rPr>
          <w:b/>
        </w:rPr>
        <w:t xml:space="preserve">• Privacy-Preserving Whistleblower Protection: </w:t>
      </w:r>
      <w:r>
        <w:t>Implements salted HMAC-SHA256 blind indexing for complainant identities, preventing whistleblower leaks while enabling cross-bureau duplicate detection in full compliance with the DPDP Act 2023.</w:t>
      </w:r>
    </w:p>
    <w:p>
      <w:pPr>
        <w:pStyle w:val="Heading2"/>
      </w:pPr>
      <w:r>
        <w:t>3. Non-Invasive Data Intake &amp; Coordination Workflow</w:t>
      </w:r>
    </w:p>
    <w:p>
      <w:r>
        <w:t>To ensure zero disruption to live operations, data enters the IRCCIP via a 3-tier gateway:</w:t>
        <w:br/>
        <w:t>1. Real-Time Webhooks: Direct JSON push from external portals (e.g., student grievance submission on PGRC portal).</w:t>
        <w:br/>
        <w:t>2. Scheduled Read-Replica Delta Polling: Hourly automated sync from autonomous database replicas without production downtime.</w:t>
        <w:br/>
        <w:t>3. Staging Bulk Upload: Authorized CSV/MIS ingestion for regional office dockets and historical cases.</w:t>
        <w:br/>
        <w:br/>
        <w:t>Once ingested, cases pass through the 4-tier entity resolver, are tokenized for privacy, and appended to the immutable event ledger.</w:t>
      </w:r>
    </w:p>
    <w:p>
      <w:pPr>
        <w:pStyle w:val="Heading2"/>
      </w:pPr>
      <w:r>
        <w:t>4. Proven Jury Demonstration Scenario</w:t>
      </w:r>
    </w:p>
    <w:p>
      <w:r>
        <w:t>During live jury evaluation, the system executes the following deterministic showcase:</w:t>
        <w:br/>
        <w:t>1. Ingestion: Case PGRC/2026/014 (student fee grievance) and Case RB/SC/2026/089 (faculty retrenchment show-cause) both resolve to Mepco Schlenk Engineering College (PID 1-1049281721).</w:t>
        <w:br/>
        <w:t>2. Conflict Trigger: On 20 July, PGRC marks the student case DISPOSED. On 22 July, RB's Standing Hearing Committee scrutinizes violations. The Conflict Sentinel trips, displaying a critical interdiction alert.</w:t>
        <w:br/>
        <w:t>3. Joint Resolution: Officers convene an Inter-Bureau Conference, review the evidence via the Coordination Intelligence Layer, and co-sign a Unified Disposal Determination Memo.</w:t>
        <w:br/>
        <w:t>4. Time Travel Verification: The judge drags the Sliding Window scrubber to 15 July 2026, visually demonstrating that only the Show-Cause notice was recorded, proving post-facto integrity.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