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iagrams/data1.xml" ContentType="application/vnd.openxmlformats-officedocument.drawingml.diagramData+xml"/>
  <Override PartName="/word/diagrams/data2.xml" ContentType="application/vnd.openxmlformats-officedocument.drawingml.diagramData+xml"/>
  <Override PartName="/word/document.xml" ContentType="application/vnd.openxmlformats-officedocument.wordprocessingml.document.main+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diagrams/drawing2.xml" ContentType="application/vnd.ms-office.drawingml.diagramDrawing+xml"/>
  <Override PartName="/word/diagrams/colors2.xml" ContentType="application/vnd.openxmlformats-officedocument.drawingml.diagramColors+xml"/>
  <Override PartName="/word/diagrams/quickStyle2.xml" ContentType="application/vnd.openxmlformats-officedocument.drawingml.diagramStyle+xml"/>
  <Override PartName="/word/diagrams/layout2.xml" ContentType="application/vnd.openxmlformats-officedocument.drawingml.diagramLayout+xml"/>
  <Override PartName="/word/theme/theme1.xml" ContentType="application/vnd.openxmlformats-officedocument.theme+xml"/>
  <Override PartName="/word/diagrams/drawing1.xml" ContentType="application/vnd.ms-office.drawingml.diagramDrawing+xml"/>
  <Override PartName="/word/diagrams/colors1.xml" ContentType="application/vnd.openxmlformats-officedocument.drawingml.diagramColors+xml"/>
  <Override PartName="/word/diagrams/layout1.xml" ContentType="application/vnd.openxmlformats-officedocument.drawingml.diagramLayout+xml"/>
  <Override PartName="/word/diagrams/quickStyle1.xml" ContentType="application/vnd.openxmlformats-officedocument.drawingml.diagramStyle+xml"/>
  <Override PartName="/word/settings.xml" ContentType="application/vnd.openxmlformats-officedocument.wordprocessingml.settings+xml"/>
  <Override PartName="/customXml/itemProps1.xml" ContentType="application/vnd.openxmlformats-officedocument.customXmlProperties+xml"/>
  <Override PartName="/customXml/itemProps3.xml" ContentType="application/vnd.openxmlformats-officedocument.customXmlProperties+xml"/>
  <Override PartName="/docProps/core.xml" ContentType="application/vnd.openxmlformats-package.core-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word/fontTable.xml" ContentType="application/vnd.openxmlformats-officedocument.wordprocessingml.fontTable+xml"/>
  <Override PartName="/docProps/app.xml" ContentType="application/vnd.openxmlformats-officedocument.extended-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D7ADB" w:rsidRPr="00873938" w:rsidRDefault="00083745" w:rsidP="00A255A0">
      <w:pPr>
        <w:rPr>
          <w:rFonts w:asciiTheme="minorHAnsi" w:hAnsiTheme="minorHAnsi" w:cs="Arial"/>
          <w:sz w:val="22"/>
        </w:rPr>
      </w:pPr>
      <w:bookmarkStart w:id="0" w:name="_Toc228684342"/>
      <w:bookmarkStart w:id="1" w:name="_Toc228684703"/>
      <w:bookmarkStart w:id="2" w:name="_Toc231829117"/>
      <w:r>
        <w:rPr>
          <w:rFonts w:asciiTheme="minorHAnsi" w:hAnsiTheme="minorHAnsi" w:cs="Arial"/>
          <w:noProof/>
          <w:sz w:val="22"/>
        </w:rPr>
        <w:pict>
          <v:shapetype id="_x0000_t202" coordsize="21600,21600" o:spt="202" path="m,l,21600r21600,l21600,xe">
            <v:stroke joinstyle="miter"/>
            <v:path gradientshapeok="t" o:connecttype="rect"/>
          </v:shapetype>
          <v:shape id="_x0000_s1027" type="#_x0000_t202" style="position:absolute;left:0;text-align:left;margin-left:373.35pt;margin-top:-43.05pt;width:90.7pt;height:57.6pt;z-index:251652608;mso-wrap-style:none;mso-width-percent:400;mso-height-percent:200;mso-width-percent:400;mso-height-percent:200;mso-width-relative:margin;mso-height-relative:margin" stroked="f">
            <v:textbox style="mso-next-textbox:#_x0000_s1027;mso-fit-shape-to-text:t" inset="0,0,0,0">
              <w:txbxContent>
                <w:p w:rsidR="001E38F1" w:rsidRDefault="001E38F1" w:rsidP="00E2794C">
                  <w:r>
                    <w:rPr>
                      <w:noProof/>
                    </w:rPr>
                    <w:drawing>
                      <wp:inline distT="0" distB="0" distL="0" distR="0">
                        <wp:extent cx="1152525" cy="533400"/>
                        <wp:effectExtent l="19050" t="0" r="9525" b="0"/>
                        <wp:docPr id="2" name="Picture 9" descr="hexaware_color_logo_taglin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xaware_color_logo_tagline.wmf"/>
                                <pic:cNvPicPr>
                                  <a:picLocks noChangeAspect="1" noChangeArrowheads="1"/>
                                </pic:cNvPicPr>
                              </pic:nvPicPr>
                              <pic:blipFill>
                                <a:blip r:embed="rId10"/>
                                <a:srcRect/>
                                <a:stretch>
                                  <a:fillRect/>
                                </a:stretch>
                              </pic:blipFill>
                              <pic:spPr bwMode="auto">
                                <a:xfrm>
                                  <a:off x="0" y="0"/>
                                  <a:ext cx="1152525" cy="533400"/>
                                </a:xfrm>
                                <a:prstGeom prst="rect">
                                  <a:avLst/>
                                </a:prstGeom>
                                <a:noFill/>
                                <a:ln w="9525">
                                  <a:noFill/>
                                  <a:miter lim="800000"/>
                                  <a:headEnd/>
                                  <a:tailEnd/>
                                </a:ln>
                              </pic:spPr>
                            </pic:pic>
                          </a:graphicData>
                        </a:graphic>
                      </wp:inline>
                    </w:drawing>
                  </w:r>
                </w:p>
              </w:txbxContent>
            </v:textbox>
          </v:shape>
        </w:pict>
      </w:r>
      <w:r>
        <w:rPr>
          <w:rFonts w:asciiTheme="minorHAnsi" w:hAnsiTheme="minorHAnsi" w:cs="Arial"/>
          <w:noProof/>
          <w:sz w:val="22"/>
          <w:lang w:eastAsia="zh-TW"/>
        </w:rPr>
        <w:pict>
          <v:shape id="_x0000_s1026" type="#_x0000_t202" style="position:absolute;left:0;text-align:left;margin-left:-9.3pt;margin-top:22.15pt;width:486.6pt;height:313.1pt;z-index:251651584;mso-width-relative:margin;mso-height-relative:margin" filled="f" stroked="f">
            <v:textbox style="mso-next-textbox:#_x0000_s1026" inset="0,0,0,0">
              <w:txbxContent>
                <w:p w:rsidR="001E38F1" w:rsidRDefault="001E38F1">
                  <w:r>
                    <w:rPr>
                      <w:noProof/>
                    </w:rPr>
                    <w:drawing>
                      <wp:inline distT="0" distB="0" distL="0" distR="0">
                        <wp:extent cx="6181725" cy="4133850"/>
                        <wp:effectExtent l="19050" t="0" r="9525" b="0"/>
                        <wp:docPr id="1" name="Picture 3" descr="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1.jpg"/>
                                <pic:cNvPicPr>
                                  <a:picLocks noChangeAspect="1" noChangeArrowheads="1"/>
                                </pic:cNvPicPr>
                              </pic:nvPicPr>
                              <pic:blipFill>
                                <a:blip r:embed="rId11"/>
                                <a:srcRect/>
                                <a:stretch>
                                  <a:fillRect/>
                                </a:stretch>
                              </pic:blipFill>
                              <pic:spPr bwMode="auto">
                                <a:xfrm>
                                  <a:off x="0" y="0"/>
                                  <a:ext cx="6181725" cy="4133850"/>
                                </a:xfrm>
                                <a:prstGeom prst="rect">
                                  <a:avLst/>
                                </a:prstGeom>
                                <a:noFill/>
                                <a:ln w="9525">
                                  <a:noFill/>
                                  <a:miter lim="800000"/>
                                  <a:headEnd/>
                                  <a:tailEnd/>
                                </a:ln>
                              </pic:spPr>
                            </pic:pic>
                          </a:graphicData>
                        </a:graphic>
                      </wp:inline>
                    </w:drawing>
                  </w:r>
                </w:p>
              </w:txbxContent>
            </v:textbox>
          </v:shape>
        </w:pict>
      </w:r>
      <w:r w:rsidR="004F7F71">
        <w:rPr>
          <w:rFonts w:asciiTheme="minorHAnsi" w:hAnsiTheme="minorHAnsi" w:cs="Arial"/>
          <w:sz w:val="22"/>
        </w:rPr>
        <w:t>1</w:t>
      </w:r>
    </w:p>
    <w:p w:rsidR="00ED7ADB" w:rsidRPr="00873938" w:rsidRDefault="00ED7ADB" w:rsidP="004E5DAF">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ED7ADB" w:rsidRPr="00873938" w:rsidRDefault="00ED7ADB" w:rsidP="00A255A0">
      <w:pPr>
        <w:rPr>
          <w:rFonts w:asciiTheme="minorHAnsi" w:hAnsiTheme="minorHAnsi" w:cs="Arial"/>
          <w:sz w:val="22"/>
        </w:rPr>
      </w:pPr>
    </w:p>
    <w:p w:rsidR="006348CE" w:rsidRPr="00873938" w:rsidRDefault="00083745">
      <w:pPr>
        <w:rPr>
          <w:rFonts w:asciiTheme="minorHAnsi" w:hAnsiTheme="minorHAnsi" w:cs="Arial"/>
          <w:sz w:val="22"/>
        </w:rPr>
      </w:pPr>
      <w:r>
        <w:rPr>
          <w:rFonts w:asciiTheme="minorHAnsi" w:hAnsiTheme="minorHAnsi" w:cs="Arial"/>
          <w:noProof/>
          <w:sz w:val="22"/>
          <w:lang w:eastAsia="zh-TW"/>
        </w:rPr>
        <w:pict>
          <v:shape id="_x0000_s1028" type="#_x0000_t202" style="position:absolute;left:0;text-align:left;margin-left:-1.7pt;margin-top:85.25pt;width:468.1pt;height:199.1pt;z-index:251653632;mso-width-relative:margin;mso-height-relative:margin" filled="f" stroked="f">
            <v:textbox style="mso-next-textbox:#_x0000_s1028">
              <w:txbxContent>
                <w:p w:rsidR="001E38F1" w:rsidRPr="0043494C" w:rsidRDefault="001E38F1" w:rsidP="008D638B">
                  <w:pPr>
                    <w:pStyle w:val="Title"/>
                    <w:jc w:val="center"/>
                    <w:rPr>
                      <w:color w:val="002060"/>
                    </w:rPr>
                  </w:pPr>
                  <w:r w:rsidRPr="0043494C">
                    <w:rPr>
                      <w:color w:val="002060"/>
                    </w:rPr>
                    <w:t>Response to Section 3 (ICG)</w:t>
                  </w:r>
                </w:p>
                <w:p w:rsidR="001E38F1" w:rsidRDefault="001E38F1" w:rsidP="008D638B">
                  <w:pPr>
                    <w:pStyle w:val="Title"/>
                    <w:jc w:val="center"/>
                  </w:pPr>
                </w:p>
                <w:p w:rsidR="001E38F1" w:rsidRDefault="001E38F1" w:rsidP="0087342A">
                  <w:pPr>
                    <w:jc w:val="center"/>
                    <w:rPr>
                      <w:rStyle w:val="SubtitleChar"/>
                      <w:rFonts w:eastAsia="Calibri"/>
                    </w:rPr>
                  </w:pPr>
                  <w:r w:rsidRPr="008D638B">
                    <w:rPr>
                      <w:rStyle w:val="SubtitleChar"/>
                      <w:rFonts w:eastAsia="Calibri"/>
                    </w:rPr>
                    <w:t>Presented To</w:t>
                  </w:r>
                  <w:r>
                    <w:rPr>
                      <w:rStyle w:val="SubtitleChar"/>
                      <w:rFonts w:eastAsia="Calibri"/>
                    </w:rPr>
                    <w:t>: Citi</w:t>
                  </w:r>
                </w:p>
                <w:p w:rsidR="001E38F1" w:rsidRPr="0043494C" w:rsidRDefault="001E38F1" w:rsidP="0087342A">
                  <w:pPr>
                    <w:jc w:val="center"/>
                    <w:rPr>
                      <w:rStyle w:val="Strong"/>
                      <w:color w:val="002060"/>
                    </w:rPr>
                  </w:pPr>
                  <w:r w:rsidRPr="0043494C">
                    <w:rPr>
                      <w:rStyle w:val="Strong"/>
                      <w:color w:val="002060"/>
                    </w:rPr>
                    <w:t>Version: 1.</w:t>
                  </w:r>
                  <w:r>
                    <w:rPr>
                      <w:rStyle w:val="Strong"/>
                      <w:color w:val="002060"/>
                    </w:rPr>
                    <w:t>3</w:t>
                  </w:r>
                  <w:r w:rsidRPr="0043494C">
                    <w:rPr>
                      <w:rStyle w:val="Strong"/>
                      <w:color w:val="002060"/>
                    </w:rPr>
                    <w:t xml:space="preserve">   |   Date: April 15, 2010</w:t>
                  </w:r>
                </w:p>
              </w:txbxContent>
            </v:textbox>
          </v:shape>
        </w:pict>
      </w:r>
      <w:r w:rsidR="006348CE" w:rsidRPr="00873938">
        <w:rPr>
          <w:rFonts w:asciiTheme="minorHAnsi" w:hAnsiTheme="minorHAnsi" w:cs="Arial"/>
          <w:sz w:val="22"/>
        </w:rPr>
        <w:br w:type="page"/>
      </w:r>
    </w:p>
    <w:p w:rsidR="008E1C21" w:rsidRPr="00BA2A45" w:rsidRDefault="008E1C21" w:rsidP="00077E41">
      <w:pPr>
        <w:pStyle w:val="TOCHeading"/>
        <w:jc w:val="center"/>
        <w:rPr>
          <w:rFonts w:asciiTheme="minorHAnsi" w:hAnsiTheme="minorHAnsi" w:cs="Arial"/>
          <w:b w:val="0"/>
          <w:sz w:val="32"/>
          <w:szCs w:val="32"/>
        </w:rPr>
      </w:pPr>
      <w:r w:rsidRPr="00BA2A45">
        <w:rPr>
          <w:rStyle w:val="blue-HeadingChar"/>
          <w:rFonts w:asciiTheme="minorHAnsi" w:hAnsiTheme="minorHAnsi" w:cs="Arial"/>
          <w:b/>
          <w:szCs w:val="32"/>
        </w:rPr>
        <w:lastRenderedPageBreak/>
        <w:t>Table of Contents</w:t>
      </w:r>
    </w:p>
    <w:p w:rsidR="00D21F8E" w:rsidRDefault="00083745">
      <w:pPr>
        <w:pStyle w:val="TOC1"/>
        <w:rPr>
          <w:rFonts w:eastAsiaTheme="minorEastAsia" w:cstheme="minorBidi"/>
          <w:b w:val="0"/>
          <w:bCs w:val="0"/>
          <w:caps w:val="0"/>
          <w:color w:val="auto"/>
          <w:sz w:val="22"/>
          <w:szCs w:val="22"/>
        </w:rPr>
      </w:pPr>
      <w:r w:rsidRPr="00873938">
        <w:rPr>
          <w:sz w:val="22"/>
          <w:szCs w:val="22"/>
        </w:rPr>
        <w:fldChar w:fldCharType="begin"/>
      </w:r>
      <w:r w:rsidR="00077E41" w:rsidRPr="00873938">
        <w:rPr>
          <w:sz w:val="22"/>
          <w:szCs w:val="22"/>
        </w:rPr>
        <w:instrText xml:space="preserve"> TOC \o "1-2" \h \z \u </w:instrText>
      </w:r>
      <w:r w:rsidRPr="00873938">
        <w:rPr>
          <w:sz w:val="22"/>
          <w:szCs w:val="22"/>
        </w:rPr>
        <w:fldChar w:fldCharType="separate"/>
      </w:r>
      <w:hyperlink w:anchor="_Toc259453494" w:history="1">
        <w:r w:rsidR="00D21F8E" w:rsidRPr="00B36C0D">
          <w:rPr>
            <w:rStyle w:val="Hyperlink"/>
          </w:rPr>
          <w:t>1.</w:t>
        </w:r>
        <w:r w:rsidR="00D21F8E">
          <w:rPr>
            <w:rFonts w:eastAsiaTheme="minorEastAsia" w:cstheme="minorBidi"/>
            <w:b w:val="0"/>
            <w:bCs w:val="0"/>
            <w:caps w:val="0"/>
            <w:color w:val="auto"/>
            <w:sz w:val="22"/>
            <w:szCs w:val="22"/>
          </w:rPr>
          <w:tab/>
        </w:r>
        <w:r w:rsidR="00D21F8E" w:rsidRPr="00B36C0D">
          <w:rPr>
            <w:rStyle w:val="Hyperlink"/>
          </w:rPr>
          <w:t>Institutional Client Group (ICG)</w:t>
        </w:r>
        <w:r w:rsidR="00D21F8E">
          <w:rPr>
            <w:webHidden/>
          </w:rPr>
          <w:tab/>
        </w:r>
        <w:r>
          <w:rPr>
            <w:webHidden/>
          </w:rPr>
          <w:fldChar w:fldCharType="begin"/>
        </w:r>
        <w:r w:rsidR="00D21F8E">
          <w:rPr>
            <w:webHidden/>
          </w:rPr>
          <w:instrText xml:space="preserve"> PAGEREF _Toc259453494 \h </w:instrText>
        </w:r>
        <w:r>
          <w:rPr>
            <w:webHidden/>
          </w:rPr>
        </w:r>
        <w:r>
          <w:rPr>
            <w:webHidden/>
          </w:rPr>
          <w:fldChar w:fldCharType="separate"/>
        </w:r>
        <w:r w:rsidR="00D21F8E">
          <w:rPr>
            <w:webHidden/>
          </w:rPr>
          <w:t>3</w:t>
        </w:r>
        <w:r>
          <w:rPr>
            <w:webHidden/>
          </w:rPr>
          <w:fldChar w:fldCharType="end"/>
        </w:r>
      </w:hyperlink>
    </w:p>
    <w:p w:rsidR="00D21F8E" w:rsidRDefault="00083745">
      <w:pPr>
        <w:pStyle w:val="TOC2"/>
        <w:tabs>
          <w:tab w:val="right" w:leader="dot" w:pos="9350"/>
        </w:tabs>
        <w:rPr>
          <w:rFonts w:eastAsiaTheme="minorEastAsia" w:cstheme="minorBidi"/>
          <w:smallCaps w:val="0"/>
          <w:noProof/>
          <w:color w:val="auto"/>
          <w:sz w:val="22"/>
          <w:szCs w:val="22"/>
        </w:rPr>
      </w:pPr>
      <w:hyperlink w:anchor="_Toc259453495" w:history="1">
        <w:r w:rsidR="00D21F8E" w:rsidRPr="00B36C0D">
          <w:rPr>
            <w:rStyle w:val="Hyperlink"/>
            <w:rFonts w:cs="Arial"/>
            <w:noProof/>
          </w:rPr>
          <w:t>Case Study 1: Onsite-Offshore Engagement with Leading Global Custodian</w:t>
        </w:r>
        <w:r w:rsidR="00D21F8E">
          <w:rPr>
            <w:noProof/>
            <w:webHidden/>
          </w:rPr>
          <w:tab/>
        </w:r>
        <w:r>
          <w:rPr>
            <w:noProof/>
            <w:webHidden/>
          </w:rPr>
          <w:fldChar w:fldCharType="begin"/>
        </w:r>
        <w:r w:rsidR="00D21F8E">
          <w:rPr>
            <w:noProof/>
            <w:webHidden/>
          </w:rPr>
          <w:instrText xml:space="preserve"> PAGEREF _Toc259453495 \h </w:instrText>
        </w:r>
        <w:r>
          <w:rPr>
            <w:noProof/>
            <w:webHidden/>
          </w:rPr>
        </w:r>
        <w:r>
          <w:rPr>
            <w:noProof/>
            <w:webHidden/>
          </w:rPr>
          <w:fldChar w:fldCharType="separate"/>
        </w:r>
        <w:r w:rsidR="00D21F8E">
          <w:rPr>
            <w:noProof/>
            <w:webHidden/>
          </w:rPr>
          <w:t>23</w:t>
        </w:r>
        <w:r>
          <w:rPr>
            <w:noProof/>
            <w:webHidden/>
          </w:rPr>
          <w:fldChar w:fldCharType="end"/>
        </w:r>
      </w:hyperlink>
    </w:p>
    <w:p w:rsidR="00D21F8E" w:rsidRDefault="00083745">
      <w:pPr>
        <w:pStyle w:val="TOC2"/>
        <w:tabs>
          <w:tab w:val="right" w:leader="dot" w:pos="9350"/>
        </w:tabs>
        <w:rPr>
          <w:rFonts w:eastAsiaTheme="minorEastAsia" w:cstheme="minorBidi"/>
          <w:smallCaps w:val="0"/>
          <w:noProof/>
          <w:color w:val="auto"/>
          <w:sz w:val="22"/>
          <w:szCs w:val="22"/>
        </w:rPr>
      </w:pPr>
      <w:hyperlink w:anchor="_Toc259453496" w:history="1">
        <w:r w:rsidR="00D21F8E" w:rsidRPr="00B36C0D">
          <w:rPr>
            <w:rStyle w:val="Hyperlink"/>
            <w:rFonts w:cs="Arial"/>
            <w:noProof/>
          </w:rPr>
          <w:t>CASE STUDY 2: Engagement with an Oldest &amp; Largest Partnership Bank</w:t>
        </w:r>
        <w:r w:rsidR="00D21F8E">
          <w:rPr>
            <w:noProof/>
            <w:webHidden/>
          </w:rPr>
          <w:tab/>
        </w:r>
        <w:r>
          <w:rPr>
            <w:noProof/>
            <w:webHidden/>
          </w:rPr>
          <w:fldChar w:fldCharType="begin"/>
        </w:r>
        <w:r w:rsidR="00D21F8E">
          <w:rPr>
            <w:noProof/>
            <w:webHidden/>
          </w:rPr>
          <w:instrText xml:space="preserve"> PAGEREF _Toc259453496 \h </w:instrText>
        </w:r>
        <w:r>
          <w:rPr>
            <w:noProof/>
            <w:webHidden/>
          </w:rPr>
        </w:r>
        <w:r>
          <w:rPr>
            <w:noProof/>
            <w:webHidden/>
          </w:rPr>
          <w:fldChar w:fldCharType="separate"/>
        </w:r>
        <w:r w:rsidR="00D21F8E">
          <w:rPr>
            <w:noProof/>
            <w:webHidden/>
          </w:rPr>
          <w:t>26</w:t>
        </w:r>
        <w:r>
          <w:rPr>
            <w:noProof/>
            <w:webHidden/>
          </w:rPr>
          <w:fldChar w:fldCharType="end"/>
        </w:r>
      </w:hyperlink>
    </w:p>
    <w:p w:rsidR="00D21F8E" w:rsidRDefault="00083745">
      <w:pPr>
        <w:pStyle w:val="TOC2"/>
        <w:tabs>
          <w:tab w:val="right" w:leader="dot" w:pos="9350"/>
        </w:tabs>
        <w:rPr>
          <w:rFonts w:eastAsiaTheme="minorEastAsia" w:cstheme="minorBidi"/>
          <w:smallCaps w:val="0"/>
          <w:noProof/>
          <w:color w:val="auto"/>
          <w:sz w:val="22"/>
          <w:szCs w:val="22"/>
        </w:rPr>
      </w:pPr>
      <w:hyperlink w:anchor="_Toc259453497" w:history="1">
        <w:r w:rsidR="00D21F8E" w:rsidRPr="00B36C0D">
          <w:rPr>
            <w:rStyle w:val="Hyperlink"/>
            <w:rFonts w:cs="Arial"/>
            <w:noProof/>
          </w:rPr>
          <w:t>CASE STUDY 3: Eagle Suite Implementation – ARM / SRM / Pricing / PACE</w:t>
        </w:r>
        <w:r w:rsidR="00D21F8E">
          <w:rPr>
            <w:noProof/>
            <w:webHidden/>
          </w:rPr>
          <w:tab/>
        </w:r>
        <w:r>
          <w:rPr>
            <w:noProof/>
            <w:webHidden/>
          </w:rPr>
          <w:fldChar w:fldCharType="begin"/>
        </w:r>
        <w:r w:rsidR="00D21F8E">
          <w:rPr>
            <w:noProof/>
            <w:webHidden/>
          </w:rPr>
          <w:instrText xml:space="preserve"> PAGEREF _Toc259453497 \h </w:instrText>
        </w:r>
        <w:r>
          <w:rPr>
            <w:noProof/>
            <w:webHidden/>
          </w:rPr>
        </w:r>
        <w:r>
          <w:rPr>
            <w:noProof/>
            <w:webHidden/>
          </w:rPr>
          <w:fldChar w:fldCharType="separate"/>
        </w:r>
        <w:r w:rsidR="00D21F8E">
          <w:rPr>
            <w:noProof/>
            <w:webHidden/>
          </w:rPr>
          <w:t>28</w:t>
        </w:r>
        <w:r>
          <w:rPr>
            <w:noProof/>
            <w:webHidden/>
          </w:rPr>
          <w:fldChar w:fldCharType="end"/>
        </w:r>
      </w:hyperlink>
    </w:p>
    <w:p w:rsidR="00D21F8E" w:rsidRDefault="00083745">
      <w:pPr>
        <w:pStyle w:val="TOC1"/>
        <w:rPr>
          <w:rFonts w:eastAsiaTheme="minorEastAsia" w:cstheme="minorBidi"/>
          <w:b w:val="0"/>
          <w:bCs w:val="0"/>
          <w:caps w:val="0"/>
          <w:color w:val="auto"/>
          <w:sz w:val="22"/>
          <w:szCs w:val="22"/>
        </w:rPr>
      </w:pPr>
      <w:hyperlink w:anchor="_Toc259453498" w:history="1">
        <w:r w:rsidR="00D21F8E" w:rsidRPr="00B36C0D">
          <w:rPr>
            <w:rStyle w:val="Hyperlink"/>
          </w:rPr>
          <w:t>2.</w:t>
        </w:r>
        <w:r w:rsidR="00D21F8E">
          <w:rPr>
            <w:rFonts w:eastAsiaTheme="minorEastAsia" w:cstheme="minorBidi"/>
            <w:b w:val="0"/>
            <w:bCs w:val="0"/>
            <w:caps w:val="0"/>
            <w:color w:val="auto"/>
            <w:sz w:val="22"/>
            <w:szCs w:val="22"/>
          </w:rPr>
          <w:tab/>
        </w:r>
        <w:r w:rsidR="00D21F8E" w:rsidRPr="00B36C0D">
          <w:rPr>
            <w:rStyle w:val="Hyperlink"/>
          </w:rPr>
          <w:t>Client Reference</w:t>
        </w:r>
        <w:r w:rsidR="00D21F8E">
          <w:rPr>
            <w:webHidden/>
          </w:rPr>
          <w:tab/>
        </w:r>
        <w:r>
          <w:rPr>
            <w:webHidden/>
          </w:rPr>
          <w:fldChar w:fldCharType="begin"/>
        </w:r>
        <w:r w:rsidR="00D21F8E">
          <w:rPr>
            <w:webHidden/>
          </w:rPr>
          <w:instrText xml:space="preserve"> PAGEREF _Toc259453498 \h </w:instrText>
        </w:r>
        <w:r>
          <w:rPr>
            <w:webHidden/>
          </w:rPr>
        </w:r>
        <w:r>
          <w:rPr>
            <w:webHidden/>
          </w:rPr>
          <w:fldChar w:fldCharType="separate"/>
        </w:r>
        <w:r w:rsidR="00D21F8E">
          <w:rPr>
            <w:webHidden/>
          </w:rPr>
          <w:t>33</w:t>
        </w:r>
        <w:r>
          <w:rPr>
            <w:webHidden/>
          </w:rPr>
          <w:fldChar w:fldCharType="end"/>
        </w:r>
      </w:hyperlink>
    </w:p>
    <w:p w:rsidR="00D21F8E" w:rsidRDefault="00083745">
      <w:pPr>
        <w:pStyle w:val="TOC1"/>
        <w:rPr>
          <w:rFonts w:eastAsiaTheme="minorEastAsia" w:cstheme="minorBidi"/>
          <w:b w:val="0"/>
          <w:bCs w:val="0"/>
          <w:caps w:val="0"/>
          <w:color w:val="auto"/>
          <w:sz w:val="22"/>
          <w:szCs w:val="22"/>
        </w:rPr>
      </w:pPr>
      <w:hyperlink w:anchor="_Toc259453499" w:history="1">
        <w:r w:rsidR="00D21F8E" w:rsidRPr="00B36C0D">
          <w:rPr>
            <w:rStyle w:val="Hyperlink"/>
          </w:rPr>
          <w:t>3.</w:t>
        </w:r>
        <w:r w:rsidR="00D21F8E">
          <w:rPr>
            <w:rFonts w:eastAsiaTheme="minorEastAsia" w:cstheme="minorBidi"/>
            <w:b w:val="0"/>
            <w:bCs w:val="0"/>
            <w:caps w:val="0"/>
            <w:color w:val="auto"/>
            <w:sz w:val="22"/>
            <w:szCs w:val="22"/>
          </w:rPr>
          <w:tab/>
        </w:r>
        <w:r w:rsidR="00D21F8E" w:rsidRPr="00B36C0D">
          <w:rPr>
            <w:rStyle w:val="Hyperlink"/>
          </w:rPr>
          <w:t>Resource Count based on Domain Skills</w:t>
        </w:r>
        <w:r w:rsidR="00D21F8E">
          <w:rPr>
            <w:webHidden/>
          </w:rPr>
          <w:tab/>
        </w:r>
        <w:r>
          <w:rPr>
            <w:webHidden/>
          </w:rPr>
          <w:fldChar w:fldCharType="begin"/>
        </w:r>
        <w:r w:rsidR="00D21F8E">
          <w:rPr>
            <w:webHidden/>
          </w:rPr>
          <w:instrText xml:space="preserve"> PAGEREF _Toc259453499 \h </w:instrText>
        </w:r>
        <w:r>
          <w:rPr>
            <w:webHidden/>
          </w:rPr>
        </w:r>
        <w:r>
          <w:rPr>
            <w:webHidden/>
          </w:rPr>
          <w:fldChar w:fldCharType="separate"/>
        </w:r>
        <w:r w:rsidR="00D21F8E">
          <w:rPr>
            <w:webHidden/>
          </w:rPr>
          <w:t>33</w:t>
        </w:r>
        <w:r>
          <w:rPr>
            <w:webHidden/>
          </w:rPr>
          <w:fldChar w:fldCharType="end"/>
        </w:r>
      </w:hyperlink>
    </w:p>
    <w:p w:rsidR="00D21F8E" w:rsidRDefault="00083745">
      <w:pPr>
        <w:pStyle w:val="TOC1"/>
        <w:rPr>
          <w:rFonts w:eastAsiaTheme="minorEastAsia" w:cstheme="minorBidi"/>
          <w:b w:val="0"/>
          <w:bCs w:val="0"/>
          <w:caps w:val="0"/>
          <w:color w:val="auto"/>
          <w:sz w:val="22"/>
          <w:szCs w:val="22"/>
        </w:rPr>
      </w:pPr>
      <w:hyperlink w:anchor="_Toc259453500" w:history="1">
        <w:r w:rsidR="00D21F8E" w:rsidRPr="00B36C0D">
          <w:rPr>
            <w:rStyle w:val="Hyperlink"/>
          </w:rPr>
          <w:t>4.</w:t>
        </w:r>
        <w:r w:rsidR="00D21F8E">
          <w:rPr>
            <w:rFonts w:eastAsiaTheme="minorEastAsia" w:cstheme="minorBidi"/>
            <w:b w:val="0"/>
            <w:bCs w:val="0"/>
            <w:caps w:val="0"/>
            <w:color w:val="auto"/>
            <w:sz w:val="22"/>
            <w:szCs w:val="22"/>
          </w:rPr>
          <w:tab/>
        </w:r>
        <w:r w:rsidR="00D21F8E" w:rsidRPr="00B36C0D">
          <w:rPr>
            <w:rStyle w:val="Hyperlink"/>
          </w:rPr>
          <w:t>Sample Resumes</w:t>
        </w:r>
        <w:r w:rsidR="00D21F8E">
          <w:rPr>
            <w:webHidden/>
          </w:rPr>
          <w:tab/>
        </w:r>
        <w:r>
          <w:rPr>
            <w:webHidden/>
          </w:rPr>
          <w:fldChar w:fldCharType="begin"/>
        </w:r>
        <w:r w:rsidR="00D21F8E">
          <w:rPr>
            <w:webHidden/>
          </w:rPr>
          <w:instrText xml:space="preserve"> PAGEREF _Toc259453500 \h </w:instrText>
        </w:r>
        <w:r>
          <w:rPr>
            <w:webHidden/>
          </w:rPr>
        </w:r>
        <w:r>
          <w:rPr>
            <w:webHidden/>
          </w:rPr>
          <w:fldChar w:fldCharType="separate"/>
        </w:r>
        <w:r w:rsidR="00D21F8E">
          <w:rPr>
            <w:webHidden/>
          </w:rPr>
          <w:t>34</w:t>
        </w:r>
        <w:r>
          <w:rPr>
            <w:webHidden/>
          </w:rPr>
          <w:fldChar w:fldCharType="end"/>
        </w:r>
      </w:hyperlink>
    </w:p>
    <w:p w:rsidR="00D21F8E" w:rsidRDefault="00083745">
      <w:pPr>
        <w:pStyle w:val="TOC1"/>
        <w:rPr>
          <w:rFonts w:eastAsiaTheme="minorEastAsia" w:cstheme="minorBidi"/>
          <w:b w:val="0"/>
          <w:bCs w:val="0"/>
          <w:caps w:val="0"/>
          <w:color w:val="auto"/>
          <w:sz w:val="22"/>
          <w:szCs w:val="22"/>
        </w:rPr>
      </w:pPr>
      <w:hyperlink w:anchor="_Toc259453501" w:history="1">
        <w:r w:rsidR="00D21F8E" w:rsidRPr="00B36C0D">
          <w:rPr>
            <w:rStyle w:val="Hyperlink"/>
          </w:rPr>
          <w:t>5.</w:t>
        </w:r>
        <w:r w:rsidR="00D21F8E">
          <w:rPr>
            <w:rFonts w:eastAsiaTheme="minorEastAsia" w:cstheme="minorBidi"/>
            <w:b w:val="0"/>
            <w:bCs w:val="0"/>
            <w:caps w:val="0"/>
            <w:color w:val="auto"/>
            <w:sz w:val="22"/>
            <w:szCs w:val="22"/>
          </w:rPr>
          <w:tab/>
        </w:r>
        <w:r w:rsidR="00D21F8E" w:rsidRPr="00B36C0D">
          <w:rPr>
            <w:rStyle w:val="Hyperlink"/>
          </w:rPr>
          <w:t>Third Party Product Capabilities</w:t>
        </w:r>
        <w:r w:rsidR="00D21F8E">
          <w:rPr>
            <w:webHidden/>
          </w:rPr>
          <w:tab/>
        </w:r>
        <w:r>
          <w:rPr>
            <w:webHidden/>
          </w:rPr>
          <w:fldChar w:fldCharType="begin"/>
        </w:r>
        <w:r w:rsidR="00D21F8E">
          <w:rPr>
            <w:webHidden/>
          </w:rPr>
          <w:instrText xml:space="preserve"> PAGEREF _Toc259453501 \h </w:instrText>
        </w:r>
        <w:r>
          <w:rPr>
            <w:webHidden/>
          </w:rPr>
        </w:r>
        <w:r>
          <w:rPr>
            <w:webHidden/>
          </w:rPr>
          <w:fldChar w:fldCharType="separate"/>
        </w:r>
        <w:r w:rsidR="00D21F8E">
          <w:rPr>
            <w:webHidden/>
          </w:rPr>
          <w:t>35</w:t>
        </w:r>
        <w:r>
          <w:rPr>
            <w:webHidden/>
          </w:rPr>
          <w:fldChar w:fldCharType="end"/>
        </w:r>
      </w:hyperlink>
    </w:p>
    <w:p w:rsidR="00D21F8E" w:rsidRDefault="00083745">
      <w:pPr>
        <w:pStyle w:val="TOC1"/>
        <w:rPr>
          <w:rFonts w:eastAsiaTheme="minorEastAsia" w:cstheme="minorBidi"/>
          <w:b w:val="0"/>
          <w:bCs w:val="0"/>
          <w:caps w:val="0"/>
          <w:color w:val="auto"/>
          <w:sz w:val="22"/>
          <w:szCs w:val="22"/>
        </w:rPr>
      </w:pPr>
      <w:hyperlink w:anchor="_Toc259453502" w:history="1">
        <w:r w:rsidR="00D21F8E" w:rsidRPr="00B36C0D">
          <w:rPr>
            <w:rStyle w:val="Hyperlink"/>
          </w:rPr>
          <w:t>6.</w:t>
        </w:r>
        <w:r w:rsidR="00D21F8E">
          <w:rPr>
            <w:rFonts w:eastAsiaTheme="minorEastAsia" w:cstheme="minorBidi"/>
            <w:b w:val="0"/>
            <w:bCs w:val="0"/>
            <w:caps w:val="0"/>
            <w:color w:val="auto"/>
            <w:sz w:val="22"/>
            <w:szCs w:val="22"/>
          </w:rPr>
          <w:tab/>
        </w:r>
        <w:r w:rsidR="00D21F8E" w:rsidRPr="00B36C0D">
          <w:rPr>
            <w:rStyle w:val="Hyperlink"/>
          </w:rPr>
          <w:t>Proprietary Products</w:t>
        </w:r>
        <w:r w:rsidR="00D21F8E">
          <w:rPr>
            <w:webHidden/>
          </w:rPr>
          <w:tab/>
        </w:r>
        <w:r>
          <w:rPr>
            <w:webHidden/>
          </w:rPr>
          <w:fldChar w:fldCharType="begin"/>
        </w:r>
        <w:r w:rsidR="00D21F8E">
          <w:rPr>
            <w:webHidden/>
          </w:rPr>
          <w:instrText xml:space="preserve"> PAGEREF _Toc259453502 \h </w:instrText>
        </w:r>
        <w:r>
          <w:rPr>
            <w:webHidden/>
          </w:rPr>
        </w:r>
        <w:r>
          <w:rPr>
            <w:webHidden/>
          </w:rPr>
          <w:fldChar w:fldCharType="separate"/>
        </w:r>
        <w:r w:rsidR="00D21F8E">
          <w:rPr>
            <w:webHidden/>
          </w:rPr>
          <w:t>53</w:t>
        </w:r>
        <w:r>
          <w:rPr>
            <w:webHidden/>
          </w:rPr>
          <w:fldChar w:fldCharType="end"/>
        </w:r>
      </w:hyperlink>
    </w:p>
    <w:p w:rsidR="008E1C21" w:rsidRPr="00873938" w:rsidRDefault="00083745" w:rsidP="009D7CA7">
      <w:pPr>
        <w:suppressLineNumbers/>
        <w:spacing w:line="0" w:lineRule="atLeast"/>
        <w:contextualSpacing/>
        <w:rPr>
          <w:rFonts w:asciiTheme="minorHAnsi" w:hAnsiTheme="minorHAnsi" w:cs="Arial"/>
          <w:sz w:val="22"/>
        </w:rPr>
      </w:pPr>
      <w:r w:rsidRPr="00873938">
        <w:rPr>
          <w:rFonts w:asciiTheme="minorHAnsi" w:hAnsiTheme="minorHAnsi" w:cs="Arial"/>
          <w:b/>
          <w:bCs/>
          <w:caps/>
          <w:sz w:val="22"/>
        </w:rPr>
        <w:fldChar w:fldCharType="end"/>
      </w:r>
    </w:p>
    <w:p w:rsidR="0076669A" w:rsidRPr="00873938" w:rsidRDefault="0076669A" w:rsidP="00E25654">
      <w:pPr>
        <w:pStyle w:val="DocumentHeading"/>
        <w:rPr>
          <w:rFonts w:cs="Arial"/>
          <w:sz w:val="22"/>
          <w:szCs w:val="22"/>
        </w:rPr>
      </w:pPr>
      <w:r w:rsidRPr="00873938">
        <w:rPr>
          <w:rFonts w:cs="Arial"/>
          <w:sz w:val="22"/>
          <w:szCs w:val="22"/>
        </w:rPr>
        <w:br w:type="page"/>
      </w:r>
    </w:p>
    <w:p w:rsidR="00856507" w:rsidRPr="00873938" w:rsidRDefault="00892FF5" w:rsidP="00E25654">
      <w:pPr>
        <w:pStyle w:val="Heading1"/>
        <w:ind w:left="360" w:hanging="540"/>
        <w:rPr>
          <w:rFonts w:asciiTheme="minorHAnsi" w:hAnsiTheme="minorHAnsi" w:cs="Arial"/>
          <w:szCs w:val="32"/>
        </w:rPr>
      </w:pPr>
      <w:bookmarkStart w:id="3" w:name="_Toc259453494"/>
      <w:bookmarkEnd w:id="0"/>
      <w:bookmarkEnd w:id="1"/>
      <w:bookmarkEnd w:id="2"/>
      <w:r w:rsidRPr="00873938">
        <w:rPr>
          <w:rFonts w:asciiTheme="minorHAnsi" w:hAnsiTheme="minorHAnsi" w:cs="Arial"/>
          <w:szCs w:val="32"/>
        </w:rPr>
        <w:lastRenderedPageBreak/>
        <w:t>Institutional Client Group (ICG)</w:t>
      </w:r>
      <w:bookmarkEnd w:id="3"/>
    </w:p>
    <w:tbl>
      <w:tblPr>
        <w:tblW w:w="0" w:type="auto"/>
        <w:tblInd w:w="-72" w:type="dxa"/>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tblPr>
      <w:tblGrid>
        <w:gridCol w:w="9648"/>
      </w:tblGrid>
      <w:tr w:rsidR="00390787" w:rsidRPr="00873938" w:rsidTr="00FB67EC">
        <w:trPr>
          <w:trHeight w:val="144"/>
        </w:trPr>
        <w:tc>
          <w:tcPr>
            <w:tcW w:w="9648" w:type="dxa"/>
            <w:shd w:val="clear" w:color="auto" w:fill="002060"/>
          </w:tcPr>
          <w:p w:rsidR="00390787" w:rsidRPr="00873938" w:rsidRDefault="00390787" w:rsidP="00401DEE">
            <w:pPr>
              <w:pStyle w:val="Heading3"/>
              <w:ind w:left="864"/>
              <w:rPr>
                <w:rFonts w:asciiTheme="minorHAnsi" w:hAnsiTheme="minorHAnsi" w:cs="Arial"/>
                <w:color w:val="FFFFFF" w:themeColor="background1"/>
                <w:sz w:val="22"/>
              </w:rPr>
            </w:pPr>
            <w:r w:rsidRPr="00873938">
              <w:rPr>
                <w:rFonts w:asciiTheme="minorHAnsi" w:hAnsiTheme="minorHAnsi" w:cs="Arial"/>
                <w:color w:val="FFFFFF" w:themeColor="background1"/>
                <w:sz w:val="22"/>
              </w:rPr>
              <w:t>DS-1. Provide a brief description (including your knowledge of interface systems/functional areas, upstream and downstream).</w:t>
            </w:r>
          </w:p>
        </w:tc>
      </w:tr>
      <w:tr w:rsidR="00390787" w:rsidRPr="00873938" w:rsidTr="00FB67EC">
        <w:trPr>
          <w:trHeight w:val="737"/>
        </w:trPr>
        <w:tc>
          <w:tcPr>
            <w:tcW w:w="9648" w:type="dxa"/>
            <w:shd w:val="clear" w:color="auto" w:fill="auto"/>
          </w:tcPr>
          <w:p w:rsidR="00390787" w:rsidRPr="00C06AAD" w:rsidRDefault="00390787" w:rsidP="00401DEE">
            <w:pPr>
              <w:pStyle w:val="DisplayHeading"/>
              <w:rPr>
                <w:rFonts w:asciiTheme="minorHAnsi" w:hAnsiTheme="minorHAnsi" w:cs="Arial"/>
                <w:sz w:val="24"/>
              </w:rPr>
            </w:pPr>
            <w:r w:rsidRPr="00C06AAD">
              <w:rPr>
                <w:rFonts w:asciiTheme="minorHAnsi" w:hAnsiTheme="minorHAnsi" w:cs="Arial"/>
                <w:sz w:val="24"/>
              </w:rPr>
              <w:t>Response:</w:t>
            </w:r>
          </w:p>
          <w:p w:rsidR="000D6033" w:rsidRPr="005B6DCD" w:rsidRDefault="000D6033" w:rsidP="006E0EFA">
            <w:pPr>
              <w:pStyle w:val="BodyPara1"/>
              <w:rPr>
                <w:rFonts w:asciiTheme="minorHAnsi" w:hAnsiTheme="minorHAnsi" w:cs="Times New Roman"/>
                <w:color w:val="3F3F3F"/>
                <w:szCs w:val="22"/>
                <w:lang w:val="en-US" w:bidi="en-US"/>
              </w:rPr>
            </w:pPr>
            <w:r w:rsidRPr="005B6DCD">
              <w:rPr>
                <w:rFonts w:asciiTheme="minorHAnsi" w:hAnsiTheme="minorHAnsi" w:cs="Times New Roman"/>
                <w:color w:val="3F3F3F"/>
                <w:szCs w:val="22"/>
                <w:lang w:val="en-US" w:bidi="en-US"/>
              </w:rPr>
              <w:t xml:space="preserve">Hexaware is industry leader in asset management </w:t>
            </w:r>
            <w:r w:rsidR="00892FF5" w:rsidRPr="005B6DCD">
              <w:rPr>
                <w:rFonts w:asciiTheme="minorHAnsi" w:hAnsiTheme="minorHAnsi" w:cs="Times New Roman"/>
                <w:color w:val="3F3F3F"/>
                <w:szCs w:val="22"/>
                <w:lang w:val="en-US" w:bidi="en-US"/>
              </w:rPr>
              <w:t>and capital</w:t>
            </w:r>
            <w:r w:rsidRPr="005B6DCD">
              <w:rPr>
                <w:rFonts w:asciiTheme="minorHAnsi" w:hAnsiTheme="minorHAnsi" w:cs="Times New Roman"/>
                <w:color w:val="3F3F3F"/>
                <w:szCs w:val="22"/>
                <w:lang w:val="en-US" w:bidi="en-US"/>
              </w:rPr>
              <w:t xml:space="preserve"> market IT service space. Our core expertise is development, implementation, integration, re-engineering and upgrades, production </w:t>
            </w:r>
            <w:r w:rsidR="00401DEE" w:rsidRPr="005B6DCD">
              <w:rPr>
                <w:rFonts w:asciiTheme="minorHAnsi" w:hAnsiTheme="minorHAnsi" w:cs="Times New Roman"/>
                <w:color w:val="3F3F3F"/>
                <w:szCs w:val="22"/>
                <w:lang w:val="en-US" w:bidi="en-US"/>
              </w:rPr>
              <w:t>support</w:t>
            </w:r>
            <w:r w:rsidRPr="005B6DCD">
              <w:rPr>
                <w:rFonts w:asciiTheme="minorHAnsi" w:hAnsiTheme="minorHAnsi" w:cs="Times New Roman"/>
                <w:color w:val="3F3F3F"/>
                <w:szCs w:val="22"/>
                <w:lang w:val="en-US" w:bidi="en-US"/>
              </w:rPr>
              <w:t xml:space="preserve"> and </w:t>
            </w:r>
            <w:r w:rsidR="00401DEE" w:rsidRPr="005B6DCD">
              <w:rPr>
                <w:rFonts w:asciiTheme="minorHAnsi" w:hAnsiTheme="minorHAnsi" w:cs="Times New Roman"/>
                <w:color w:val="3F3F3F"/>
                <w:szCs w:val="22"/>
                <w:lang w:val="en-US" w:bidi="en-US"/>
              </w:rPr>
              <w:t>maintenance</w:t>
            </w:r>
            <w:r w:rsidRPr="005B6DCD">
              <w:rPr>
                <w:rFonts w:asciiTheme="minorHAnsi" w:hAnsiTheme="minorHAnsi" w:cs="Times New Roman"/>
                <w:color w:val="3F3F3F"/>
                <w:szCs w:val="22"/>
                <w:lang w:val="en-US" w:bidi="en-US"/>
              </w:rPr>
              <w:t xml:space="preserve"> of financials products catering to asset </w:t>
            </w:r>
            <w:r w:rsidR="00401DEE" w:rsidRPr="005B6DCD">
              <w:rPr>
                <w:rFonts w:asciiTheme="minorHAnsi" w:hAnsiTheme="minorHAnsi" w:cs="Times New Roman"/>
                <w:color w:val="3F3F3F"/>
                <w:szCs w:val="22"/>
                <w:lang w:val="en-US" w:bidi="en-US"/>
              </w:rPr>
              <w:t>management</w:t>
            </w:r>
            <w:r w:rsidRPr="005B6DCD">
              <w:rPr>
                <w:rFonts w:asciiTheme="minorHAnsi" w:hAnsiTheme="minorHAnsi" w:cs="Times New Roman"/>
                <w:color w:val="3F3F3F"/>
                <w:szCs w:val="22"/>
                <w:lang w:val="en-US" w:bidi="en-US"/>
              </w:rPr>
              <w:t xml:space="preserve"> products.  We strongly believe that with our experience with various global customers we can repeat the same success with Citi Group. </w:t>
            </w:r>
            <w:r w:rsidR="00892FF5" w:rsidRPr="005B6DCD">
              <w:rPr>
                <w:rFonts w:asciiTheme="minorHAnsi" w:hAnsiTheme="minorHAnsi" w:cs="Times New Roman"/>
                <w:color w:val="3F3F3F"/>
                <w:szCs w:val="22"/>
                <w:lang w:val="en-US" w:bidi="en-US"/>
              </w:rPr>
              <w:t>The below</w:t>
            </w:r>
            <w:r w:rsidRPr="005B6DCD">
              <w:rPr>
                <w:rFonts w:asciiTheme="minorHAnsi" w:hAnsiTheme="minorHAnsi" w:cs="Times New Roman"/>
                <w:color w:val="3F3F3F"/>
                <w:szCs w:val="22"/>
                <w:lang w:val="en-US" w:bidi="en-US"/>
              </w:rPr>
              <w:t xml:space="preserve"> diagram highlights our understanding of key business areas which supports </w:t>
            </w:r>
            <w:r w:rsidR="00892FF5" w:rsidRPr="005B6DCD">
              <w:rPr>
                <w:rFonts w:asciiTheme="minorHAnsi" w:hAnsiTheme="minorHAnsi" w:cs="Times New Roman"/>
                <w:color w:val="3F3F3F"/>
                <w:szCs w:val="22"/>
                <w:lang w:val="en-US" w:bidi="en-US"/>
              </w:rPr>
              <w:t>the Institutional</w:t>
            </w:r>
            <w:r w:rsidRPr="005B6DCD">
              <w:rPr>
                <w:rFonts w:asciiTheme="minorHAnsi" w:hAnsiTheme="minorHAnsi" w:cs="Times New Roman"/>
                <w:color w:val="3F3F3F"/>
                <w:szCs w:val="22"/>
                <w:lang w:val="en-US" w:bidi="en-US"/>
              </w:rPr>
              <w:t xml:space="preserve"> Client Group (ICG`s).</w:t>
            </w:r>
          </w:p>
          <w:p w:rsidR="000D6033" w:rsidRPr="00873938" w:rsidRDefault="000D6033" w:rsidP="000D6033">
            <w:pPr>
              <w:pStyle w:val="BodyPara1"/>
              <w:rPr>
                <w:rFonts w:asciiTheme="minorHAnsi" w:hAnsiTheme="minorHAnsi" w:cs="Arial"/>
                <w:szCs w:val="22"/>
                <w:lang w:val="en-US"/>
              </w:rPr>
            </w:pPr>
            <w:r w:rsidRPr="00873938">
              <w:rPr>
                <w:rFonts w:asciiTheme="minorHAnsi" w:hAnsiTheme="minorHAnsi" w:cs="Arial"/>
                <w:noProof/>
                <w:szCs w:val="22"/>
                <w:lang w:val="en-US"/>
              </w:rPr>
              <w:drawing>
                <wp:inline distT="0" distB="0" distL="0" distR="0">
                  <wp:extent cx="5947029" cy="3790950"/>
                  <wp:effectExtent l="6096" t="0" r="0" b="0"/>
                  <wp:docPr id="11"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00160" cy="5676900"/>
                            <a:chOff x="91440" y="800100"/>
                            <a:chExt cx="8900160" cy="5676900"/>
                          </a:xfrm>
                        </a:grpSpPr>
                        <a:grpSp>
                          <a:nvGrpSpPr>
                            <a:cNvPr id="84" name="Group 83"/>
                            <a:cNvGrpSpPr/>
                          </a:nvGrpSpPr>
                          <a:grpSpPr>
                            <a:xfrm>
                              <a:off x="91440" y="800100"/>
                              <a:ext cx="8900160" cy="5676900"/>
                              <a:chOff x="91440" y="800100"/>
                              <a:chExt cx="8900160" cy="5676900"/>
                            </a:xfrm>
                          </a:grpSpPr>
                          <a:grpSp>
                            <a:nvGrpSpPr>
                              <a:cNvPr id="3" name="Group 60"/>
                              <a:cNvGrpSpPr/>
                            </a:nvGrpSpPr>
                            <a:grpSpPr>
                              <a:xfrm>
                                <a:off x="6065520" y="3210560"/>
                                <a:ext cx="2926080" cy="731520"/>
                                <a:chOff x="6019800" y="3200400"/>
                                <a:chExt cx="2926080" cy="731520"/>
                              </a:xfrm>
                            </a:grpSpPr>
                            <a:sp>
                              <a:nvSpPr>
                                <a:cNvPr id="37" name="Rounded Rectangle 36"/>
                                <a:cNvSpPr/>
                              </a:nvSpPr>
                              <a:spPr bwMode="auto">
                                <a:xfrm>
                                  <a:off x="6019800" y="3200400"/>
                                  <a:ext cx="2926080" cy="731520"/>
                                </a:xfrm>
                                <a:prstGeom prst="roundRect">
                                  <a:avLst/>
                                </a:prstGeom>
                                <a:solidFill>
                                  <a:schemeClr val="bg1"/>
                                </a:solidFill>
                                <a:ln w="19050" cap="flat" cmpd="sng" algn="ctr">
                                  <a:solidFill>
                                    <a:schemeClr val="accent4"/>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p>
                            <a:sp>
                              <a:nvSpPr>
                                <a:cNvPr id="18" name="AutoShape 173"/>
                                <a:cNvSpPr>
                                  <a:spLocks noChangeArrowheads="1"/>
                                </a:cNvSpPr>
                              </a:nvSpPr>
                              <a:spPr bwMode="auto">
                                <a:xfrm>
                                  <a:off x="6202680" y="3337560"/>
                                  <a:ext cx="2560320" cy="457200"/>
                                </a:xfrm>
                                <a:prstGeom prst="roundRect">
                                  <a:avLst>
                                    <a:gd name="adj" fmla="val 16667"/>
                                  </a:avLst>
                                </a:prstGeom>
                                <a:ln w="12700">
                                  <a:solidFill>
                                    <a:schemeClr val="accent4"/>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7030A0"/>
                                        </a:solidFill>
                                        <a:latin typeface="Calibri" pitchFamily="34" charset="0"/>
                                        <a:cs typeface="Times New Roman" pitchFamily="18" charset="0"/>
                                      </a:rPr>
                                      <a:t>Settlement Confirmations / Notifications  Gateway Systems   </a:t>
                                    </a:r>
                                    <a:endParaRPr lang="en-US" sz="1100" dirty="0">
                                      <a:solidFill>
                                        <a:srgbClr val="7030A0"/>
                                      </a:solidFill>
                                      <a:latin typeface="Calibri" pitchFamily="34" charset="0"/>
                                    </a:endParaRPr>
                                  </a:p>
                                </a:txBody>
                                <a:useSpRect/>
                              </a:txSp>
                              <a:style>
                                <a:lnRef idx="2">
                                  <a:schemeClr val="accent1"/>
                                </a:lnRef>
                                <a:fillRef idx="1">
                                  <a:schemeClr val="lt1"/>
                                </a:fillRef>
                                <a:effectRef idx="0">
                                  <a:schemeClr val="accent1"/>
                                </a:effectRef>
                                <a:fontRef idx="minor">
                                  <a:schemeClr val="dk1"/>
                                </a:fontRef>
                              </a:style>
                            </a:sp>
                          </a:grpSp>
                          <a:grpSp>
                            <a:nvGrpSpPr>
                              <a:cNvPr id="4" name="Group 62"/>
                              <a:cNvGrpSpPr/>
                            </a:nvGrpSpPr>
                            <a:grpSpPr>
                              <a:xfrm>
                                <a:off x="6065520" y="5113020"/>
                                <a:ext cx="2926080" cy="1280160"/>
                                <a:chOff x="5867400" y="5267325"/>
                                <a:chExt cx="2926080" cy="1280160"/>
                              </a:xfrm>
                            </a:grpSpPr>
                            <a:sp>
                              <a:nvSpPr>
                                <a:cNvPr id="50" name="Rounded Rectangle 49"/>
                                <a:cNvSpPr/>
                              </a:nvSpPr>
                              <a:spPr bwMode="auto">
                                <a:xfrm>
                                  <a:off x="5867400" y="5267325"/>
                                  <a:ext cx="2926080" cy="1280160"/>
                                </a:xfrm>
                                <a:prstGeom prst="roundRect">
                                  <a:avLst/>
                                </a:prstGeom>
                                <a:solidFill>
                                  <a:schemeClr val="bg1"/>
                                </a:solidFill>
                                <a:ln w="19050">
                                  <a:solidFill>
                                    <a:srgbClr val="006600"/>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5" name="AutoShape 177"/>
                                <a:cNvSpPr>
                                  <a:spLocks noChangeArrowheads="1"/>
                                </a:cNvSpPr>
                              </a:nvSpPr>
                              <a:spPr bwMode="auto">
                                <a:xfrm>
                                  <a:off x="6050280" y="5943600"/>
                                  <a:ext cx="2560320" cy="457200"/>
                                </a:xfrm>
                                <a:prstGeom prst="roundRect">
                                  <a:avLst>
                                    <a:gd name="adj" fmla="val 16667"/>
                                  </a:avLst>
                                </a:prstGeom>
                                <a:ln w="12700">
                                  <a:solidFill>
                                    <a:srgbClr val="006600"/>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3300"/>
                                        </a:solidFill>
                                        <a:latin typeface="Calibri" pitchFamily="34" charset="0"/>
                                        <a:ea typeface="Times New Roman" pitchFamily="18" charset="0"/>
                                        <a:cs typeface="Times New Roman" pitchFamily="18" charset="0"/>
                                      </a:rPr>
                                      <a:t>Clients / Institutional Investors / Hedge Funds, etc.</a:t>
                                    </a:r>
                                    <a:endParaRPr lang="en-US" sz="1100" dirty="0">
                                      <a:solidFill>
                                        <a:srgbClr val="003300"/>
                                      </a:solidFill>
                                      <a:latin typeface="Calibri" pitchFamily="34" charset="0"/>
                                      <a:ea typeface="Times New Roman" pitchFamily="18" charset="0"/>
                                      <a:cs typeface="Trebuchet MS" pitchFamily="34" charset="0"/>
                                    </a:endParaRPr>
                                  </a:p>
                                </a:txBody>
                                <a:useSpRect/>
                              </a:txSp>
                              <a:style>
                                <a:lnRef idx="2">
                                  <a:schemeClr val="accent5"/>
                                </a:lnRef>
                                <a:fillRef idx="1">
                                  <a:schemeClr val="lt1"/>
                                </a:fillRef>
                                <a:effectRef idx="0">
                                  <a:schemeClr val="accent5"/>
                                </a:effectRef>
                                <a:fontRef idx="minor">
                                  <a:schemeClr val="dk1"/>
                                </a:fontRef>
                              </a:style>
                            </a:sp>
                            <a:sp>
                              <a:nvSpPr>
                                <a:cNvPr id="28" name="AutoShape 127"/>
                                <a:cNvSpPr>
                                  <a:spLocks noChangeArrowheads="1"/>
                                </a:cNvSpPr>
                              </a:nvSpPr>
                              <a:spPr bwMode="auto">
                                <a:xfrm>
                                  <a:off x="6736080" y="5410200"/>
                                  <a:ext cx="1188720" cy="457200"/>
                                </a:xfrm>
                                <a:prstGeom prst="flowChartMultidocument">
                                  <a:avLst/>
                                </a:prstGeom>
                                <a:ln w="12700">
                                  <a:solidFill>
                                    <a:srgbClr val="006600"/>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3300"/>
                                        </a:solidFill>
                                        <a:latin typeface="Calibri" pitchFamily="34" charset="0"/>
                                        <a:ea typeface="Times New Roman" pitchFamily="18" charset="0"/>
                                        <a:cs typeface="Trebuchet MS" pitchFamily="34" charset="0"/>
                                      </a:rPr>
                                      <a:t>Reporting  &amp; Servicing </a:t>
                                    </a:r>
                                    <a:endParaRPr lang="en-US" sz="1100" dirty="0">
                                      <a:solidFill>
                                        <a:srgbClr val="003300"/>
                                      </a:solidFill>
                                      <a:latin typeface="Calibri" pitchFamily="34" charset="0"/>
                                      <a:ea typeface="Times New Roman" pitchFamily="18" charset="0"/>
                                      <a:cs typeface="Trebuchet MS" pitchFamily="34" charset="0"/>
                                    </a:endParaRPr>
                                  </a:p>
                                </a:txBody>
                                <a:useSpRect/>
                              </a:txSp>
                              <a:style>
                                <a:lnRef idx="2">
                                  <a:schemeClr val="accent5"/>
                                </a:lnRef>
                                <a:fillRef idx="1">
                                  <a:schemeClr val="lt1"/>
                                </a:fillRef>
                                <a:effectRef idx="0">
                                  <a:schemeClr val="accent5"/>
                                </a:effectRef>
                                <a:fontRef idx="minor">
                                  <a:schemeClr val="dk1"/>
                                </a:fontRef>
                              </a:style>
                            </a:sp>
                          </a:grpSp>
                          <a:sp>
                            <a:nvSpPr>
                              <a:cNvPr id="58" name="Rounded Rectangle 57"/>
                              <a:cNvSpPr/>
                            </a:nvSpPr>
                            <a:spPr bwMode="auto">
                              <a:xfrm>
                                <a:off x="3524250" y="838200"/>
                                <a:ext cx="1943100" cy="5638800"/>
                              </a:xfrm>
                              <a:prstGeom prst="roundRect">
                                <a:avLst/>
                              </a:prstGeom>
                              <a:gradFill flip="none" rotWithShape="1">
                                <a:gsLst>
                                  <a:gs pos="14000">
                                    <a:schemeClr val="bg1">
                                      <a:alpha val="79000"/>
                                    </a:schemeClr>
                                  </a:gs>
                                  <a:gs pos="100000">
                                    <a:srgbClr val="CCFFCC"/>
                                  </a:gs>
                                </a:gsLst>
                                <a:path path="shape">
                                  <a:fillToRect l="50000" t="50000" r="50000" b="50000"/>
                                </a:path>
                                <a:tileRect/>
                              </a:gradFill>
                              <a:ln w="19050" cap="flat" cmpd="sng" algn="ctr">
                                <a:solidFill>
                                  <a:schemeClr val="tx1"/>
                                </a:solidFill>
                                <a:prstDash val="dash"/>
                                <a:round/>
                                <a:headEnd type="none" w="med" len="med"/>
                                <a:tailEnd type="none" w="med" len="med"/>
                              </a:ln>
                              <a:effectLst/>
                            </a:spPr>
                            <a:txSp>
                              <a:txBody>
                                <a:bodyPr vert="horz" wrap="square" lIns="182880" tIns="0" rIns="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l">
                                    <a:lnSpc>
                                      <a:spcPct val="150000"/>
                                    </a:lnSpc>
                                  </a:pPr>
                                  <a:r>
                                    <a:rPr lang="en-US" sz="1200" dirty="0" smtClean="0">
                                      <a:solidFill>
                                        <a:schemeClr val="tx1"/>
                                      </a:solidFill>
                                      <a:latin typeface="Calibri" pitchFamily="34" charset="0"/>
                                      <a:ea typeface="Times New Roman" pitchFamily="18" charset="0"/>
                                      <a:cs typeface="Trebuchet MS" pitchFamily="34" charset="0"/>
                                    </a:rPr>
                                    <a:t>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Client Account Details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Trade Data</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Cash Margin</a:t>
                                  </a:r>
                                </a:p>
                                <a:p>
                                  <a:pPr algn="l">
                                    <a:lnSpc>
                                      <a:spcPct val="150000"/>
                                    </a:lnSpc>
                                    <a:buFont typeface="Arial" pitchFamily="34" charset="0"/>
                                    <a:buChar char="•"/>
                                  </a:pPr>
                                  <a:r>
                                    <a:rPr lang="en-US" sz="1200" dirty="0" smtClean="0">
                                      <a:latin typeface="Calibri" pitchFamily="34" charset="0"/>
                                      <a:ea typeface="Times New Roman" pitchFamily="18" charset="0"/>
                                      <a:cs typeface="Trebuchet MS" pitchFamily="34" charset="0"/>
                                    </a:rPr>
                                    <a:t> Collaterals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Income Accruals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Security Master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Trade  Processing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Tax Lots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Corporate Actions  Accounting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Tax Reclaims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Portfolio Balance </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Cash Balances</a:t>
                                  </a:r>
                                </a:p>
                                <a:p>
                                  <a:pPr algn="l">
                                    <a:lnSpc>
                                      <a:spcPct val="150000"/>
                                    </a:lnSpc>
                                    <a:buFont typeface="Arial" pitchFamily="34" charset="0"/>
                                    <a:buChar char="•"/>
                                  </a:pPr>
                                  <a:r>
                                    <a:rPr lang="en-US" sz="1200" dirty="0" smtClean="0">
                                      <a:solidFill>
                                        <a:schemeClr val="tx1"/>
                                      </a:solidFill>
                                      <a:latin typeface="Calibri" pitchFamily="34" charset="0"/>
                                      <a:ea typeface="Times New Roman" pitchFamily="18" charset="0"/>
                                      <a:cs typeface="Trebuchet MS" pitchFamily="34" charset="0"/>
                                    </a:rPr>
                                    <a:t> Pricing &amp; Valuations</a:t>
                                  </a:r>
                                </a:p>
                                <a:p>
                                  <a:pPr algn="l">
                                    <a:lnSpc>
                                      <a:spcPct val="200000"/>
                                    </a:lnSpc>
                                    <a:buFont typeface="Arial" pitchFamily="34" charset="0"/>
                                    <a:buChar char="•"/>
                                  </a:pPr>
                                  <a:endParaRPr lang="en-US" sz="1200" dirty="0" smtClean="0">
                                    <a:solidFill>
                                      <a:schemeClr val="tx1"/>
                                    </a:solidFill>
                                    <a:latin typeface="Calibri" pitchFamily="34" charset="0"/>
                                    <a:ea typeface="Times New Roman" pitchFamily="18" charset="0"/>
                                    <a:cs typeface="Trebuchet MS" pitchFamily="34" charset="0"/>
                                  </a:endParaRPr>
                                </a:p>
                                <a:p>
                                  <a:pPr algn="l">
                                    <a:lnSpc>
                                      <a:spcPct val="200000"/>
                                    </a:lnSpc>
                                    <a:buFont typeface="Arial" pitchFamily="34" charset="0"/>
                                    <a:buChar char="•"/>
                                  </a:pPr>
                                  <a:endParaRPr lang="en-US" sz="1200" dirty="0">
                                    <a:solidFill>
                                      <a:schemeClr val="tx1"/>
                                    </a:solidFill>
                                    <a:latin typeface="Calibri" pitchFamily="34" charset="0"/>
                                    <a:ea typeface="Times New Roman" pitchFamily="18" charset="0"/>
                                    <a:cs typeface="Trebuchet MS" pitchFamily="34" charset="0"/>
                                  </a:endParaRPr>
                                </a:p>
                              </a:txBody>
                              <a:useSpRect/>
                            </a:txSp>
                          </a:sp>
                          <a:sp>
                            <a:nvSpPr>
                              <a:cNvPr id="2051" name="WordArt 3"/>
                              <a:cNvSpPr>
                                <a:spLocks noChangeArrowheads="1" noChangeShapeType="1" noTextEdit="1"/>
                              </a:cNvSpPr>
                            </a:nvSpPr>
                            <a:spPr bwMode="auto">
                              <a:xfrm>
                                <a:off x="3657600" y="5257800"/>
                                <a:ext cx="1752600" cy="533400"/>
                              </a:xfrm>
                              <a:prstGeom prst="rect">
                                <a:avLst/>
                              </a:prstGeom>
                            </a:spPr>
                            <a:txSp>
                              <a:txBody>
                                <a:bodyPr wrap="none" numCol="1" fromWordArt="1">
                                  <a:prstTxWarp prst="textPlain">
                                    <a:avLst>
                                      <a:gd name="adj" fmla="val 49210"/>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rtl="0"/>
                                  <a:r>
                                    <a:rPr lang="en-US" sz="1200" kern="10" spc="0" dirty="0" smtClean="0">
                                      <a:ln w="9525">
                                        <a:noFill/>
                                        <a:round/>
                                        <a:headEnd/>
                                        <a:tailEnd/>
                                      </a:ln>
                                      <a:gradFill rotWithShape="0">
                                        <a:gsLst>
                                          <a:gs pos="0">
                                            <a:srgbClr val="006600"/>
                                          </a:gs>
                                          <a:gs pos="100000">
                                            <a:srgbClr val="006600">
                                              <a:gamma/>
                                              <a:shade val="46275"/>
                                              <a:invGamma/>
                                            </a:srgbClr>
                                          </a:gs>
                                        </a:gsLst>
                                        <a:path path="rect">
                                          <a:fillToRect l="50000" t="50000" r="50000" b="50000"/>
                                        </a:path>
                                      </a:gradFill>
                                      <a:effectLst>
                                        <a:outerShdw dist="35921" dir="2700000" algn="ctr" rotWithShape="0">
                                          <a:srgbClr val="C0C0C0">
                                            <a:alpha val="80000"/>
                                          </a:srgbClr>
                                        </a:outerShdw>
                                      </a:effectLst>
                                      <a:latin typeface="Calibri" pitchFamily="34" charset="0"/>
                                    </a:rPr>
                                    <a:t>Data Warehouse </a:t>
                                  </a:r>
                                  <a:endParaRPr lang="en-US" sz="1200" kern="10" spc="0" dirty="0">
                                    <a:ln w="9525">
                                      <a:noFill/>
                                      <a:round/>
                                      <a:headEnd/>
                                      <a:tailEnd/>
                                    </a:ln>
                                    <a:gradFill rotWithShape="0">
                                      <a:gsLst>
                                        <a:gs pos="0">
                                          <a:srgbClr val="006600"/>
                                        </a:gs>
                                        <a:gs pos="100000">
                                          <a:srgbClr val="006600">
                                            <a:gamma/>
                                            <a:shade val="46275"/>
                                            <a:invGamma/>
                                          </a:srgbClr>
                                        </a:gs>
                                      </a:gsLst>
                                      <a:path path="rect">
                                        <a:fillToRect l="50000" t="50000" r="50000" b="50000"/>
                                      </a:path>
                                    </a:gradFill>
                                    <a:effectLst>
                                      <a:outerShdw dist="35921" dir="2700000" algn="ctr" rotWithShape="0">
                                        <a:srgbClr val="C0C0C0">
                                          <a:alpha val="80000"/>
                                        </a:srgbClr>
                                      </a:outerShdw>
                                    </a:effectLst>
                                    <a:latin typeface="Calibri" pitchFamily="34" charset="0"/>
                                  </a:endParaRPr>
                                </a:p>
                              </a:txBody>
                              <a:useSpRect/>
                            </a:txSp>
                          </a:sp>
                          <a:grpSp>
                            <a:nvGrpSpPr>
                              <a:cNvPr id="7" name="Group 61"/>
                              <a:cNvGrpSpPr/>
                            </a:nvGrpSpPr>
                            <a:grpSpPr>
                              <a:xfrm>
                                <a:off x="6065520" y="4161790"/>
                                <a:ext cx="2926080" cy="731520"/>
                                <a:chOff x="6019800" y="4191000"/>
                                <a:chExt cx="2926080" cy="731520"/>
                              </a:xfrm>
                            </a:grpSpPr>
                            <a:sp>
                              <a:nvSpPr>
                                <a:cNvPr id="36" name="Rounded Rectangle 35"/>
                                <a:cNvSpPr/>
                              </a:nvSpPr>
                              <a:spPr bwMode="auto">
                                <a:xfrm>
                                  <a:off x="6019800" y="4191000"/>
                                  <a:ext cx="2926080" cy="731520"/>
                                </a:xfrm>
                                <a:prstGeom prst="roundRect">
                                  <a:avLst/>
                                </a:prstGeom>
                                <a:solidFill>
                                  <a:schemeClr val="bg1"/>
                                </a:solidFill>
                                <a:ln w="19050">
                                  <a:solidFill>
                                    <a:schemeClr val="accent2"/>
                                  </a:solidFill>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23" name="AutoShape 177"/>
                                <a:cNvSpPr>
                                  <a:spLocks noChangeArrowheads="1"/>
                                </a:cNvSpPr>
                              </a:nvSpPr>
                              <a:spPr bwMode="auto">
                                <a:xfrm>
                                  <a:off x="6202680" y="4328160"/>
                                  <a:ext cx="2560320" cy="457200"/>
                                </a:xfrm>
                                <a:prstGeom prst="roundRect">
                                  <a:avLst>
                                    <a:gd name="adj" fmla="val 16667"/>
                                  </a:avLst>
                                </a:prstGeom>
                                <a:ln w="12700">
                                  <a:solidFill>
                                    <a:schemeClr val="accent2"/>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C00000"/>
                                        </a:solidFill>
                                        <a:latin typeface="Calibri" pitchFamily="34" charset="0"/>
                                        <a:ea typeface="Times New Roman" pitchFamily="18" charset="0"/>
                                        <a:cs typeface="Trebuchet MS" pitchFamily="34" charset="0"/>
                                      </a:rPr>
                                      <a:t>Reconciliation  (GL,  Sub Ledger, Account, Side Pocket, etc.)</a:t>
                                    </a:r>
                                    <a:endParaRPr lang="en-US" sz="1100" dirty="0">
                                      <a:solidFill>
                                        <a:srgbClr val="C00000"/>
                                      </a:solidFill>
                                      <a:latin typeface="Calibri" pitchFamily="34" charset="0"/>
                                      <a:ea typeface="Times New Roman" pitchFamily="18" charset="0"/>
                                      <a:cs typeface="Trebuchet MS" pitchFamily="34" charset="0"/>
                                    </a:endParaRPr>
                                  </a:p>
                                </a:txBody>
                                <a:useSpRect/>
                              </a:txSp>
                              <a:style>
                                <a:lnRef idx="2">
                                  <a:schemeClr val="accent5"/>
                                </a:lnRef>
                                <a:fillRef idx="1">
                                  <a:schemeClr val="lt1"/>
                                </a:fillRef>
                                <a:effectRef idx="0">
                                  <a:schemeClr val="accent5"/>
                                </a:effectRef>
                                <a:fontRef idx="minor">
                                  <a:schemeClr val="dk1"/>
                                </a:fontRef>
                              </a:style>
                            </a:sp>
                          </a:grpSp>
                          <a:sp>
                            <a:nvSpPr>
                              <a:cNvPr id="41" name="Right Arrow 40"/>
                              <a:cNvSpPr/>
                            </a:nvSpPr>
                            <a:spPr bwMode="auto">
                              <a:xfrm>
                                <a:off x="3089275" y="3057525"/>
                                <a:ext cx="36576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2" name="Right Arrow 41"/>
                              <a:cNvSpPr/>
                            </a:nvSpPr>
                            <a:spPr bwMode="auto">
                              <a:xfrm>
                                <a:off x="3089275" y="5248275"/>
                                <a:ext cx="36576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4" name="Left-Right Arrow 43"/>
                              <a:cNvSpPr/>
                            </a:nvSpPr>
                            <a:spPr bwMode="auto">
                              <a:xfrm flipH="1">
                                <a:off x="5553075" y="3419475"/>
                                <a:ext cx="457200" cy="304800"/>
                              </a:xfrm>
                              <a:prstGeom prst="lef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5" name="Left-Right Arrow 44"/>
                              <a:cNvSpPr/>
                            </a:nvSpPr>
                            <a:spPr bwMode="auto">
                              <a:xfrm flipH="1">
                                <a:off x="5553075" y="1524000"/>
                                <a:ext cx="457200" cy="304800"/>
                              </a:xfrm>
                              <a:prstGeom prst="lef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6" name="Left-Right Arrow 45"/>
                              <a:cNvSpPr/>
                            </a:nvSpPr>
                            <a:spPr bwMode="auto">
                              <a:xfrm flipH="1">
                                <a:off x="5553075" y="4391025"/>
                                <a:ext cx="457200" cy="304800"/>
                              </a:xfrm>
                              <a:prstGeom prst="lef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49" name="Right Arrow 48"/>
                              <a:cNvSpPr/>
                            </a:nvSpPr>
                            <a:spPr bwMode="auto">
                              <a:xfrm>
                                <a:off x="5598795" y="5648325"/>
                                <a:ext cx="365760" cy="304800"/>
                              </a:xfrm>
                              <a:prstGeom prst="rightArrow">
                                <a:avLst/>
                              </a:prstGeom>
                              <a:solidFill>
                                <a:srgbClr val="0080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grpSp>
                            <a:nvGrpSpPr>
                              <a:cNvPr id="14" name="Group 64"/>
                              <a:cNvGrpSpPr/>
                            </a:nvGrpSpPr>
                            <a:grpSpPr>
                              <a:xfrm>
                                <a:off x="91440" y="847725"/>
                                <a:ext cx="2926080" cy="1228725"/>
                                <a:chOff x="91440" y="990600"/>
                                <a:chExt cx="2926080" cy="1228725"/>
                              </a:xfrm>
                            </a:grpSpPr>
                            <a:sp>
                              <a:nvSpPr>
                                <a:cNvPr id="75" name="Rounded Rectangle 74"/>
                                <a:cNvSpPr/>
                              </a:nvSpPr>
                              <a:spPr bwMode="auto">
                                <a:xfrm>
                                  <a:off x="91440" y="990600"/>
                                  <a:ext cx="2926080" cy="1228725"/>
                                </a:xfrm>
                                <a:prstGeom prst="roundRect">
                                  <a:avLst/>
                                </a:prstGeom>
                                <a:solidFill>
                                  <a:schemeClr val="bg1"/>
                                </a:solidFill>
                                <a:ln w="19050" cap="flat" cmpd="sng" algn="ctr">
                                  <a:solidFill>
                                    <a:srgbClr val="0070C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latin typeface="Calibri" pitchFamily="34" charset="0"/>
                                    </a:endParaRPr>
                                  </a:p>
                                </a:txBody>
                                <a:useSpRect/>
                              </a:txSp>
                            </a:sp>
                            <a:sp>
                              <a:nvSpPr>
                                <a:cNvPr id="76" name="AutoShape 172"/>
                                <a:cNvSpPr>
                                  <a:spLocks noChangeArrowheads="1"/>
                                </a:cNvSpPr>
                              </a:nvSpPr>
                              <a:spPr bwMode="auto">
                                <a:xfrm>
                                  <a:off x="1630680" y="1350081"/>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Hedge Funds  </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sp>
                              <a:nvSpPr>
                                <a:cNvPr id="77" name="AutoShape 172"/>
                                <a:cNvSpPr>
                                  <a:spLocks noChangeArrowheads="1"/>
                                </a:cNvSpPr>
                              </a:nvSpPr>
                              <a:spPr bwMode="auto">
                                <a:xfrm>
                                  <a:off x="287655" y="1350081"/>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Institutional Clients </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sp>
                              <a:nvSpPr>
                                <a:cNvPr id="52" name="Rectangle 51"/>
                                <a:cNvSpPr/>
                              </a:nvSpPr>
                              <a:spPr>
                                <a:xfrm>
                                  <a:off x="436546" y="994974"/>
                                  <a:ext cx="2235868" cy="338554"/>
                                </a:xfrm>
                                <a:prstGeom prst="rect">
                                  <a:avLst/>
                                </a:prstGeom>
                                <a:noFill/>
                              </a:spPr>
                              <a:txSp>
                                <a:txBody>
                                  <a:bodyPr wrap="non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cap="none" spc="50" dirty="0" smtClean="0">
                                        <a:ln w="11430"/>
                                        <a:solidFill>
                                          <a:srgbClr val="C00000"/>
                                        </a:solidFill>
                                        <a:effectLst>
                                          <a:outerShdw blurRad="38100" dist="38100" dir="2700000" algn="tl">
                                            <a:srgbClr val="000000">
                                              <a:alpha val="43137"/>
                                            </a:srgbClr>
                                          </a:outerShdw>
                                        </a:effectLst>
                                        <a:latin typeface="Calibri" pitchFamily="34" charset="0"/>
                                      </a:rPr>
                                      <a:t>Account Management </a:t>
                                    </a:r>
                                    <a:endParaRPr lang="en-US" sz="1600" b="1" cap="none" spc="50" dirty="0">
                                      <a:ln w="11430"/>
                                      <a:solidFill>
                                        <a:srgbClr val="C00000"/>
                                      </a:solidFill>
                                      <a:effectLst>
                                        <a:outerShdw blurRad="38100" dist="38100" dir="2700000" algn="tl">
                                          <a:srgbClr val="000000">
                                            <a:alpha val="43137"/>
                                          </a:srgbClr>
                                        </a:outerShdw>
                                      </a:effectLst>
                                      <a:latin typeface="Calibri" pitchFamily="34" charset="0"/>
                                    </a:endParaRPr>
                                  </a:p>
                                </a:txBody>
                                <a:useSpRect/>
                              </a:txSp>
                            </a:sp>
                            <a:sp>
                              <a:nvSpPr>
                                <a:cNvPr id="53" name="AutoShape 172"/>
                                <a:cNvSpPr>
                                  <a:spLocks noChangeArrowheads="1"/>
                                </a:cNvSpPr>
                              </a:nvSpPr>
                              <a:spPr bwMode="auto">
                                <a:xfrm>
                                  <a:off x="1630680" y="1779270"/>
                                  <a:ext cx="1188720" cy="365760"/>
                                </a:xfrm>
                                <a:prstGeom prst="roundRect">
                                  <a:avLst>
                                    <a:gd name="adj" fmla="val 16667"/>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   Securities Lending  Clients</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sp>
                              <a:nvSpPr>
                                <a:cNvPr id="54" name="AutoShape 172"/>
                                <a:cNvSpPr>
                                  <a:spLocks noChangeArrowheads="1"/>
                                </a:cNvSpPr>
                              </a:nvSpPr>
                              <a:spPr bwMode="auto">
                                <a:xfrm>
                                  <a:off x="287655" y="1779270"/>
                                  <a:ext cx="1188720" cy="365760"/>
                                </a:xfrm>
                                <a:prstGeom prst="roundRect">
                                  <a:avLst>
                                    <a:gd name="adj" fmla="val 16667"/>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ea typeface="Times New Roman" pitchFamily="18" charset="0"/>
                                        <a:cs typeface="Trebuchet MS" pitchFamily="34" charset="0"/>
                                      </a:rPr>
                                      <a:t>Fixed Income Clients</a:t>
                                    </a:r>
                                    <a:endParaRPr lang="en-US" sz="1100" dirty="0">
                                      <a:solidFill>
                                        <a:srgbClr val="0070C0"/>
                                      </a:solidFill>
                                      <a:latin typeface="Calibri" pitchFamily="34" charset="0"/>
                                      <a:ea typeface="Times New Roman" pitchFamily="18" charset="0"/>
                                      <a:cs typeface="Trebuchet MS" pitchFamily="34" charset="0"/>
                                    </a:endParaRPr>
                                  </a:p>
                                </a:txBody>
                                <a:useSpRect/>
                              </a:txSp>
                              <a:style>
                                <a:lnRef idx="2">
                                  <a:schemeClr val="accent1"/>
                                </a:lnRef>
                                <a:fillRef idx="1">
                                  <a:schemeClr val="lt1"/>
                                </a:fillRef>
                                <a:effectRef idx="0">
                                  <a:schemeClr val="accent1"/>
                                </a:effectRef>
                                <a:fontRef idx="minor">
                                  <a:schemeClr val="dk1"/>
                                </a:fontRef>
                              </a:style>
                            </a:sp>
                          </a:grpSp>
                          <a:grpSp>
                            <a:nvGrpSpPr>
                              <a:cNvPr id="15" name="Group 73"/>
                              <a:cNvGrpSpPr/>
                            </a:nvGrpSpPr>
                            <a:grpSpPr>
                              <a:xfrm>
                                <a:off x="91440" y="2364451"/>
                                <a:ext cx="2926080" cy="1683327"/>
                                <a:chOff x="91440" y="2446713"/>
                                <a:chExt cx="2926080" cy="1683327"/>
                              </a:xfrm>
                            </a:grpSpPr>
                            <a:sp>
                              <a:nvSpPr>
                                <a:cNvPr id="64" name="Rounded Rectangle 63"/>
                                <a:cNvSpPr/>
                              </a:nvSpPr>
                              <a:spPr bwMode="auto">
                                <a:xfrm>
                                  <a:off x="91440" y="2484120"/>
                                  <a:ext cx="2926080" cy="1645920"/>
                                </a:xfrm>
                                <a:prstGeom prst="roundRect">
                                  <a:avLst/>
                                </a:prstGeom>
                                <a:solidFill>
                                  <a:schemeClr val="bg1"/>
                                </a:solidFill>
                                <a:ln w="19050" cap="flat" cmpd="sng" algn="ctr">
                                  <a:solidFill>
                                    <a:schemeClr val="accent3"/>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p>
                            <a:sp>
                              <a:nvSpPr>
                                <a:cNvPr id="2" name="AutoShape 27"/>
                                <a:cNvSpPr>
                                  <a:spLocks noChangeArrowheads="1"/>
                                </a:cNvSpPr>
                              </a:nvSpPr>
                              <a:spPr bwMode="auto">
                                <a:xfrm>
                                  <a:off x="228600" y="32064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OTC  Derivatives </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59" name="AutoShape 27"/>
                                <a:cNvSpPr>
                                  <a:spLocks noChangeArrowheads="1"/>
                                </a:cNvSpPr>
                              </a:nvSpPr>
                              <a:spPr bwMode="auto">
                                <a:xfrm>
                                  <a:off x="1600200" y="32064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Futures </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51" name="Rectangle 50"/>
                                <a:cNvSpPr/>
                              </a:nvSpPr>
                              <a:spPr>
                                <a:xfrm>
                                  <a:off x="725760" y="2446713"/>
                                  <a:ext cx="1657440" cy="338554"/>
                                </a:xfrm>
                                <a:prstGeom prst="rect">
                                  <a:avLst/>
                                </a:prstGeom>
                                <a:noFill/>
                              </a:spPr>
                              <a:txSp>
                                <a:txBody>
                                  <a:bodyPr wrap="non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600" b="1" cap="none" spc="50" dirty="0" smtClean="0">
                                        <a:ln w="11430"/>
                                        <a:solidFill>
                                          <a:srgbClr val="C00000"/>
                                        </a:solidFill>
                                        <a:effectLst>
                                          <a:outerShdw blurRad="38100" dist="38100" dir="2700000" algn="tl" rotWithShape="0">
                                            <a:srgbClr val="000000">
                                              <a:alpha val="43137"/>
                                            </a:srgbClr>
                                          </a:outerShdw>
                                        </a:effectLst>
                                        <a:latin typeface="Calibri" pitchFamily="34" charset="0"/>
                                      </a:rPr>
                                      <a:t>Trading Services</a:t>
                                    </a:r>
                                    <a:endParaRPr lang="en-US" sz="1600" b="1" cap="none" spc="50" dirty="0">
                                      <a:ln w="11430"/>
                                      <a:solidFill>
                                        <a:srgbClr val="C00000"/>
                                      </a:solidFill>
                                      <a:effectLst>
                                        <a:outerShdw blurRad="38100" dist="38100" dir="2700000" algn="tl" rotWithShape="0">
                                          <a:srgbClr val="000000">
                                            <a:alpha val="43137"/>
                                          </a:srgbClr>
                                        </a:outerShdw>
                                      </a:effectLst>
                                      <a:latin typeface="Calibri" pitchFamily="34" charset="0"/>
                                    </a:endParaRPr>
                                  </a:p>
                                </a:txBody>
                                <a:useSpRect/>
                              </a:txSp>
                            </a:sp>
                            <a:sp>
                              <a:nvSpPr>
                                <a:cNvPr id="55" name="AutoShape 27"/>
                                <a:cNvSpPr>
                                  <a:spLocks noChangeArrowheads="1"/>
                                </a:cNvSpPr>
                              </a:nvSpPr>
                              <a:spPr bwMode="auto">
                                <a:xfrm>
                                  <a:off x="228600" y="27492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Equities</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56" name="AutoShape 27"/>
                                <a:cNvSpPr>
                                  <a:spLocks noChangeArrowheads="1"/>
                                </a:cNvSpPr>
                              </a:nvSpPr>
                              <a:spPr bwMode="auto">
                                <a:xfrm>
                                  <a:off x="228600" y="36636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a:solidFill>
                                          <a:schemeClr val="accent3">
                                            <a:lumMod val="50000"/>
                                          </a:schemeClr>
                                        </a:solidFill>
                                        <a:latin typeface="Calibri" pitchFamily="34" charset="0"/>
                                        <a:cs typeface="Times New Roman" pitchFamily="18" charset="0"/>
                                      </a:rPr>
                                      <a:t>Private </a:t>
                                    </a:r>
                                    <a:r>
                                      <a:rPr lang="en-US" sz="1100" dirty="0" smtClean="0">
                                        <a:solidFill>
                                          <a:schemeClr val="accent3">
                                            <a:lumMod val="50000"/>
                                          </a:schemeClr>
                                        </a:solidFill>
                                        <a:latin typeface="Calibri" pitchFamily="34" charset="0"/>
                                        <a:cs typeface="Times New Roman" pitchFamily="18" charset="0"/>
                                      </a:rPr>
                                      <a:t>Equity</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sp>
                              <a:nvSpPr>
                                <a:cNvPr id="60" name="AutoShape 27"/>
                                <a:cNvSpPr>
                                  <a:spLocks noChangeArrowheads="1"/>
                                </a:cNvSpPr>
                              </a:nvSpPr>
                              <a:spPr bwMode="auto">
                                <a:xfrm>
                                  <a:off x="1600200" y="3663662"/>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Commodities </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a:grpSp>
                          <a:grpSp>
                            <a:nvGrpSpPr>
                              <a:cNvPr id="16" name="Group 77"/>
                              <a:cNvGrpSpPr/>
                            </a:nvGrpSpPr>
                            <a:grpSpPr>
                              <a:xfrm>
                                <a:off x="91440" y="4335780"/>
                                <a:ext cx="2926080" cy="2057400"/>
                                <a:chOff x="91440" y="4267200"/>
                                <a:chExt cx="2926080" cy="2057400"/>
                              </a:xfrm>
                            </a:grpSpPr>
                            <a:sp>
                              <a:nvSpPr>
                                <a:cNvPr id="66" name="Rounded Rectangle 65"/>
                                <a:cNvSpPr/>
                              </a:nvSpPr>
                              <a:spPr bwMode="auto">
                                <a:xfrm>
                                  <a:off x="91440" y="4312920"/>
                                  <a:ext cx="2926080" cy="2011680"/>
                                </a:xfrm>
                                <a:prstGeom prst="roundRect">
                                  <a:avLst/>
                                </a:prstGeom>
                                <a:solidFill>
                                  <a:schemeClr val="bg1"/>
                                </a:solidFill>
                                <a:ln w="19050">
                                  <a:headEnd type="none" w="med" len="med"/>
                                  <a:tailEnd type="none" w="med" len="med"/>
                                </a:ln>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1" name="AutoShape 134"/>
                                <a:cNvSpPr>
                                  <a:spLocks noChangeArrowheads="1"/>
                                </a:cNvSpPr>
                              </a:nvSpPr>
                              <a:spPr bwMode="auto">
                                <a:xfrm>
                                  <a:off x="287655" y="4591050"/>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Cash Txns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3" name="AutoShape 134"/>
                                <a:cNvSpPr>
                                  <a:spLocks noChangeArrowheads="1"/>
                                </a:cNvSpPr>
                              </a:nvSpPr>
                              <a:spPr bwMode="auto">
                                <a:xfrm>
                                  <a:off x="1630680" y="4591050"/>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Collaterals   Txns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48" name="Rectangle 47"/>
                                <a:cNvSpPr/>
                              </a:nvSpPr>
                              <a:spPr>
                                <a:xfrm>
                                  <a:off x="536606" y="4267200"/>
                                  <a:ext cx="2035749" cy="338554"/>
                                </a:xfrm>
                                <a:prstGeom prst="rect">
                                  <a:avLst/>
                                </a:prstGeom>
                                <a:noFill/>
                                <a:ln>
                                  <a:noFill/>
                                </a:ln>
                              </a:spPr>
                              <a:txSp>
                                <a:txBody>
                                  <a:bodyPr wrap="squar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600" b="1" cap="none" spc="50" dirty="0" smtClean="0">
                                        <a:ln w="11430"/>
                                        <a:solidFill>
                                          <a:srgbClr val="C00000"/>
                                        </a:solidFill>
                                        <a:effectLst>
                                          <a:outerShdw blurRad="38100" dist="38100" dir="2700000" algn="tl" rotWithShape="0">
                                            <a:srgbClr val="000000">
                                              <a:alpha val="43137"/>
                                            </a:srgbClr>
                                          </a:outerShdw>
                                        </a:effectLst>
                                        <a:latin typeface="Calibri" pitchFamily="34" charset="0"/>
                                      </a:rPr>
                                      <a:t>Transaction Services</a:t>
                                    </a:r>
                                    <a:endParaRPr lang="en-US" sz="1600" b="1" cap="none" spc="50" dirty="0">
                                      <a:ln w="11430"/>
                                      <a:solidFill>
                                        <a:srgbClr val="C00000"/>
                                      </a:solidFill>
                                      <a:effectLst>
                                        <a:outerShdw blurRad="38100" dist="38100" dir="2700000" algn="tl" rotWithShape="0">
                                          <a:srgbClr val="000000">
                                            <a:alpha val="43137"/>
                                          </a:srgbClr>
                                        </a:outerShdw>
                                      </a:effectLst>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67" name="AutoShape 134"/>
                                <a:cNvSpPr>
                                  <a:spLocks noChangeArrowheads="1"/>
                                </a:cNvSpPr>
                              </a:nvSpPr>
                              <a:spPr bwMode="auto">
                                <a:xfrm>
                                  <a:off x="287655" y="5015865"/>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Margin Funding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68" name="AutoShape 134"/>
                                <a:cNvSpPr>
                                  <a:spLocks noChangeArrowheads="1"/>
                                </a:cNvSpPr>
                              </a:nvSpPr>
                              <a:spPr bwMode="auto">
                                <a:xfrm>
                                  <a:off x="1630680" y="5015865"/>
                                  <a:ext cx="1188720" cy="365760"/>
                                </a:xfrm>
                                <a:prstGeom prst="roundRect">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Securities  Loan</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69" name="AutoShape 134"/>
                                <a:cNvSpPr>
                                  <a:spLocks noChangeArrowheads="1"/>
                                </a:cNvSpPr>
                              </a:nvSpPr>
                              <a:spPr bwMode="auto">
                                <a:xfrm>
                                  <a:off x="287655" y="5448300"/>
                                  <a:ext cx="1188720" cy="365760"/>
                                </a:xfrm>
                                <a:prstGeom prst="roundRect">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Foreign Exchange Txns</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0" name="AutoShape 134"/>
                                <a:cNvSpPr>
                                  <a:spLocks noChangeArrowheads="1"/>
                                </a:cNvSpPr>
                              </a:nvSpPr>
                              <a:spPr bwMode="auto">
                                <a:xfrm>
                                  <a:off x="1630680" y="5448300"/>
                                  <a:ext cx="1188720" cy="365760"/>
                                </a:xfrm>
                                <a:prstGeom prst="roundRect">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Brokerage Payments   </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sp>
                              <a:nvSpPr>
                                <a:cNvPr id="72" name="AutoShape 134"/>
                                <a:cNvSpPr>
                                  <a:spLocks noChangeArrowheads="1"/>
                                </a:cNvSpPr>
                              </a:nvSpPr>
                              <a:spPr bwMode="auto">
                                <a:xfrm>
                                  <a:off x="960120" y="5867400"/>
                                  <a:ext cx="1188720" cy="365760"/>
                                </a:xfrm>
                                <a:prstGeom prst="roundRect">
                                  <a:avLst/>
                                </a:prstGeom>
                                <a:ln w="12700">
                                  <a:headEnd type="none" w="sm" len="sm"/>
                                  <a:tailEnd type="none" w="sm" len="sm"/>
                                </a:ln>
                              </a:spPr>
                              <a:txSp>
                                <a:txBody>
                                  <a:bodyPr wrap="square" lIns="0" tIns="0" rIns="0" bIns="0" anchor="ctr">
                                    <a:normAutofit lnSpcReduction="10000"/>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0070C0"/>
                                        </a:solidFill>
                                        <a:latin typeface="Calibri" pitchFamily="34" charset="0"/>
                                      </a:rPr>
                                      <a:t> Income, Overdraft, Sweep In Txns</a:t>
                                    </a:r>
                                    <a:endParaRPr lang="en-US" sz="1100" dirty="0">
                                      <a:solidFill>
                                        <a:srgbClr val="0070C0"/>
                                      </a:solidFill>
                                      <a:latin typeface="Calibri" pitchFamily="34" charset="0"/>
                                    </a:endParaRPr>
                                  </a:p>
                                </a:txBody>
                                <a:useSpRect/>
                              </a:txSp>
                              <a:style>
                                <a:lnRef idx="2">
                                  <a:schemeClr val="accent5"/>
                                </a:lnRef>
                                <a:fillRef idx="1">
                                  <a:schemeClr val="lt1"/>
                                </a:fillRef>
                                <a:effectRef idx="0">
                                  <a:schemeClr val="accent5"/>
                                </a:effectRef>
                                <a:fontRef idx="minor">
                                  <a:schemeClr val="dk1"/>
                                </a:fontRef>
                              </a:style>
                            </a:sp>
                          </a:grpSp>
                          <a:grpSp>
                            <a:nvGrpSpPr>
                              <a:cNvPr id="17" name="Group 80"/>
                              <a:cNvGrpSpPr/>
                            </a:nvGrpSpPr>
                            <a:grpSpPr>
                              <a:xfrm>
                                <a:off x="6065520" y="800100"/>
                                <a:ext cx="2926080" cy="2190750"/>
                                <a:chOff x="5930900" y="942975"/>
                                <a:chExt cx="2926080" cy="2190750"/>
                              </a:xfrm>
                            </a:grpSpPr>
                            <a:sp>
                              <a:nvSpPr>
                                <a:cNvPr id="35" name="Rounded Rectangle 34"/>
                                <a:cNvSpPr/>
                              </a:nvSpPr>
                              <a:spPr bwMode="auto">
                                <a:xfrm>
                                  <a:off x="5930900" y="942975"/>
                                  <a:ext cx="2926080" cy="2190750"/>
                                </a:xfrm>
                                <a:prstGeom prst="roundRect">
                                  <a:avLst/>
                                </a:prstGeom>
                                <a:solidFill>
                                  <a:schemeClr val="bg1"/>
                                </a:solidFill>
                                <a:ln w="19050" cap="flat" cmpd="sng" algn="ctr">
                                  <a:solidFill>
                                    <a:srgbClr val="FF66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1200" i="0" u="none" strike="noStrike" cap="none" normalizeH="0" baseline="0" dirty="0" smtClean="0">
                                      <a:ln>
                                        <a:noFill/>
                                      </a:ln>
                                      <a:solidFill>
                                        <a:schemeClr val="bg1"/>
                                      </a:solidFill>
                                      <a:effectLst/>
                                      <a:latin typeface="Calibri" pitchFamily="34" charset="0"/>
                                    </a:endParaRPr>
                                  </a:p>
                                </a:txBody>
                                <a:useSpRect/>
                              </a:txSp>
                            </a:sp>
                            <a:sp>
                              <a:nvSpPr>
                                <a:cNvPr id="21" name="AutoShape 177"/>
                                <a:cNvSpPr>
                                  <a:spLocks noChangeArrowheads="1"/>
                                </a:cNvSpPr>
                              </a:nvSpPr>
                              <a:spPr bwMode="auto">
                                <a:xfrm>
                                  <a:off x="6164580" y="12954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Hedge Funds</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22" name="AutoShape 177"/>
                                <a:cNvSpPr>
                                  <a:spLocks noChangeArrowheads="1"/>
                                </a:cNvSpPr>
                              </a:nvSpPr>
                              <a:spPr bwMode="auto">
                                <a:xfrm>
                                  <a:off x="6164580" y="17399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Position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5" name="AutoShape 177"/>
                                <a:cNvSpPr>
                                  <a:spLocks noChangeArrowheads="1"/>
                                </a:cNvSpPr>
                              </a:nvSpPr>
                              <a:spPr bwMode="auto">
                                <a:xfrm>
                                  <a:off x="7498080" y="17399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Collaterals</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6" name="AutoShape 177"/>
                                <a:cNvSpPr>
                                  <a:spLocks noChangeArrowheads="1"/>
                                </a:cNvSpPr>
                              </a:nvSpPr>
                              <a:spPr bwMode="auto">
                                <a:xfrm>
                                  <a:off x="7498080" y="1295400"/>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Institutional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79" name="Rectangle 78"/>
                                <a:cNvSpPr/>
                              </a:nvSpPr>
                              <a:spPr>
                                <a:xfrm>
                                  <a:off x="6343589" y="942975"/>
                                  <a:ext cx="2100703" cy="338554"/>
                                </a:xfrm>
                                <a:prstGeom prst="rect">
                                  <a:avLst/>
                                </a:prstGeom>
                                <a:noFill/>
                              </a:spPr>
                              <a:txSp>
                                <a:txBody>
                                  <a:bodyPr wrap="none" lIns="91440" tIns="45720" rIns="91440" bIns="45720">
                                    <a:spAutoFit/>
                                    <a:scene3d>
                                      <a:camera prst="orthographicFront"/>
                                      <a:lightRig rig="soft" dir="tl">
                                        <a:rot lat="0" lon="0" rev="0"/>
                                      </a:lightRig>
                                    </a:scene3d>
                                    <a:sp3d contourW="25400" prstMaterial="matte">
                                      <a:bevelT w="25400" h="55880" prst="artDeco"/>
                                      <a:contourClr>
                                        <a:schemeClr val="accent2">
                                          <a:tint val="20000"/>
                                        </a:schemeClr>
                                      </a:contourClr>
                                    </a:sp3d>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600" b="1" cap="none" spc="50" dirty="0" smtClean="0">
                                        <a:ln w="11430"/>
                                        <a:solidFill>
                                          <a:srgbClr val="C00000"/>
                                        </a:solidFill>
                                        <a:effectLst>
                                          <a:outerShdw blurRad="38100" dist="38100" dir="2700000" algn="tl" rotWithShape="0">
                                            <a:srgbClr val="000000">
                                              <a:alpha val="43137"/>
                                            </a:srgbClr>
                                          </a:outerShdw>
                                        </a:effectLst>
                                        <a:latin typeface="Calibri" pitchFamily="34" charset="0"/>
                                      </a:rPr>
                                      <a:t>Risk / Margin Mgmt </a:t>
                                    </a:r>
                                    <a:endParaRPr lang="en-US" sz="1600" b="1" cap="none" spc="50" dirty="0">
                                      <a:ln w="11430"/>
                                      <a:solidFill>
                                        <a:srgbClr val="C00000"/>
                                      </a:solidFill>
                                      <a:effectLst>
                                        <a:outerShdw blurRad="38100" dist="38100" dir="2700000" algn="tl" rotWithShape="0">
                                          <a:srgbClr val="000000">
                                            <a:alpha val="43137"/>
                                          </a:srgbClr>
                                        </a:outerShdw>
                                      </a:effectLst>
                                      <a:latin typeface="Calibri" pitchFamily="34" charset="0"/>
                                    </a:endParaRPr>
                                  </a:p>
                                </a:txBody>
                                <a:useSpRect/>
                              </a:txSp>
                            </a:sp>
                            <a:sp>
                              <a:nvSpPr>
                                <a:cNvPr id="80" name="AutoShape 177"/>
                                <a:cNvSpPr>
                                  <a:spLocks noChangeArrowheads="1"/>
                                </a:cNvSpPr>
                              </a:nvSpPr>
                              <a:spPr bwMode="auto">
                                <a:xfrm>
                                  <a:off x="6840855" y="2619375"/>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Private Equity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2" name="AutoShape 177"/>
                                <a:cNvSpPr>
                                  <a:spLocks noChangeArrowheads="1"/>
                                </a:cNvSpPr>
                              </a:nvSpPr>
                              <a:spPr bwMode="auto">
                                <a:xfrm>
                                  <a:off x="7498080" y="2181225"/>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Foreign Exchange   </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sp>
                              <a:nvSpPr>
                                <a:cNvPr id="83" name="AutoShape 177"/>
                                <a:cNvSpPr>
                                  <a:spLocks noChangeArrowheads="1"/>
                                </a:cNvSpPr>
                              </a:nvSpPr>
                              <a:spPr bwMode="auto">
                                <a:xfrm>
                                  <a:off x="6164580" y="2181225"/>
                                  <a:ext cx="1188720" cy="365760"/>
                                </a:xfrm>
                                <a:prstGeom prst="roundRect">
                                  <a:avLst>
                                    <a:gd name="adj" fmla="val 16667"/>
                                  </a:avLst>
                                </a:prstGeom>
                                <a:ln w="12700">
                                  <a:solidFill>
                                    <a:schemeClr val="accent6">
                                      <a:lumMod val="75000"/>
                                    </a:schemeClr>
                                  </a:solidFill>
                                  <a:headEnd type="none" w="sm" len="sm"/>
                                  <a:tailEnd type="none" w="sm" len="sm"/>
                                </a:ln>
                              </a:spPr>
                              <a:txSp>
                                <a:txBody>
                                  <a:bodyPr wrap="square" lIns="0" tIns="0" rIns="0" bIns="0" anchor="ctr">
                                    <a:no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rgbClr val="FF3300"/>
                                        </a:solidFill>
                                        <a:latin typeface="Calibri" pitchFamily="34" charset="0"/>
                                        <a:ea typeface="Times New Roman" pitchFamily="18" charset="0"/>
                                        <a:cs typeface="Trebuchet MS" pitchFamily="34" charset="0"/>
                                      </a:rPr>
                                      <a:t>  Margin  Tracking</a:t>
                                    </a:r>
                                    <a:endParaRPr lang="en-US" sz="1100" dirty="0">
                                      <a:solidFill>
                                        <a:srgbClr val="FF3300"/>
                                      </a:solidFill>
                                      <a:latin typeface="Calibri" pitchFamily="34" charset="0"/>
                                      <a:ea typeface="Times New Roman" pitchFamily="18" charset="0"/>
                                      <a:cs typeface="Trebuchet MS" pitchFamily="34" charset="0"/>
                                    </a:endParaRPr>
                                  </a:p>
                                </a:txBody>
                                <a:useSpRect/>
                              </a:txSp>
                              <a:style>
                                <a:lnRef idx="2">
                                  <a:schemeClr val="accent2"/>
                                </a:lnRef>
                                <a:fillRef idx="1">
                                  <a:schemeClr val="lt1"/>
                                </a:fillRef>
                                <a:effectRef idx="0">
                                  <a:schemeClr val="accent2"/>
                                </a:effectRef>
                                <a:fontRef idx="minor">
                                  <a:schemeClr val="dk1"/>
                                </a:fontRef>
                              </a:style>
                            </a:sp>
                          </a:grpSp>
                          <a:sp>
                            <a:nvSpPr>
                              <a:cNvPr id="90" name="Right Arrow 89"/>
                              <a:cNvSpPr/>
                            </a:nvSpPr>
                            <a:spPr bwMode="auto">
                              <a:xfrm rot="5400000">
                                <a:off x="1371600" y="4067175"/>
                                <a:ext cx="30480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sp>
                            <a:nvSpPr>
                              <a:cNvPr id="57" name="Right Arrow 56"/>
                              <a:cNvSpPr/>
                            </a:nvSpPr>
                            <a:spPr bwMode="auto">
                              <a:xfrm rot="5400000">
                                <a:off x="1371600" y="2095500"/>
                                <a:ext cx="304800" cy="304800"/>
                              </a:xfrm>
                              <a:prstGeom prst="rightArrow">
                                <a:avLst/>
                              </a:prstGeom>
                              <a:solidFill>
                                <a:srgbClr val="FF6600"/>
                              </a:solidFill>
                              <a:ln w="9525" cap="flat" cmpd="sng" algn="ctr">
                                <a:solidFill>
                                  <a:srgbClr val="000000"/>
                                </a:solidFill>
                                <a:prstDash val="solid"/>
                                <a:round/>
                                <a:headEnd type="none" w="med" len="med"/>
                                <a:tailEnd type="none" w="med" len="med"/>
                              </a:ln>
                              <a:effectLst/>
                            </a:spPr>
                            <a:txSp>
                              <a:txBody>
                                <a:bodyPr vert="horz" wrap="square" lIns="91440" tIns="45720" rIns="91440" bIns="45720" numCol="1" rtlCol="0" anchor="t" anchorCtr="0" compatLnSpc="1">
                                  <a:prstTxWarp prst="textNoShape">
                                    <a:avLst/>
                                  </a:prstTxWarp>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endParaRPr kumimoji="0" lang="en-US" sz="2400" i="0" u="none" strike="noStrike" cap="none" normalizeH="0" baseline="0" dirty="0" smtClean="0">
                                    <a:ln>
                                      <a:noFill/>
                                    </a:ln>
                                    <a:solidFill>
                                      <a:schemeClr val="bg1"/>
                                    </a:solidFill>
                                    <a:effectLst/>
                                    <a:latin typeface="Book Antiqua" pitchFamily="18" charset="0"/>
                                  </a:endParaRPr>
                                </a:p>
                              </a:txBody>
                              <a:useSpRect/>
                            </a:txSp>
                          </a:sp>
                        </a:grpSp>
                        <a:sp>
                          <a:nvSpPr>
                            <a:cNvPr id="87" name="AutoShape 27"/>
                            <a:cNvSpPr>
                              <a:spLocks noChangeArrowheads="1"/>
                            </a:cNvSpPr>
                          </a:nvSpPr>
                          <a:spPr bwMode="auto">
                            <a:xfrm>
                              <a:off x="1600200" y="2682240"/>
                              <a:ext cx="1188720" cy="365760"/>
                            </a:xfrm>
                            <a:prstGeom prst="roundRect">
                              <a:avLst>
                                <a:gd name="adj" fmla="val 16667"/>
                              </a:avLst>
                            </a:prstGeom>
                            <a:ln w="12700">
                              <a:headEnd type="none" w="sm" len="sm"/>
                              <a:tailEnd type="none" w="sm" len="sm"/>
                            </a:ln>
                          </a:spPr>
                          <a:txSp>
                            <a:txBody>
                              <a:bodyPr wrap="square" lIns="0" tIns="0" rIns="0" bIns="0" anchor="ctr">
                                <a:normAutofit/>
                              </a:bodyPr>
                              <a:lstStyle>
                                <a:defPPr>
                                  <a:defRPr lang="en-US"/>
                                </a:defPPr>
                                <a:lvl1pPr marL="0" algn="l" defTabSz="914400" rtl="0" eaLnBrk="1" latinLnBrk="0" hangingPunct="1">
                                  <a:defRPr sz="1800" kern="1200">
                                    <a:solidFill>
                                      <a:schemeClr val="dk1"/>
                                    </a:solidFill>
                                    <a:latin typeface="+mn-lt"/>
                                    <a:ea typeface="+mn-ea"/>
                                    <a:cs typeface="+mn-cs"/>
                                  </a:defRPr>
                                </a:lvl1pPr>
                                <a:lvl2pPr marL="457200" algn="l" defTabSz="914400" rtl="0" eaLnBrk="1" latinLnBrk="0" hangingPunct="1">
                                  <a:defRPr sz="1800" kern="1200">
                                    <a:solidFill>
                                      <a:schemeClr val="dk1"/>
                                    </a:solidFill>
                                    <a:latin typeface="+mn-lt"/>
                                    <a:ea typeface="+mn-ea"/>
                                    <a:cs typeface="+mn-cs"/>
                                  </a:defRPr>
                                </a:lvl2pPr>
                                <a:lvl3pPr marL="914400" algn="l" defTabSz="914400" rtl="0" eaLnBrk="1" latinLnBrk="0" hangingPunct="1">
                                  <a:defRPr sz="1800" kern="1200">
                                    <a:solidFill>
                                      <a:schemeClr val="dk1"/>
                                    </a:solidFill>
                                    <a:latin typeface="+mn-lt"/>
                                    <a:ea typeface="+mn-ea"/>
                                    <a:cs typeface="+mn-cs"/>
                                  </a:defRPr>
                                </a:lvl3pPr>
                                <a:lvl4pPr marL="1371600" algn="l" defTabSz="914400" rtl="0" eaLnBrk="1" latinLnBrk="0" hangingPunct="1">
                                  <a:defRPr sz="1800" kern="1200">
                                    <a:solidFill>
                                      <a:schemeClr val="dk1"/>
                                    </a:solidFill>
                                    <a:latin typeface="+mn-lt"/>
                                    <a:ea typeface="+mn-ea"/>
                                    <a:cs typeface="+mn-cs"/>
                                  </a:defRPr>
                                </a:lvl4pPr>
                                <a:lvl5pPr marL="1828800" algn="l" defTabSz="914400" rtl="0" eaLnBrk="1" latinLnBrk="0" hangingPunct="1">
                                  <a:defRPr sz="1800" kern="1200">
                                    <a:solidFill>
                                      <a:schemeClr val="dk1"/>
                                    </a:solidFill>
                                    <a:latin typeface="+mn-lt"/>
                                    <a:ea typeface="+mn-ea"/>
                                    <a:cs typeface="+mn-cs"/>
                                  </a:defRPr>
                                </a:lvl5pPr>
                                <a:lvl6pPr marL="2286000" algn="l" defTabSz="914400" rtl="0" eaLnBrk="1" latinLnBrk="0" hangingPunct="1">
                                  <a:defRPr sz="1800" kern="1200">
                                    <a:solidFill>
                                      <a:schemeClr val="dk1"/>
                                    </a:solidFill>
                                    <a:latin typeface="+mn-lt"/>
                                    <a:ea typeface="+mn-ea"/>
                                    <a:cs typeface="+mn-cs"/>
                                  </a:defRPr>
                                </a:lvl6pPr>
                                <a:lvl7pPr marL="2743200" algn="l" defTabSz="914400" rtl="0" eaLnBrk="1" latinLnBrk="0" hangingPunct="1">
                                  <a:defRPr sz="1800" kern="1200">
                                    <a:solidFill>
                                      <a:schemeClr val="dk1"/>
                                    </a:solidFill>
                                    <a:latin typeface="+mn-lt"/>
                                    <a:ea typeface="+mn-ea"/>
                                    <a:cs typeface="+mn-cs"/>
                                  </a:defRPr>
                                </a:lvl7pPr>
                                <a:lvl8pPr marL="3200400" algn="l" defTabSz="914400" rtl="0" eaLnBrk="1" latinLnBrk="0" hangingPunct="1">
                                  <a:defRPr sz="1800" kern="1200">
                                    <a:solidFill>
                                      <a:schemeClr val="dk1"/>
                                    </a:solidFill>
                                    <a:latin typeface="+mn-lt"/>
                                    <a:ea typeface="+mn-ea"/>
                                    <a:cs typeface="+mn-cs"/>
                                  </a:defRPr>
                                </a:lvl8pPr>
                                <a:lvl9pPr marL="3657600" algn="l" defTabSz="914400" rtl="0" eaLnBrk="1" latinLnBrk="0" hangingPunct="1">
                                  <a:defRPr sz="1800" kern="1200">
                                    <a:solidFill>
                                      <a:schemeClr val="dk1"/>
                                    </a:solidFill>
                                    <a:latin typeface="+mn-lt"/>
                                    <a:ea typeface="+mn-ea"/>
                                    <a:cs typeface="+mn-cs"/>
                                  </a:defRPr>
                                </a:lvl9pPr>
                              </a:lstStyle>
                              <a:p>
                                <a:pPr algn="ctr"/>
                                <a:r>
                                  <a:rPr lang="en-US" sz="1100" dirty="0" smtClean="0">
                                    <a:solidFill>
                                      <a:schemeClr val="accent3">
                                        <a:lumMod val="50000"/>
                                      </a:schemeClr>
                                    </a:solidFill>
                                    <a:latin typeface="Calibri" pitchFamily="34" charset="0"/>
                                    <a:cs typeface="Times New Roman" pitchFamily="18" charset="0"/>
                                  </a:rPr>
                                  <a:t>Fixed Income</a:t>
                                </a:r>
                                <a:endParaRPr lang="en-US" sz="1100" dirty="0">
                                  <a:solidFill>
                                    <a:schemeClr val="accent3">
                                      <a:lumMod val="50000"/>
                                    </a:schemeClr>
                                  </a:solidFill>
                                  <a:latin typeface="Calibri" pitchFamily="34" charset="0"/>
                                  <a:cs typeface="Times New Roman" pitchFamily="18" charset="0"/>
                                </a:endParaRPr>
                              </a:p>
                            </a:txBody>
                            <a:useSpRect/>
                          </a:txSp>
                          <a:style>
                            <a:lnRef idx="2">
                              <a:schemeClr val="accent3"/>
                            </a:lnRef>
                            <a:fillRef idx="1">
                              <a:schemeClr val="lt1"/>
                            </a:fillRef>
                            <a:effectRef idx="0">
                              <a:schemeClr val="accent3"/>
                            </a:effectRef>
                            <a:fontRef idx="minor">
                              <a:schemeClr val="dk1"/>
                            </a:fontRef>
                          </a:style>
                        </a:sp>
                      </lc:lockedCanvas>
                    </a:graphicData>
                  </a:graphic>
                </wp:inline>
              </w:drawing>
            </w:r>
          </w:p>
          <w:p w:rsidR="000D6033" w:rsidRPr="005B6DCD" w:rsidRDefault="000D6033" w:rsidP="00E3230A">
            <w:pPr>
              <w:pStyle w:val="BodyPara1"/>
              <w:rPr>
                <w:rFonts w:asciiTheme="minorHAnsi" w:hAnsiTheme="minorHAnsi" w:cs="Times New Roman"/>
                <w:color w:val="3F3F3F"/>
                <w:szCs w:val="22"/>
                <w:lang w:val="en-US" w:bidi="en-US"/>
              </w:rPr>
            </w:pPr>
            <w:r w:rsidRPr="005B6DCD">
              <w:rPr>
                <w:rFonts w:asciiTheme="minorHAnsi" w:hAnsiTheme="minorHAnsi" w:cs="Times New Roman"/>
                <w:color w:val="3F3F3F"/>
                <w:szCs w:val="22"/>
                <w:lang w:val="en-US" w:bidi="en-US"/>
              </w:rPr>
              <w:t xml:space="preserve">The following sections highlight how Hexaware is placed to service these business processes and the key differentiators in terms </w:t>
            </w:r>
            <w:r w:rsidR="00892FF5" w:rsidRPr="005B6DCD">
              <w:rPr>
                <w:rFonts w:asciiTheme="minorHAnsi" w:hAnsiTheme="minorHAnsi" w:cs="Times New Roman"/>
                <w:color w:val="3F3F3F"/>
                <w:szCs w:val="22"/>
                <w:lang w:val="en-US" w:bidi="en-US"/>
              </w:rPr>
              <w:t>of specific</w:t>
            </w:r>
            <w:r w:rsidRPr="005B6DCD">
              <w:rPr>
                <w:rFonts w:asciiTheme="minorHAnsi" w:hAnsiTheme="minorHAnsi" w:cs="Times New Roman"/>
                <w:color w:val="3F3F3F"/>
                <w:szCs w:val="22"/>
                <w:lang w:val="en-US" w:bidi="en-US"/>
              </w:rPr>
              <w:t xml:space="preserve"> domain knowledge relevant to the business units, expertise in related </w:t>
            </w:r>
            <w:r w:rsidR="00892FF5" w:rsidRPr="005B6DCD">
              <w:rPr>
                <w:rFonts w:asciiTheme="minorHAnsi" w:hAnsiTheme="minorHAnsi" w:cs="Times New Roman"/>
                <w:color w:val="3F3F3F"/>
                <w:szCs w:val="22"/>
                <w:lang w:val="en-US" w:bidi="en-US"/>
              </w:rPr>
              <w:t>products,</w:t>
            </w:r>
            <w:r w:rsidRPr="005B6DCD">
              <w:rPr>
                <w:rFonts w:asciiTheme="minorHAnsi" w:hAnsiTheme="minorHAnsi" w:cs="Times New Roman"/>
                <w:color w:val="3F3F3F"/>
                <w:szCs w:val="22"/>
                <w:lang w:val="en-US" w:bidi="en-US"/>
              </w:rPr>
              <w:t xml:space="preserve"> tools and technologies.</w:t>
            </w:r>
          </w:p>
          <w:p w:rsidR="00E83338" w:rsidRPr="00C06AAD" w:rsidRDefault="000D6033" w:rsidP="006E0EFA">
            <w:pPr>
              <w:jc w:val="left"/>
              <w:rPr>
                <w:rFonts w:asciiTheme="minorHAnsi" w:hAnsiTheme="minorHAnsi" w:cs="Arial"/>
                <w:sz w:val="24"/>
                <w:szCs w:val="24"/>
              </w:rPr>
            </w:pPr>
            <w:r w:rsidRPr="00873938">
              <w:rPr>
                <w:rFonts w:asciiTheme="minorHAnsi" w:hAnsiTheme="minorHAnsi" w:cs="Arial"/>
                <w:sz w:val="22"/>
              </w:rPr>
              <w:lastRenderedPageBreak/>
              <w:br w:type="page"/>
            </w:r>
            <w:r w:rsidR="00E83338" w:rsidRPr="00C06AAD">
              <w:rPr>
                <w:rFonts w:asciiTheme="minorHAnsi" w:hAnsiTheme="minorHAnsi" w:cs="Arial"/>
                <w:b/>
                <w:color w:val="000080"/>
                <w:sz w:val="24"/>
                <w:szCs w:val="24"/>
                <w:u w:val="single"/>
                <w:lang w:val="en-GB"/>
              </w:rPr>
              <w:t>Domain Experience</w:t>
            </w:r>
          </w:p>
          <w:p w:rsidR="000D6033" w:rsidRPr="00071EFC" w:rsidRDefault="000D6033" w:rsidP="006E0EFA">
            <w:pPr>
              <w:pStyle w:val="BodyPara1"/>
              <w:spacing w:line="276" w:lineRule="auto"/>
              <w:rPr>
                <w:rFonts w:asciiTheme="minorHAnsi" w:hAnsiTheme="minorHAnsi" w:cs="Times New Roman"/>
                <w:color w:val="3F3F3F"/>
                <w:szCs w:val="22"/>
                <w:lang w:val="en-US" w:bidi="en-US"/>
              </w:rPr>
            </w:pPr>
            <w:r w:rsidRPr="00071EFC">
              <w:rPr>
                <w:rFonts w:asciiTheme="minorHAnsi" w:hAnsiTheme="minorHAnsi" w:cs="Times New Roman"/>
                <w:color w:val="3F3F3F"/>
                <w:szCs w:val="22"/>
                <w:lang w:val="en-US" w:bidi="en-US"/>
              </w:rPr>
              <w:t>Our experience i</w:t>
            </w:r>
            <w:r w:rsidR="00BB09B6" w:rsidRPr="00071EFC">
              <w:rPr>
                <w:rFonts w:asciiTheme="minorHAnsi" w:hAnsiTheme="minorHAnsi" w:cs="Times New Roman"/>
                <w:color w:val="3F3F3F"/>
                <w:szCs w:val="22"/>
                <w:lang w:val="en-US" w:bidi="en-US"/>
              </w:rPr>
              <w:t>n the business domain areas is described below.</w:t>
            </w:r>
          </w:p>
          <w:p w:rsidR="000D6033" w:rsidRPr="00C06AAD" w:rsidRDefault="000D6033" w:rsidP="006E0EFA">
            <w:pPr>
              <w:pStyle w:val="BodyPara1"/>
              <w:spacing w:line="276" w:lineRule="auto"/>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Front Office</w:t>
            </w:r>
          </w:p>
          <w:p w:rsidR="000D6033" w:rsidRPr="00873938" w:rsidRDefault="000D6033" w:rsidP="000D6033">
            <w:pPr>
              <w:pStyle w:val="BodyPara1"/>
              <w:jc w:val="center"/>
              <w:rPr>
                <w:rFonts w:asciiTheme="minorHAnsi" w:hAnsiTheme="minorHAnsi" w:cs="Arial"/>
                <w:szCs w:val="22"/>
                <w:lang w:val="en-US"/>
              </w:rPr>
            </w:pPr>
            <w:r w:rsidRPr="00873938">
              <w:rPr>
                <w:rFonts w:asciiTheme="minorHAnsi" w:hAnsiTheme="minorHAnsi" w:cs="Arial"/>
                <w:noProof/>
                <w:szCs w:val="22"/>
                <w:lang w:val="en-US"/>
              </w:rPr>
              <w:drawing>
                <wp:inline distT="0" distB="0" distL="0" distR="0">
                  <wp:extent cx="4076700" cy="1809750"/>
                  <wp:effectExtent l="19050" t="0" r="0" b="0"/>
                  <wp:docPr id="12" name="Object 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3000" cy="3873500"/>
                            <a:chOff x="228600" y="1765300"/>
                            <a:chExt cx="8763000" cy="3873500"/>
                          </a:xfrm>
                        </a:grpSpPr>
                        <a:sp>
                          <a:nvSpPr>
                            <a:cNvPr id="11" name="Rounded Rectangle 10"/>
                            <a:cNvSpPr/>
                          </a:nvSpPr>
                          <a:spPr>
                            <a:xfrm>
                              <a:off x="4648200" y="2590800"/>
                              <a:ext cx="4267200" cy="2209800"/>
                            </a:xfrm>
                            <a:prstGeom prst="roundRect">
                              <a:avLst/>
                            </a:prstGeom>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800" b="0" i="0" u="none" strike="noStrike" kern="0" cap="none" spc="0" normalizeH="0" baseline="0" noProof="0" dirty="0">
                                  <a:ln>
                                    <a:noFill/>
                                  </a:ln>
                                  <a:solidFill>
                                    <a:sysClr val="windowText" lastClr="000000"/>
                                  </a:solidFill>
                                  <a:effectLst/>
                                  <a:uLnTx/>
                                  <a:uFillTx/>
                                  <a:latin typeface="Calibri"/>
                                  <a:ea typeface="+mn-ea"/>
                                  <a:cs typeface="+mn-cs"/>
                                </a:endParaRPr>
                              </a:p>
                            </a:txBody>
                            <a:useSpRect/>
                          </a:txSp>
                          <a:style>
                            <a:lnRef idx="2">
                              <a:schemeClr val="accent2"/>
                            </a:lnRef>
                            <a:fillRef idx="1">
                              <a:schemeClr val="lt1"/>
                            </a:fillRef>
                            <a:effectRef idx="0">
                              <a:schemeClr val="accent2"/>
                            </a:effectRef>
                            <a:fontRef idx="minor">
                              <a:schemeClr val="dk1"/>
                            </a:fontRef>
                          </a:style>
                        </a:sp>
                        <a:sp>
                          <a:nvSpPr>
                            <a:cNvPr id="12" name="Rounded Rectangle 11"/>
                            <a:cNvSpPr/>
                          </a:nvSpPr>
                          <a:spPr>
                            <a:xfrm>
                              <a:off x="228600" y="1765300"/>
                              <a:ext cx="4267200" cy="3416300"/>
                            </a:xfrm>
                            <a:prstGeom prst="roundRect">
                              <a:avLst/>
                            </a:prstGeom>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800" b="0" i="0" u="none" strike="noStrike" kern="0" cap="none" spc="0" normalizeH="0" baseline="0" noProof="0" dirty="0">
                                  <a:ln>
                                    <a:noFill/>
                                  </a:ln>
                                  <a:solidFill>
                                    <a:sysClr val="windowText" lastClr="000000"/>
                                  </a:solidFill>
                                  <a:effectLst/>
                                  <a:uLnTx/>
                                  <a:uFillTx/>
                                  <a:latin typeface="Calibri"/>
                                  <a:ea typeface="+mn-ea"/>
                                  <a:cs typeface="+mn-cs"/>
                                </a:endParaRPr>
                              </a:p>
                            </a:txBody>
                            <a:useSpRect/>
                          </a:txSp>
                          <a:style>
                            <a:lnRef idx="2">
                              <a:schemeClr val="accent1"/>
                            </a:lnRef>
                            <a:fillRef idx="1">
                              <a:schemeClr val="lt1"/>
                            </a:fillRef>
                            <a:effectRef idx="0">
                              <a:schemeClr val="accent1"/>
                            </a:effectRef>
                            <a:fontRef idx="minor">
                              <a:schemeClr val="dk1"/>
                            </a:fontRef>
                          </a:style>
                        </a:sp>
                        <a:sp>
                          <a:nvSpPr>
                            <a:cNvPr id="13" name="Content Placeholder 2"/>
                            <a:cNvSpPr txBox="1">
                              <a:spLocks/>
                            </a:cNvSpPr>
                          </a:nvSpPr>
                          <a:spPr>
                            <a:xfrm>
                              <a:off x="4724400" y="2819400"/>
                              <a:ext cx="4267200" cy="2057400"/>
                            </a:xfrm>
                            <a:prstGeom prst="rect">
                              <a:avLst/>
                            </a:prstGeom>
                            <a:noFill/>
                            <a:ln w="25400" cap="flat" cmpd="sng" algn="ctr">
                              <a:noFill/>
                              <a:prstDash val="solid"/>
                            </a:ln>
                            <a:effectLst/>
                          </a:spPr>
                          <a:txSp>
                            <a:txBody>
                              <a:bodyPr>
                                <a:normAutofit/>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48640" marR="0" lvl="0" indent="-274320" defTabSz="914400" eaLnBrk="0" fontAlgn="auto" latinLnBrk="0" hangingPunct="0">
                                  <a:lnSpc>
                                    <a:spcPct val="150000"/>
                                  </a:lnSpc>
                                  <a:spcBef>
                                    <a:spcPct val="20000"/>
                                  </a:spcBef>
                                  <a:spcAft>
                                    <a:spcPts val="0"/>
                                  </a:spcAft>
                                  <a:buClr>
                                    <a:srgbClr val="E60000"/>
                                  </a:buClr>
                                  <a:buSzTx/>
                                  <a:buFont typeface="Wingdings" pitchFamily="2" charset="2"/>
                                  <a:buChar char="q"/>
                                  <a:tabLst/>
                                  <a:defRPr/>
                                </a:pPr>
                                <a:r>
                                  <a:rPr kumimoji="0" lang="en-US" sz="1800" b="1" i="0" u="none" strike="noStrike" kern="0" cap="none" spc="0" normalizeH="0" baseline="0" noProof="0" dirty="0" smtClean="0">
                                    <a:ln>
                                      <a:noFill/>
                                    </a:ln>
                                    <a:solidFill>
                                      <a:srgbClr val="0000CC"/>
                                    </a:solidFill>
                                    <a:effectLst/>
                                    <a:uLnTx/>
                                    <a:uFillTx/>
                                    <a:latin typeface="Calibri"/>
                                    <a:ea typeface="+mn-ea"/>
                                    <a:cs typeface="+mn-cs"/>
                                  </a:rPr>
                                  <a:t>Messaging</a:t>
                                </a:r>
                                <a:r>
                                  <a:rPr kumimoji="0" lang="en-US" sz="1200" b="1" i="0" u="none" strike="noStrike" kern="0" cap="none" spc="0" normalizeH="0" noProof="0" dirty="0" smtClean="0">
                                    <a:ln>
                                      <a:noFill/>
                                    </a:ln>
                                    <a:solidFill>
                                      <a:srgbClr val="0000CC"/>
                                    </a:solidFill>
                                    <a:effectLst/>
                                    <a:uLnTx/>
                                    <a:uFillTx/>
                                    <a:latin typeface="Calibri"/>
                                    <a:ea typeface="+mn-ea"/>
                                    <a:cs typeface="+mn-cs"/>
                                  </a:rPr>
                                  <a:t> </a:t>
                                </a:r>
                                <a:r>
                                  <a:rPr kumimoji="0" lang="en-US" sz="1800" b="1" i="0" u="none" strike="noStrike" kern="0" cap="none" spc="0" normalizeH="0" noProof="0" dirty="0" smtClean="0">
                                    <a:ln>
                                      <a:noFill/>
                                    </a:ln>
                                    <a:solidFill>
                                      <a:srgbClr val="0000CC"/>
                                    </a:solidFill>
                                    <a:effectLst/>
                                    <a:uLnTx/>
                                    <a:uFillTx/>
                                    <a:latin typeface="Calibri"/>
                                    <a:ea typeface="+mn-ea"/>
                                    <a:cs typeface="+mn-cs"/>
                                  </a:rPr>
                                  <a:t>Protocols</a:t>
                                </a:r>
                                <a:endParaRPr kumimoji="0" lang="en-US" sz="1200" b="1" i="0" u="none" strike="noStrike" kern="0" cap="none" spc="0" normalizeH="0" baseline="0" noProof="0" dirty="0" smtClean="0">
                                  <a:ln>
                                    <a:noFill/>
                                  </a:ln>
                                  <a:solidFill>
                                    <a:srgbClr val="0000CC"/>
                                  </a:solidFill>
                                  <a:effectLst/>
                                  <a:uLnTx/>
                                  <a:uFillTx/>
                                  <a:latin typeface="Calibri"/>
                                  <a:ea typeface="+mn-ea"/>
                                  <a:cs typeface="+mn-cs"/>
                                </a:endParaRPr>
                              </a:p>
                              <a:p>
                                <a:pPr marL="690563" lvl="2" indent="-233363" algn="just">
                                  <a:lnSpc>
                                    <a:spcPct val="200000"/>
                                  </a:lnSpc>
                                  <a:buClr>
                                    <a:srgbClr val="C00000"/>
                                  </a:buClr>
                                  <a:buFont typeface="Courier New" pitchFamily="49" charset="0"/>
                                  <a:buChar char="o"/>
                                </a:pPr>
                                <a:r>
                                  <a:rPr lang="en-US" sz="1600" b="1" dirty="0" smtClean="0">
                                    <a:solidFill>
                                      <a:srgbClr val="002060"/>
                                    </a:solidFill>
                                    <a:cs typeface="Arial" pitchFamily="34" charset="0"/>
                                  </a:rPr>
                                  <a:t>SWIFT </a:t>
                                </a:r>
                              </a:p>
                              <a:p>
                                <a:pPr marL="690563" lvl="2" indent="-233363" algn="just">
                                  <a:lnSpc>
                                    <a:spcPct val="200000"/>
                                  </a:lnSpc>
                                  <a:buClr>
                                    <a:srgbClr val="C00000"/>
                                  </a:buClr>
                                  <a:buFont typeface="Courier New" pitchFamily="49" charset="0"/>
                                  <a:buChar char="o"/>
                                </a:pPr>
                                <a:r>
                                  <a:rPr lang="en-US" sz="1600" b="1" dirty="0" smtClean="0">
                                    <a:solidFill>
                                      <a:srgbClr val="002060"/>
                                    </a:solidFill>
                                    <a:cs typeface="Arial" pitchFamily="34" charset="0"/>
                                  </a:rPr>
                                  <a:t>FIX  </a:t>
                                </a:r>
                              </a:p>
                              <a:p>
                                <a:pPr marL="690563" lvl="2" indent="-233363" algn="just">
                                  <a:lnSpc>
                                    <a:spcPct val="200000"/>
                                  </a:lnSpc>
                                  <a:buClr>
                                    <a:srgbClr val="C00000"/>
                                  </a:buClr>
                                  <a:buFont typeface="Courier New" pitchFamily="49" charset="0"/>
                                  <a:buChar char="o"/>
                                </a:pPr>
                                <a:r>
                                  <a:rPr lang="en-US" sz="1600" b="1" dirty="0" smtClean="0">
                                    <a:solidFill>
                                      <a:srgbClr val="002060"/>
                                    </a:solidFill>
                                    <a:cs typeface="Arial" pitchFamily="34" charset="0"/>
                                  </a:rPr>
                                  <a:t>XML </a:t>
                                </a:r>
                                <a:endParaRPr lang="en-US" sz="1200" b="1" dirty="0" smtClean="0">
                                  <a:solidFill>
                                    <a:srgbClr val="002060"/>
                                  </a:solidFill>
                                  <a:cs typeface="Arial" pitchFamily="34" charset="0"/>
                                </a:endParaRPr>
                              </a:p>
                              <a:p>
                                <a:pPr marL="1143000" marR="0" lvl="2" indent="-228600" defTabSz="914400" eaLnBrk="1" fontAlgn="auto" latinLnBrk="0" hangingPunct="1">
                                  <a:lnSpc>
                                    <a:spcPct val="120000"/>
                                  </a:lnSpc>
                                  <a:spcBef>
                                    <a:spcPct val="20000"/>
                                  </a:spcBef>
                                  <a:spcAft>
                                    <a:spcPts val="0"/>
                                  </a:spcAft>
                                  <a:buClr>
                                    <a:srgbClr val="E60000"/>
                                  </a:buClr>
                                  <a:buSzTx/>
                                  <a:buFontTx/>
                                  <a:buNone/>
                                  <a:tabLst>
                                    <a:tab pos="292100" algn="l"/>
                                    <a:tab pos="457200" algn="l"/>
                                  </a:tabLst>
                                  <a:defRPr/>
                                </a:pPr>
                                <a:endParaRPr kumimoji="0" lang="en-US" sz="1200" b="0" i="0" u="none" strike="noStrike" kern="0" cap="none" spc="0" normalizeH="0" baseline="0" noProof="0" dirty="0">
                                  <a:ln>
                                    <a:noFill/>
                                  </a:ln>
                                  <a:solidFill>
                                    <a:srgbClr val="0000CC"/>
                                  </a:solidFill>
                                  <a:effectLst/>
                                  <a:uLnTx/>
                                  <a:uFillTx/>
                                  <a:latin typeface="Calibri"/>
                                  <a:ea typeface="+mn-ea"/>
                                  <a:cs typeface="+mn-cs"/>
                                </a:endParaRPr>
                              </a:p>
                              <a:p>
                                <a:pPr marL="1143000" marR="0" lvl="2" indent="-228600" defTabSz="914400" eaLnBrk="1" fontAlgn="auto" latinLnBrk="0" hangingPunct="1">
                                  <a:lnSpc>
                                    <a:spcPct val="120000"/>
                                  </a:lnSpc>
                                  <a:spcBef>
                                    <a:spcPct val="20000"/>
                                  </a:spcBef>
                                  <a:spcAft>
                                    <a:spcPts val="0"/>
                                  </a:spcAft>
                                  <a:buClr>
                                    <a:srgbClr val="E60000"/>
                                  </a:buClr>
                                  <a:buSzTx/>
                                  <a:buFont typeface="Wingdings" pitchFamily="2" charset="2"/>
                                  <a:buChar char="Ø"/>
                                  <a:tabLst>
                                    <a:tab pos="292100" algn="l"/>
                                    <a:tab pos="457200" algn="l"/>
                                  </a:tabLst>
                                  <a:defRPr/>
                                </a:pPr>
                                <a:endParaRPr kumimoji="0" lang="en-US" sz="1200" b="0" i="0" u="none" strike="noStrike" kern="0" cap="none" spc="0" normalizeH="0" baseline="0" noProof="0" dirty="0">
                                  <a:ln>
                                    <a:noFill/>
                                  </a:ln>
                                  <a:solidFill>
                                    <a:srgbClr val="0000CC"/>
                                  </a:solidFill>
                                  <a:effectLst/>
                                  <a:uLnTx/>
                                  <a:uFillTx/>
                                  <a:latin typeface="Calibri"/>
                                  <a:ea typeface="+mn-ea"/>
                                  <a:cs typeface="+mn-cs"/>
                                </a:endParaRPr>
                              </a:p>
                            </a:txBody>
                            <a:useSpRect/>
                          </a:txSp>
                        </a:sp>
                        <a:sp>
                          <a:nvSpPr>
                            <a:cNvPr id="15" name="Content Placeholder 2"/>
                            <a:cNvSpPr txBox="1">
                              <a:spLocks/>
                            </a:cNvSpPr>
                          </a:nvSpPr>
                          <a:spPr>
                            <a:xfrm>
                              <a:off x="304800" y="2133600"/>
                              <a:ext cx="4191000" cy="3505200"/>
                            </a:xfrm>
                            <a:prstGeom prst="rect">
                              <a:avLst/>
                            </a:prstGeom>
                            <a:noFill/>
                            <a:ln w="25400" cap="flat" cmpd="sng" algn="ctr">
                              <a:noFill/>
                              <a:prstDash val="solid"/>
                            </a:ln>
                            <a:effectLst/>
                          </a:spPr>
                          <a:txSp>
                            <a:txBody>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48640" marR="0" lvl="0" indent="-274320" defTabSz="914400" eaLnBrk="0" fontAlgn="auto" latinLnBrk="0" hangingPunct="0">
                                  <a:lnSpc>
                                    <a:spcPct val="120000"/>
                                  </a:lnSpc>
                                  <a:spcBef>
                                    <a:spcPct val="20000"/>
                                  </a:spcBef>
                                  <a:spcAft>
                                    <a:spcPts val="0"/>
                                  </a:spcAft>
                                  <a:buClr>
                                    <a:srgbClr val="E60000"/>
                                  </a:buClr>
                                  <a:buSzTx/>
                                  <a:buFont typeface="Wingdings" pitchFamily="2" charset="2"/>
                                  <a:buChar char="q"/>
                                  <a:tabLst/>
                                  <a:defRPr/>
                                </a:pPr>
                                <a:r>
                                  <a:rPr kumimoji="0" lang="en-US" sz="2000" b="1" i="0" u="none" strike="noStrike" kern="0" cap="none" spc="0" normalizeH="0" baseline="0" noProof="0" dirty="0" smtClean="0">
                                    <a:ln>
                                      <a:noFill/>
                                    </a:ln>
                                    <a:solidFill>
                                      <a:srgbClr val="0000CC"/>
                                    </a:solidFill>
                                    <a:effectLst/>
                                    <a:uLnTx/>
                                    <a:uFillTx/>
                                    <a:latin typeface="Calibri"/>
                                    <a:ea typeface="+mn-ea"/>
                                    <a:cs typeface="+mn-cs"/>
                                  </a:rPr>
                                  <a:t>Domain Areas</a:t>
                                </a:r>
                                <a:r>
                                  <a:rPr kumimoji="0" lang="en-US" sz="2000" b="1" i="0" u="none" strike="noStrike" kern="0" cap="none" spc="0" normalizeH="0" noProof="0" dirty="0" smtClean="0">
                                    <a:ln>
                                      <a:noFill/>
                                    </a:ln>
                                    <a:solidFill>
                                      <a:srgbClr val="0000CC"/>
                                    </a:solidFill>
                                    <a:effectLst/>
                                    <a:uLnTx/>
                                    <a:uFillTx/>
                                    <a:latin typeface="Calibri"/>
                                    <a:ea typeface="+mn-ea"/>
                                    <a:cs typeface="+mn-cs"/>
                                  </a:rPr>
                                  <a:t> </a:t>
                                </a:r>
                                <a:endParaRPr kumimoji="0" lang="en-US" sz="2000" b="1" i="0" u="none" strike="noStrike" kern="0" cap="none" spc="0" normalizeH="0" baseline="0" noProof="0" dirty="0">
                                  <a:ln>
                                    <a:noFill/>
                                  </a:ln>
                                  <a:solidFill>
                                    <a:srgbClr val="0000CC"/>
                                  </a:solidFill>
                                  <a:effectLst/>
                                  <a:uLnTx/>
                                  <a:uFillTx/>
                                  <a:latin typeface="Calibri"/>
                                  <a:ea typeface="+mn-ea"/>
                                  <a:cs typeface="+mn-cs"/>
                                </a:endParaRP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Initiation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Execution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Confirmation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Matching </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Order allocation</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Trade  Capture</a:t>
                                </a:r>
                              </a:p>
                              <a:p>
                                <a:pPr marL="690563" lvl="2" indent="-233363" algn="just">
                                  <a:lnSpc>
                                    <a:spcPct val="140000"/>
                                  </a:lnSpc>
                                  <a:buClr>
                                    <a:srgbClr val="C00000"/>
                                  </a:buClr>
                                  <a:buFont typeface="Courier New" pitchFamily="49" charset="0"/>
                                  <a:buChar char="o"/>
                                </a:pPr>
                                <a:r>
                                  <a:rPr lang="en-US" sz="1400" b="1" dirty="0" smtClean="0">
                                    <a:cs typeface="Arial" pitchFamily="34" charset="0"/>
                                  </a:rPr>
                                  <a:t>Trade Affirmation and Trade Matching </a:t>
                                </a:r>
                              </a:p>
                              <a:p>
                                <a:pPr marL="1097280" marR="0" lvl="2" indent="-223838" defTabSz="914400" eaLnBrk="0" fontAlgn="auto" latinLnBrk="0" hangingPunct="0">
                                  <a:lnSpc>
                                    <a:spcPct val="100000"/>
                                  </a:lnSpc>
                                  <a:spcBef>
                                    <a:spcPts val="0"/>
                                  </a:spcBef>
                                  <a:spcAft>
                                    <a:spcPts val="0"/>
                                  </a:spcAft>
                                  <a:buClr>
                                    <a:srgbClr val="E60000"/>
                                  </a:buClr>
                                  <a:buSzTx/>
                                  <a:tabLst>
                                    <a:tab pos="292100" algn="l"/>
                                    <a:tab pos="457200" algn="l"/>
                                  </a:tabLst>
                                  <a:defRPr/>
                                </a:pPr>
                                <a:endParaRPr kumimoji="0" lang="en-US" sz="1200" b="0" i="0" u="none" strike="noStrike" kern="0" cap="none" spc="0" normalizeH="0" baseline="0" noProof="0" dirty="0">
                                  <a:ln>
                                    <a:noFill/>
                                  </a:ln>
                                  <a:solidFill>
                                    <a:srgbClr val="0000CC"/>
                                  </a:solidFill>
                                  <a:effectLst/>
                                  <a:uLnTx/>
                                  <a:uFillTx/>
                                  <a:latin typeface="Calibri"/>
                                  <a:ea typeface="+mn-ea"/>
                                  <a:cs typeface="+mn-cs"/>
                                </a:endParaRPr>
                              </a:p>
                            </a:txBody>
                            <a:useSpRect/>
                          </a:txSp>
                        </a:sp>
                      </lc:lockedCanvas>
                    </a:graphicData>
                  </a:graphic>
                </wp:inline>
              </w:drawing>
            </w:r>
          </w:p>
          <w:p w:rsidR="000D6033" w:rsidRPr="00071EFC" w:rsidRDefault="000D6033" w:rsidP="003453B3">
            <w:pPr>
              <w:pStyle w:val="BodyPara1"/>
              <w:numPr>
                <w:ilvl w:val="0"/>
                <w:numId w:val="17"/>
              </w:numPr>
              <w:spacing w:after="120"/>
              <w:ind w:left="518"/>
              <w:rPr>
                <w:rFonts w:asciiTheme="minorHAnsi" w:hAnsiTheme="minorHAnsi" w:cs="Times New Roman"/>
                <w:color w:val="3F3F3F"/>
                <w:szCs w:val="22"/>
                <w:lang w:val="en-US" w:bidi="en-US"/>
              </w:rPr>
            </w:pPr>
            <w:r w:rsidRPr="00071EFC">
              <w:rPr>
                <w:rFonts w:asciiTheme="minorHAnsi" w:hAnsiTheme="minorHAnsi" w:cs="Times New Roman"/>
                <w:color w:val="3F3F3F"/>
                <w:szCs w:val="22"/>
                <w:lang w:val="en-US" w:bidi="en-US"/>
              </w:rPr>
              <w:t xml:space="preserve">Experience in Handling different  Asset Classes including equities, Fixed Income, </w:t>
            </w:r>
            <w:smartTag w:uri="urn:schemas-kweb:inappropriateterms" w:element="lists">
              <w:r w:rsidRPr="00071EFC">
                <w:rPr>
                  <w:rFonts w:asciiTheme="minorHAnsi" w:hAnsiTheme="minorHAnsi" w:cs="Times New Roman"/>
                  <w:color w:val="3F3F3F"/>
                  <w:szCs w:val="22"/>
                  <w:lang w:val="en-US" w:bidi="en-US"/>
                </w:rPr>
                <w:t>ABS</w:t>
              </w:r>
            </w:smartTag>
            <w:r w:rsidRPr="00071EFC">
              <w:rPr>
                <w:rFonts w:asciiTheme="minorHAnsi" w:hAnsiTheme="minorHAnsi" w:cs="Times New Roman"/>
                <w:color w:val="3F3F3F"/>
                <w:szCs w:val="22"/>
                <w:lang w:val="en-US" w:bidi="en-US"/>
              </w:rPr>
              <w:t xml:space="preserve">, CMBS, </w:t>
            </w:r>
            <w:smartTag w:uri="urn:schemas-kweb:inappropriateterms" w:element="lists">
              <w:r w:rsidRPr="00071EFC">
                <w:rPr>
                  <w:rFonts w:asciiTheme="minorHAnsi" w:hAnsiTheme="minorHAnsi" w:cs="Times New Roman"/>
                  <w:color w:val="3F3F3F"/>
                  <w:szCs w:val="22"/>
                  <w:lang w:val="en-US" w:bidi="en-US"/>
                </w:rPr>
                <w:t>CMO</w:t>
              </w:r>
            </w:smartTag>
            <w:r w:rsidRPr="00071EFC">
              <w:rPr>
                <w:rFonts w:asciiTheme="minorHAnsi" w:hAnsiTheme="minorHAnsi" w:cs="Times New Roman"/>
                <w:color w:val="3F3F3F"/>
                <w:szCs w:val="22"/>
                <w:lang w:val="en-US" w:bidi="en-US"/>
              </w:rPr>
              <w:t>, OTC Derivatives etc</w:t>
            </w:r>
          </w:p>
          <w:p w:rsidR="000D6033" w:rsidRPr="00071EFC" w:rsidRDefault="000D6033" w:rsidP="003453B3">
            <w:pPr>
              <w:pStyle w:val="BodyPara1"/>
              <w:numPr>
                <w:ilvl w:val="0"/>
                <w:numId w:val="17"/>
              </w:numPr>
              <w:ind w:left="522"/>
              <w:rPr>
                <w:rFonts w:asciiTheme="minorHAnsi" w:hAnsiTheme="minorHAnsi" w:cs="Times New Roman"/>
                <w:color w:val="3F3F3F"/>
                <w:szCs w:val="22"/>
                <w:lang w:val="en-US" w:bidi="en-US"/>
              </w:rPr>
            </w:pPr>
            <w:r w:rsidRPr="00071EFC">
              <w:rPr>
                <w:rFonts w:asciiTheme="minorHAnsi" w:hAnsiTheme="minorHAnsi" w:cs="Times New Roman"/>
                <w:color w:val="3F3F3F"/>
                <w:szCs w:val="22"/>
                <w:lang w:val="en-US" w:bidi="en-US"/>
              </w:rPr>
              <w:t>Expertise with market data feeds (Security Master, Corporate Actions, Prices, FX rates, Variable Rates, Ratings, Yield/Duration/Analytics, Benchmark etc) from different vendors across the globe</w:t>
            </w:r>
          </w:p>
          <w:p w:rsidR="000D6033" w:rsidRPr="00C06AAD" w:rsidRDefault="000D6033" w:rsidP="006E0EFA">
            <w:pPr>
              <w:pStyle w:val="BulletList2"/>
              <w:spacing w:line="276" w:lineRule="auto"/>
              <w:jc w:val="both"/>
              <w:rPr>
                <w:rFonts w:asciiTheme="minorHAnsi" w:hAnsiTheme="minorHAnsi" w:cs="Times New Roman"/>
                <w:color w:val="3F3F3F"/>
                <w:sz w:val="24"/>
                <w:lang w:val="en-US" w:bidi="en-US"/>
              </w:rPr>
            </w:pPr>
            <w:r w:rsidRPr="00C06AAD">
              <w:rPr>
                <w:rFonts w:asciiTheme="minorHAnsi" w:hAnsiTheme="minorHAnsi" w:cs="Times New Roman"/>
                <w:color w:val="3F3F3F"/>
                <w:sz w:val="24"/>
                <w:lang w:val="en-US" w:bidi="en-US"/>
              </w:rPr>
              <w:t xml:space="preserve">Corporate Action Processing areas like  </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Events  Update / Entitlements  creations</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Notifications  for Voluntary Corporate Actions</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Corporate Action Accounting &amp; Interest Accruals / Tax Reclaims </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Reconciliation and Valuation  of  </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Cash / Stock Reconciliation</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Accounting Vs Custody System</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Investment Manager Vs Custodians</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Ledger / Sub Ledger Reconciliation</w:t>
            </w:r>
          </w:p>
          <w:p w:rsidR="000D6033" w:rsidRPr="0083457A" w:rsidRDefault="000D6033" w:rsidP="003453B3">
            <w:pPr>
              <w:pStyle w:val="BulletList3"/>
              <w:numPr>
                <w:ilvl w:val="0"/>
                <w:numId w:val="18"/>
              </w:numPr>
              <w:spacing w:line="276" w:lineRule="auto"/>
              <w:ind w:left="972"/>
              <w:jc w:val="both"/>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Pricing &amp; Valuation, PnL  &amp;   NAV Calculation </w:t>
            </w: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Clearing &amp; Settlements</w:t>
            </w:r>
          </w:p>
          <w:p w:rsidR="000D6033" w:rsidRPr="0083457A" w:rsidRDefault="000D6033" w:rsidP="006E0EFA">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has expertise in providing comprehensive investment back-office services to global investment managers. The service scope covers all back-office operations and accounting from trade reconciliation, Trade settlements, Holding maintenance, Income and Corporate actions Accruals, Fees Accruals, Valuations to Performance Measurements. The services also include custodian and bank reconciliation.</w:t>
            </w:r>
          </w:p>
          <w:p w:rsidR="00892FF5" w:rsidRPr="0083457A" w:rsidRDefault="00892FF5" w:rsidP="000D6033">
            <w:pPr>
              <w:rPr>
                <w:rFonts w:asciiTheme="minorHAnsi" w:eastAsia="Times New Roman" w:hAnsiTheme="minorHAnsi"/>
                <w:color w:val="3F3F3F"/>
                <w:sz w:val="22"/>
                <w:lang w:bidi="en-US"/>
              </w:rPr>
            </w:pPr>
          </w:p>
          <w:p w:rsidR="000D6033" w:rsidRPr="0083457A" w:rsidRDefault="000D6033" w:rsidP="00401DEE">
            <w:pPr>
              <w:pStyle w:val="BodyPara1"/>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Our area of expertise in the</w:t>
            </w:r>
            <w:r w:rsidR="00D540E6" w:rsidRPr="0083457A">
              <w:rPr>
                <w:rFonts w:asciiTheme="minorHAnsi" w:hAnsiTheme="minorHAnsi" w:cs="Times New Roman"/>
                <w:color w:val="3F3F3F"/>
                <w:szCs w:val="22"/>
                <w:lang w:val="en-US" w:bidi="en-US"/>
              </w:rPr>
              <w:t xml:space="preserve"> Settlement &amp; Clearing includes:</w:t>
            </w:r>
          </w:p>
          <w:tbl>
            <w:tblPr>
              <w:tblStyle w:val="LightList-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85"/>
              <w:gridCol w:w="2545"/>
              <w:gridCol w:w="3115"/>
            </w:tblGrid>
            <w:tr w:rsidR="00683FCC" w:rsidRPr="00873938" w:rsidTr="00D540E6">
              <w:trPr>
                <w:cnfStyle w:val="100000000000"/>
              </w:trPr>
              <w:tc>
                <w:tcPr>
                  <w:cnfStyle w:val="001000000000"/>
                  <w:tcW w:w="3685" w:type="dxa"/>
                  <w:shd w:val="clear" w:color="auto" w:fill="1F497D" w:themeFill="text2"/>
                </w:tcPr>
                <w:p w:rsidR="00683FCC" w:rsidRPr="00873938" w:rsidRDefault="00683FCC" w:rsidP="00B52000">
                  <w:pPr>
                    <w:jc w:val="center"/>
                    <w:rPr>
                      <w:rFonts w:asciiTheme="minorHAnsi" w:hAnsiTheme="minorHAnsi" w:cs="Arial"/>
                      <w:color w:val="FFFFFF" w:themeColor="background1"/>
                      <w:sz w:val="22"/>
                    </w:rPr>
                  </w:pPr>
                  <w:r w:rsidRPr="00873938">
                    <w:rPr>
                      <w:rFonts w:asciiTheme="minorHAnsi" w:hAnsiTheme="minorHAnsi" w:cs="Arial"/>
                      <w:color w:val="FFFFFF" w:themeColor="background1"/>
                      <w:sz w:val="22"/>
                    </w:rPr>
                    <w:t>Domain Areas</w:t>
                  </w:r>
                </w:p>
              </w:tc>
              <w:tc>
                <w:tcPr>
                  <w:tcW w:w="2545" w:type="dxa"/>
                  <w:shd w:val="clear" w:color="auto" w:fill="1F497D" w:themeFill="text2"/>
                </w:tcPr>
                <w:p w:rsidR="00683FCC" w:rsidRPr="00873938" w:rsidRDefault="00683FCC" w:rsidP="00D540E6">
                  <w:pPr>
                    <w:jc w:val="center"/>
                    <w:cnfStyle w:val="100000000000"/>
                    <w:rPr>
                      <w:rFonts w:asciiTheme="minorHAnsi" w:hAnsiTheme="minorHAnsi" w:cs="Arial"/>
                      <w:color w:val="FFFFFF" w:themeColor="background1"/>
                      <w:sz w:val="22"/>
                    </w:rPr>
                  </w:pPr>
                  <w:r w:rsidRPr="00873938">
                    <w:rPr>
                      <w:rFonts w:asciiTheme="minorHAnsi" w:hAnsiTheme="minorHAnsi" w:cs="Arial"/>
                      <w:color w:val="FFFFFF" w:themeColor="background1"/>
                      <w:sz w:val="22"/>
                    </w:rPr>
                    <w:t>Process</w:t>
                  </w:r>
                </w:p>
              </w:tc>
              <w:tc>
                <w:tcPr>
                  <w:tcW w:w="3115" w:type="dxa"/>
                  <w:shd w:val="clear" w:color="auto" w:fill="1F497D" w:themeFill="text2"/>
                </w:tcPr>
                <w:p w:rsidR="00683FCC" w:rsidRPr="00873938" w:rsidRDefault="00683FCC" w:rsidP="00D540E6">
                  <w:pPr>
                    <w:jc w:val="center"/>
                    <w:cnfStyle w:val="100000000000"/>
                    <w:rPr>
                      <w:rFonts w:asciiTheme="minorHAnsi" w:hAnsiTheme="minorHAnsi" w:cs="Arial"/>
                      <w:color w:val="FFFFFF" w:themeColor="background1"/>
                      <w:sz w:val="22"/>
                    </w:rPr>
                  </w:pPr>
                  <w:r w:rsidRPr="00873938">
                    <w:rPr>
                      <w:rFonts w:asciiTheme="minorHAnsi" w:hAnsiTheme="minorHAnsi" w:cs="Arial"/>
                      <w:color w:val="FFFFFF" w:themeColor="background1"/>
                      <w:sz w:val="22"/>
                    </w:rPr>
                    <w:t>Reconciliation Tools</w:t>
                  </w:r>
                </w:p>
              </w:tc>
            </w:tr>
            <w:tr w:rsidR="00683FCC" w:rsidRPr="00873938" w:rsidTr="00B52000">
              <w:trPr>
                <w:cnfStyle w:val="000000100000"/>
              </w:trPr>
              <w:tc>
                <w:tcPr>
                  <w:cnfStyle w:val="001000000000"/>
                  <w:tcW w:w="3685" w:type="dxa"/>
                  <w:tcBorders>
                    <w:top w:val="none" w:sz="0" w:space="0" w:color="auto"/>
                    <w:left w:val="none" w:sz="0" w:space="0" w:color="auto"/>
                    <w:bottom w:val="none" w:sz="0" w:space="0" w:color="auto"/>
                  </w:tcBorders>
                </w:tcPr>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Trade Capture</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Trade Validation between Investment Manager Vs Broker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Trade Posting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Trade Confirmations</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Failed Trade Analysis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Partially Settled Trades</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Update  Trade Status </w:t>
                  </w:r>
                </w:p>
                <w:p w:rsidR="00683FCC" w:rsidRPr="0083457A" w:rsidRDefault="00683FCC" w:rsidP="003453B3">
                  <w:pPr>
                    <w:pStyle w:val="ListParagraph"/>
                    <w:numPr>
                      <w:ilvl w:val="0"/>
                      <w:numId w:val="9"/>
                    </w:numPr>
                    <w:spacing w:after="0" w:afterAutospacing="0" w:line="240" w:lineRule="auto"/>
                    <w:ind w:hanging="311"/>
                    <w:jc w:val="left"/>
                    <w:rPr>
                      <w:rFonts w:asciiTheme="minorHAnsi" w:eastAsia="Times New Roman" w:hAnsiTheme="minorHAnsi"/>
                      <w:b w:val="0"/>
                      <w:bCs w:val="0"/>
                      <w:color w:val="3F3F3F"/>
                      <w:sz w:val="22"/>
                      <w:lang w:bidi="en-US"/>
                    </w:rPr>
                  </w:pPr>
                  <w:r w:rsidRPr="0083457A">
                    <w:rPr>
                      <w:rFonts w:asciiTheme="minorHAnsi" w:eastAsia="Times New Roman" w:hAnsiTheme="minorHAnsi"/>
                      <w:b w:val="0"/>
                      <w:bCs w:val="0"/>
                      <w:color w:val="3F3F3F"/>
                      <w:sz w:val="22"/>
                      <w:lang w:bidi="en-US"/>
                    </w:rPr>
                    <w:t xml:space="preserve">Failed Trade exception processing </w:t>
                  </w:r>
                </w:p>
                <w:p w:rsidR="00683FCC" w:rsidRPr="00873938" w:rsidRDefault="00683FCC" w:rsidP="003453B3">
                  <w:pPr>
                    <w:pStyle w:val="ListParagraph"/>
                    <w:numPr>
                      <w:ilvl w:val="0"/>
                      <w:numId w:val="9"/>
                    </w:numPr>
                    <w:spacing w:after="0" w:afterAutospacing="0" w:line="240" w:lineRule="auto"/>
                    <w:ind w:hanging="311"/>
                    <w:jc w:val="left"/>
                    <w:rPr>
                      <w:rFonts w:asciiTheme="minorHAnsi" w:hAnsiTheme="minorHAnsi" w:cs="Arial"/>
                      <w:sz w:val="22"/>
                    </w:rPr>
                  </w:pPr>
                  <w:r w:rsidRPr="0083457A">
                    <w:rPr>
                      <w:rFonts w:asciiTheme="minorHAnsi" w:eastAsia="Times New Roman" w:hAnsiTheme="minorHAnsi"/>
                      <w:b w:val="0"/>
                      <w:bCs w:val="0"/>
                      <w:color w:val="3F3F3F"/>
                      <w:sz w:val="22"/>
                      <w:lang w:bidi="en-US"/>
                    </w:rPr>
                    <w:t>Claim Processing</w:t>
                  </w:r>
                </w:p>
              </w:tc>
              <w:tc>
                <w:tcPr>
                  <w:tcW w:w="2545" w:type="dxa"/>
                  <w:tcBorders>
                    <w:top w:val="none" w:sz="0" w:space="0" w:color="auto"/>
                    <w:bottom w:val="none" w:sz="0" w:space="0" w:color="auto"/>
                  </w:tcBorders>
                </w:tcPr>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DTC</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Crest</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Euroclear</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SWIFT</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FED</w:t>
                  </w:r>
                </w:p>
                <w:p w:rsidR="00683FCC" w:rsidRPr="0083457A" w:rsidRDefault="00683FCC" w:rsidP="00B52000">
                  <w:pPr>
                    <w:jc w:val="left"/>
                    <w:cnfStyle w:val="000000100000"/>
                    <w:rPr>
                      <w:rFonts w:asciiTheme="minorHAnsi" w:hAnsiTheme="minorHAnsi" w:cs="Arial"/>
                      <w:sz w:val="22"/>
                    </w:rPr>
                  </w:pPr>
                </w:p>
              </w:tc>
              <w:tc>
                <w:tcPr>
                  <w:tcW w:w="3115" w:type="dxa"/>
                  <w:tcBorders>
                    <w:top w:val="none" w:sz="0" w:space="0" w:color="auto"/>
                    <w:bottom w:val="none" w:sz="0" w:space="0" w:color="auto"/>
                    <w:right w:val="none" w:sz="0" w:space="0" w:color="auto"/>
                  </w:tcBorders>
                </w:tcPr>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TLM</w:t>
                  </w:r>
                </w:p>
                <w:p w:rsidR="00683FCC" w:rsidRPr="0083457A" w:rsidRDefault="00683FCC" w:rsidP="003453B3">
                  <w:pPr>
                    <w:pStyle w:val="ListParagraph"/>
                    <w:numPr>
                      <w:ilvl w:val="0"/>
                      <w:numId w:val="9"/>
                    </w:numPr>
                    <w:spacing w:after="0" w:afterAutospacing="0" w:line="240" w:lineRule="auto"/>
                    <w:ind w:hanging="311"/>
                    <w:jc w:val="left"/>
                    <w:cnfStyle w:val="000000100000"/>
                    <w:rPr>
                      <w:rFonts w:asciiTheme="minorHAnsi" w:eastAsia="Times New Roman" w:hAnsiTheme="minorHAnsi"/>
                      <w:bCs/>
                      <w:color w:val="3F3F3F"/>
                      <w:sz w:val="22"/>
                      <w:lang w:bidi="en-US"/>
                    </w:rPr>
                  </w:pPr>
                  <w:r w:rsidRPr="0083457A">
                    <w:rPr>
                      <w:rFonts w:asciiTheme="minorHAnsi" w:eastAsia="Times New Roman" w:hAnsiTheme="minorHAnsi"/>
                      <w:bCs/>
                      <w:color w:val="3F3F3F"/>
                      <w:sz w:val="22"/>
                      <w:lang w:bidi="en-US"/>
                    </w:rPr>
                    <w:t>Verzoenen</w:t>
                  </w:r>
                </w:p>
                <w:p w:rsidR="00683FCC" w:rsidRPr="0083457A" w:rsidRDefault="00683FCC" w:rsidP="00B52000">
                  <w:pPr>
                    <w:jc w:val="left"/>
                    <w:cnfStyle w:val="000000100000"/>
                    <w:rPr>
                      <w:rFonts w:asciiTheme="minorHAnsi" w:hAnsiTheme="minorHAnsi" w:cs="Arial"/>
                      <w:sz w:val="22"/>
                    </w:rPr>
                  </w:pPr>
                </w:p>
              </w:tc>
            </w:tr>
          </w:tbl>
          <w:p w:rsidR="000D6033" w:rsidRPr="00C06AAD" w:rsidRDefault="000D6033" w:rsidP="006E0EFA">
            <w:pPr>
              <w:pStyle w:val="BodyPara1"/>
              <w:spacing w:line="276" w:lineRule="auto"/>
              <w:rPr>
                <w:rFonts w:asciiTheme="minorHAnsi" w:hAnsiTheme="minorHAnsi" w:cs="Arial"/>
                <w:b/>
                <w:color w:val="000080"/>
                <w:sz w:val="24"/>
                <w:u w:val="single"/>
                <w:lang w:val="en-GB"/>
              </w:rPr>
            </w:pPr>
            <w:r w:rsidRPr="00873938">
              <w:rPr>
                <w:rFonts w:asciiTheme="minorHAnsi" w:hAnsiTheme="minorHAnsi" w:cs="Arial"/>
                <w:b/>
                <w:color w:val="000080"/>
                <w:szCs w:val="22"/>
                <w:u w:val="single"/>
                <w:lang w:val="en-GB"/>
              </w:rPr>
              <w:br w:type="page"/>
            </w:r>
            <w:r w:rsidRPr="00C06AAD">
              <w:rPr>
                <w:rFonts w:asciiTheme="minorHAnsi" w:hAnsiTheme="minorHAnsi" w:cs="Arial"/>
                <w:b/>
                <w:color w:val="000080"/>
                <w:sz w:val="24"/>
                <w:u w:val="single"/>
                <w:lang w:val="en-GB"/>
              </w:rPr>
              <w:t>Reconciliation Capabilities</w:t>
            </w:r>
          </w:p>
          <w:p w:rsidR="000D6033" w:rsidRPr="00873938" w:rsidRDefault="000D6033" w:rsidP="000D6033">
            <w:pPr>
              <w:pStyle w:val="BodyPara1"/>
              <w:jc w:val="center"/>
              <w:rPr>
                <w:rFonts w:asciiTheme="minorHAnsi" w:hAnsiTheme="minorHAnsi" w:cs="Arial"/>
                <w:b/>
                <w:noProof/>
                <w:color w:val="000080"/>
                <w:szCs w:val="22"/>
                <w:lang w:val="en-US"/>
              </w:rPr>
            </w:pPr>
            <w:r w:rsidRPr="00873938">
              <w:rPr>
                <w:rFonts w:asciiTheme="minorHAnsi" w:hAnsiTheme="minorHAnsi" w:cs="Arial"/>
                <w:b/>
                <w:noProof/>
                <w:color w:val="000080"/>
                <w:szCs w:val="22"/>
                <w:lang w:val="en-US"/>
              </w:rPr>
              <w:drawing>
                <wp:inline distT="0" distB="0" distL="0" distR="0">
                  <wp:extent cx="5743575" cy="3848100"/>
                  <wp:effectExtent l="0" t="0" r="0" b="0"/>
                  <wp:docPr id="13"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2" cstate="print"/>
                          <a:srcRect l="1923" t="2472" r="4903" b="12691"/>
                          <a:stretch>
                            <a:fillRect/>
                          </a:stretch>
                        </pic:blipFill>
                        <pic:spPr bwMode="auto">
                          <a:xfrm>
                            <a:off x="0" y="0"/>
                            <a:ext cx="5743575" cy="3848100"/>
                          </a:xfrm>
                          <a:prstGeom prst="rect">
                            <a:avLst/>
                          </a:prstGeom>
                          <a:noFill/>
                          <a:ln w="9525">
                            <a:noFill/>
                            <a:miter lim="800000"/>
                            <a:headEnd/>
                            <a:tailEnd/>
                          </a:ln>
                        </pic:spPr>
                      </pic:pic>
                    </a:graphicData>
                  </a:graphic>
                </wp:inline>
              </w:drawing>
            </w:r>
          </w:p>
          <w:p w:rsidR="00892FF5" w:rsidRPr="00873938" w:rsidRDefault="00892FF5" w:rsidP="000D6033">
            <w:pPr>
              <w:pStyle w:val="BodyPara1"/>
              <w:rPr>
                <w:rFonts w:asciiTheme="minorHAnsi" w:hAnsiTheme="minorHAnsi" w:cs="Arial"/>
                <w:b/>
                <w:color w:val="000080"/>
                <w:szCs w:val="22"/>
                <w:u w:val="single"/>
                <w:lang w:val="en-GB"/>
              </w:rPr>
            </w:pPr>
          </w:p>
          <w:p w:rsidR="00892FF5" w:rsidRPr="00873938" w:rsidRDefault="00892FF5" w:rsidP="000D6033">
            <w:pPr>
              <w:pStyle w:val="BodyPara1"/>
              <w:rPr>
                <w:rFonts w:asciiTheme="minorHAnsi" w:hAnsiTheme="minorHAnsi" w:cs="Arial"/>
                <w:b/>
                <w:color w:val="000080"/>
                <w:szCs w:val="22"/>
                <w:u w:val="single"/>
                <w:lang w:val="en-GB"/>
              </w:rPr>
            </w:pPr>
          </w:p>
          <w:p w:rsidR="006E0EFA" w:rsidRPr="00C06AAD" w:rsidRDefault="006E0EFA" w:rsidP="000D6033">
            <w:pPr>
              <w:pStyle w:val="BodyPara1"/>
              <w:rPr>
                <w:rFonts w:asciiTheme="minorHAnsi" w:hAnsiTheme="minorHAnsi" w:cs="Arial"/>
                <w:b/>
                <w:color w:val="000080"/>
                <w:sz w:val="24"/>
                <w:u w:val="single"/>
                <w:lang w:val="en-GB"/>
              </w:rPr>
            </w:pP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Product Expertise</w:t>
            </w: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 xml:space="preserve">Front Office  </w:t>
            </w:r>
          </w:p>
          <w:p w:rsidR="000D6033" w:rsidRPr="00873938" w:rsidRDefault="000D6033" w:rsidP="00F048DE">
            <w:pPr>
              <w:pStyle w:val="BulletedList"/>
              <w:numPr>
                <w:ilvl w:val="0"/>
                <w:numId w:val="0"/>
              </w:numPr>
              <w:tabs>
                <w:tab w:val="left" w:pos="900"/>
              </w:tabs>
              <w:spacing w:before="0"/>
              <w:jc w:val="center"/>
              <w:outlineLvl w:val="0"/>
              <w:rPr>
                <w:rFonts w:asciiTheme="minorHAnsi" w:hAnsiTheme="minorHAnsi"/>
                <w:b/>
                <w:noProof/>
                <w:color w:val="000080"/>
              </w:rPr>
            </w:pPr>
            <w:r w:rsidRPr="00873938">
              <w:rPr>
                <w:rFonts w:asciiTheme="minorHAnsi" w:hAnsiTheme="minorHAnsi"/>
                <w:b/>
                <w:noProof/>
                <w:color w:val="000080"/>
              </w:rPr>
              <w:drawing>
                <wp:inline distT="0" distB="0" distL="0" distR="0">
                  <wp:extent cx="5267325" cy="5581650"/>
                  <wp:effectExtent l="19050" t="0" r="0" b="0"/>
                  <wp:docPr id="14" name="Object 1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32863" cy="4947150"/>
                            <a:chOff x="76200" y="1263650"/>
                            <a:chExt cx="8932863" cy="4947150"/>
                          </a:xfrm>
                        </a:grpSpPr>
                        <a:sp>
                          <a:nvSpPr>
                            <a:cNvPr id="29" name="Rectangle 9"/>
                            <a:cNvSpPr>
                              <a:spLocks noChangeArrowheads="1"/>
                            </a:cNvSpPr>
                          </a:nvSpPr>
                          <a:spPr bwMode="blackWhite">
                            <a:xfrm>
                              <a:off x="2133600" y="1352550"/>
                              <a:ext cx="2286000" cy="296863"/>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Business Coverage </a:t>
                                </a:r>
                              </a:p>
                            </a:txBody>
                            <a:useSpRect/>
                          </a:txSp>
                        </a:sp>
                        <a:sp>
                          <a:nvSpPr>
                            <a:cNvPr id="30" name="AutoShape 12"/>
                            <a:cNvSpPr>
                              <a:spLocks noChangeArrowheads="1"/>
                            </a:cNvSpPr>
                          </a:nvSpPr>
                          <a:spPr bwMode="auto">
                            <a:xfrm>
                              <a:off x="4800600" y="1752600"/>
                              <a:ext cx="2133600" cy="182880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Charles River IMS</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Calypso</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Murex</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Bloomberg POMS</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Blackrock</a:t>
                                </a:r>
                              </a:p>
                            </a:txBody>
                            <a:useSpRect/>
                          </a:txSp>
                        </a:sp>
                        <a:sp>
                          <a:nvSpPr>
                            <a:cNvPr id="31" name="Rectangle 13"/>
                            <a:cNvSpPr>
                              <a:spLocks noChangeArrowheads="1"/>
                            </a:cNvSpPr>
                          </a:nvSpPr>
                          <a:spPr bwMode="blackWhite">
                            <a:xfrm>
                              <a:off x="4724400" y="1352550"/>
                              <a:ext cx="2286000" cy="298450"/>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Products</a:t>
                                </a:r>
                              </a:p>
                            </a:txBody>
                            <a:useSpRect/>
                          </a:txSp>
                        </a:sp>
                        <a:sp>
                          <a:nvSpPr>
                            <a:cNvPr id="32" name="Rectangle 26"/>
                            <a:cNvSpPr>
                              <a:spLocks noChangeArrowheads="1"/>
                            </a:cNvSpPr>
                          </a:nvSpPr>
                          <a:spPr bwMode="auto">
                            <a:xfrm>
                              <a:off x="76200" y="1263650"/>
                              <a:ext cx="1541463" cy="522288"/>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Front Office  Components</a:t>
                                </a:r>
                              </a:p>
                            </a:txBody>
                            <a:useSpRect/>
                          </a:txSp>
                        </a:sp>
                        <a:sp>
                          <a:nvSpPr>
                            <a:cNvPr id="33" name="Rectangle 27"/>
                            <a:cNvSpPr>
                              <a:spLocks noChangeArrowheads="1"/>
                            </a:cNvSpPr>
                          </a:nvSpPr>
                          <a:spPr bwMode="auto">
                            <a:xfrm>
                              <a:off x="7467600" y="1263650"/>
                              <a:ext cx="1541463" cy="523875"/>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Asset Classes </a:t>
                                </a:r>
                              </a:p>
                            </a:txBody>
                            <a:useSpRect/>
                          </a:txSp>
                        </a:sp>
                        <a:sp>
                          <a:nvSpPr>
                            <a:cNvPr id="34" name="AutoShape 28"/>
                            <a:cNvSpPr>
                              <a:spLocks noChangeArrowheads="1"/>
                            </a:cNvSpPr>
                          </a:nvSpPr>
                          <a:spPr bwMode="auto">
                            <a:xfrm>
                              <a:off x="7666831" y="2057400"/>
                              <a:ext cx="1143000" cy="414337"/>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Equities </a:t>
                                </a:r>
                              </a:p>
                            </a:txBody>
                            <a:useSpRect/>
                          </a:txSp>
                        </a:sp>
                        <a:sp>
                          <a:nvSpPr>
                            <a:cNvPr id="35" name="AutoShape 29"/>
                            <a:cNvSpPr>
                              <a:spLocks noChangeArrowheads="1"/>
                            </a:cNvSpPr>
                          </a:nvSpPr>
                          <a:spPr bwMode="auto">
                            <a:xfrm>
                              <a:off x="7666831" y="2782570"/>
                              <a:ext cx="1143000" cy="415925"/>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Fixed Income </a:t>
                                </a:r>
                              </a:p>
                            </a:txBody>
                            <a:useSpRect/>
                          </a:txSp>
                        </a:sp>
                        <a:sp>
                          <a:nvSpPr>
                            <a:cNvPr id="36" name="AutoShape 30"/>
                            <a:cNvSpPr>
                              <a:spLocks noChangeArrowheads="1"/>
                            </a:cNvSpPr>
                          </a:nvSpPr>
                          <a:spPr bwMode="auto">
                            <a:xfrm>
                              <a:off x="7666831" y="3509328"/>
                              <a:ext cx="1143000" cy="41275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FX </a:t>
                                </a:r>
                              </a:p>
                            </a:txBody>
                            <a:useSpRect/>
                          </a:txSp>
                        </a:sp>
                        <a:sp>
                          <a:nvSpPr>
                            <a:cNvPr id="37" name="AutoShape 31"/>
                            <a:cNvSpPr>
                              <a:spLocks noChangeArrowheads="1"/>
                            </a:cNvSpPr>
                          </a:nvSpPr>
                          <a:spPr bwMode="auto">
                            <a:xfrm>
                              <a:off x="7666831" y="4232911"/>
                              <a:ext cx="1143000" cy="414337"/>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Derivatives </a:t>
                                </a:r>
                              </a:p>
                            </a:txBody>
                            <a:useSpRect/>
                          </a:txSp>
                        </a:sp>
                        <a:sp>
                          <a:nvSpPr>
                            <a:cNvPr id="38" name="AutoShape 32"/>
                            <a:cNvSpPr>
                              <a:spLocks noChangeArrowheads="1"/>
                            </a:cNvSpPr>
                          </a:nvSpPr>
                          <a:spPr bwMode="auto">
                            <a:xfrm>
                              <a:off x="7666831" y="4958081"/>
                              <a:ext cx="1143000" cy="414338"/>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Cash Instruments </a:t>
                                </a:r>
                              </a:p>
                            </a:txBody>
                            <a:useSpRect/>
                          </a:txSp>
                        </a:sp>
                        <a:sp>
                          <a:nvSpPr>
                            <a:cNvPr id="39" name="AutoShape 33"/>
                            <a:cNvSpPr>
                              <a:spLocks noChangeArrowheads="1"/>
                            </a:cNvSpPr>
                          </a:nvSpPr>
                          <a:spPr bwMode="auto">
                            <a:xfrm>
                              <a:off x="7666831" y="5683250"/>
                              <a:ext cx="1143000" cy="41275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Structured Products </a:t>
                                </a:r>
                              </a:p>
                            </a:txBody>
                            <a:useSpRect/>
                          </a:txSp>
                        </a:sp>
                        <a:sp>
                          <a:nvSpPr>
                            <a:cNvPr id="40" name="AutoShape 40"/>
                            <a:cNvSpPr>
                              <a:spLocks noChangeArrowheads="1"/>
                            </a:cNvSpPr>
                          </a:nvSpPr>
                          <a:spPr bwMode="auto">
                            <a:xfrm>
                              <a:off x="2133600" y="1752600"/>
                              <a:ext cx="2133600" cy="1828800"/>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Order Management</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Order Routing</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Pre Trade Risk &amp; Compliance</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Execution </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Matching </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 Enrichment</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Exception Processing</a:t>
                                </a:r>
                              </a:p>
                              <a:p>
                                <a:pPr marL="0" marR="0" lvl="0" indent="0" algn="ctr" defTabSz="914400" eaLnBrk="0" fontAlgn="auto" latinLnBrk="0" hangingPunct="0">
                                  <a:lnSpc>
                                    <a:spcPts val="15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Data Management</a:t>
                                </a:r>
                              </a:p>
                            </a:txBody>
                            <a:useSpRect/>
                          </a:txSp>
                        </a:sp>
                        <a:sp>
                          <a:nvSpPr>
                            <a:cNvPr id="41" name="AutoShape 42"/>
                            <a:cNvSpPr>
                              <a:spLocks noChangeArrowheads="1"/>
                            </a:cNvSpPr>
                          </a:nvSpPr>
                          <a:spPr bwMode="auto">
                            <a:xfrm>
                              <a:off x="1920875" y="4150738"/>
                              <a:ext cx="1127125" cy="990600"/>
                            </a:xfrm>
                            <a:prstGeom prst="roundRect">
                              <a:avLst>
                                <a:gd name="adj" fmla="val 16667"/>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76810" tIns="38405" rIns="76810" bIns="38405"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cs typeface="Arial" charset="0"/>
                                  </a:rPr>
                                  <a:t>Pre-Trade</a:t>
                                </a:r>
                              </a:p>
                            </a:txBody>
                            <a:useSpRect/>
                          </a:txSp>
                        </a:sp>
                        <a:sp>
                          <a:nvSpPr>
                            <a:cNvPr id="42" name="AutoShape 43"/>
                            <a:cNvSpPr>
                              <a:spLocks noChangeArrowheads="1"/>
                            </a:cNvSpPr>
                          </a:nvSpPr>
                          <a:spPr bwMode="auto">
                            <a:xfrm>
                              <a:off x="3352800" y="4234875"/>
                              <a:ext cx="3852863" cy="822325"/>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Market Connectivity, Real-time Limit Monitoring, Pre Trade Compliance, FIX, Reporting</a:t>
                                </a:r>
                              </a:p>
                            </a:txBody>
                            <a:useSpRect/>
                          </a:txSp>
                        </a:sp>
                        <a:sp>
                          <a:nvSpPr>
                            <a:cNvPr id="43" name="AutoShape 44"/>
                            <a:cNvSpPr>
                              <a:spLocks noChangeArrowheads="1"/>
                            </a:cNvSpPr>
                          </a:nvSpPr>
                          <a:spPr bwMode="auto">
                            <a:xfrm>
                              <a:off x="1900238" y="5220200"/>
                              <a:ext cx="1127125" cy="990600"/>
                            </a:xfrm>
                            <a:prstGeom prst="roundRect">
                              <a:avLst>
                                <a:gd name="adj" fmla="val 16667"/>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76810" tIns="38405" rIns="76810" bIns="38405"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cs typeface="Arial" charset="0"/>
                                  </a:rPr>
                                  <a:t>Front Office </a:t>
                                </a:r>
                              </a:p>
                            </a:txBody>
                            <a:useSpRect/>
                          </a:txSp>
                        </a:sp>
                        <a:sp>
                          <a:nvSpPr>
                            <a:cNvPr id="44" name="AutoShape 45"/>
                            <a:cNvSpPr>
                              <a:spLocks noChangeArrowheads="1"/>
                            </a:cNvSpPr>
                          </a:nvSpPr>
                          <a:spPr bwMode="auto">
                            <a:xfrm>
                              <a:off x="3352800" y="5304338"/>
                              <a:ext cx="3852863" cy="822325"/>
                            </a:xfrm>
                            <a:prstGeom prst="roundRect">
                              <a:avLst>
                                <a:gd name="adj" fmla="val 16667"/>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43247"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Order Management Systems Monitoring, Real-time Trade Capture, Trade Allocations &amp; Confirmation and Storage of volatile data for trade analytics, Data Management, Reporting, FIX, Exchange Connectivity, DMA</a:t>
                                </a:r>
                              </a:p>
                            </a:txBody>
                            <a:useSpRect/>
                          </a:txSp>
                        </a:sp>
                        <a:sp>
                          <a:nvSpPr>
                            <a:cNvPr id="45" name="Rectangle 50"/>
                            <a:cNvSpPr>
                              <a:spLocks noChangeArrowheads="1"/>
                            </a:cNvSpPr>
                          </a:nvSpPr>
                          <a:spPr bwMode="blackWhite">
                            <a:xfrm>
                              <a:off x="1905000" y="3741738"/>
                              <a:ext cx="5334000" cy="296862"/>
                            </a:xfrm>
                            <a:prstGeom prst="rect">
                              <a:avLst/>
                            </a:prstGeom>
                            <a:solidFill>
                              <a:srgbClr val="002A4A"/>
                            </a:soli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600"/>
                                  </a:spcBef>
                                  <a:spcAft>
                                    <a:spcPts val="0"/>
                                  </a:spcAft>
                                  <a:buClrTx/>
                                  <a:buSzTx/>
                                  <a:buFontTx/>
                                  <a:buNone/>
                                  <a:tabLst/>
                                  <a:defRPr/>
                                </a:pPr>
                                <a:r>
                                  <a:rPr kumimoji="0" lang="en-US" sz="1200" b="1" i="0" u="none" strike="noStrike" kern="0" cap="none" spc="0" normalizeH="0" baseline="0" noProof="0" dirty="0">
                                    <a:ln>
                                      <a:noFill/>
                                    </a:ln>
                                    <a:solidFill>
                                      <a:srgbClr val="FFFFFF"/>
                                    </a:solidFill>
                                    <a:effectLst/>
                                    <a:uLnTx/>
                                    <a:uFillTx/>
                                    <a:latin typeface="+mn-lt"/>
                                  </a:rPr>
                                  <a:t>Important Service Offerings</a:t>
                                </a:r>
                              </a:p>
                            </a:txBody>
                            <a:useSpRect/>
                          </a:txSp>
                        </a:sp>
                        <a:sp>
                          <a:nvSpPr>
                            <a:cNvPr id="46" name="Rounded Rectangle 45"/>
                            <a:cNvSpPr/>
                          </a:nvSpPr>
                          <a:spPr bwMode="auto">
                            <a:xfrm>
                              <a:off x="275431" y="1954213"/>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Trade</a:t>
                                </a:r>
                              </a:p>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Analytics</a:t>
                                </a:r>
                              </a:p>
                            </a:txBody>
                            <a:useSpRect/>
                          </a:txSp>
                        </a:sp>
                        <a:sp>
                          <a:nvSpPr>
                            <a:cNvPr id="47" name="Rounded Rectangle 46"/>
                            <a:cNvSpPr/>
                          </a:nvSpPr>
                          <a:spPr bwMode="auto">
                            <a:xfrm>
                              <a:off x="275431" y="2502354"/>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Compliance / Regulation</a:t>
                                </a:r>
                              </a:p>
                            </a:txBody>
                            <a:useSpRect/>
                          </a:txSp>
                        </a:sp>
                        <a:sp>
                          <a:nvSpPr>
                            <a:cNvPr id="48" name="Rounded Rectangle 47"/>
                            <a:cNvSpPr/>
                          </a:nvSpPr>
                          <a:spPr bwMode="auto">
                            <a:xfrm>
                              <a:off x="275431" y="3050495"/>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Market Data</a:t>
                                </a:r>
                              </a:p>
                            </a:txBody>
                            <a:useSpRect/>
                          </a:txSp>
                        </a:sp>
                        <a:sp>
                          <a:nvSpPr>
                            <a:cNvPr id="49" name="Rounded Rectangle 48"/>
                            <a:cNvSpPr/>
                          </a:nvSpPr>
                          <a:spPr bwMode="auto">
                            <a:xfrm>
                              <a:off x="275431" y="3598636"/>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Blotter</a:t>
                                </a:r>
                              </a:p>
                            </a:txBody>
                            <a:useSpRect/>
                          </a:txSp>
                        </a:sp>
                        <a:sp>
                          <a:nvSpPr>
                            <a:cNvPr id="50" name="Rounded Rectangle 49"/>
                            <a:cNvSpPr/>
                          </a:nvSpPr>
                          <a:spPr bwMode="auto">
                            <a:xfrm>
                              <a:off x="275431" y="4146777"/>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Logging &amp; Auditing</a:t>
                                </a:r>
                              </a:p>
                            </a:txBody>
                            <a:useSpRect/>
                          </a:txSp>
                        </a:sp>
                        <a:sp>
                          <a:nvSpPr>
                            <a:cNvPr id="51" name="Rounded Rectangle 50"/>
                            <a:cNvSpPr/>
                          </a:nvSpPr>
                          <a:spPr bwMode="auto">
                            <a:xfrm>
                              <a:off x="275431" y="4694918"/>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Message Routing</a:t>
                                </a:r>
                              </a:p>
                            </a:txBody>
                            <a:useSpRect/>
                          </a:txSp>
                        </a:sp>
                        <a:sp>
                          <a:nvSpPr>
                            <a:cNvPr id="52" name="Rounded Rectangle 51"/>
                            <a:cNvSpPr/>
                          </a:nvSpPr>
                          <a:spPr bwMode="auto">
                            <a:xfrm>
                              <a:off x="275431" y="5243059"/>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Static Data</a:t>
                                </a:r>
                              </a:p>
                            </a:txBody>
                            <a:useSpRect/>
                          </a:txSp>
                        </a:sp>
                        <a:sp>
                          <a:nvSpPr>
                            <a:cNvPr id="53" name="Rounded Rectangle 52"/>
                            <a:cNvSpPr/>
                          </a:nvSpPr>
                          <a:spPr bwMode="auto">
                            <a:xfrm>
                              <a:off x="275431" y="5791200"/>
                              <a:ext cx="1143000" cy="381000"/>
                            </a:xfrm>
                            <a:prstGeom prst="roundRect">
                              <a:avLst/>
                            </a:prstGeom>
                            <a:gradFill rotWithShape="1">
                              <a:gsLst>
                                <a:gs pos="0">
                                  <a:srgbClr val="ECBD40">
                                    <a:tint val="70000"/>
                                    <a:satMod val="180000"/>
                                  </a:srgbClr>
                                </a:gs>
                                <a:gs pos="62000">
                                  <a:srgbClr val="ECBD40">
                                    <a:tint val="30000"/>
                                    <a:satMod val="180000"/>
                                  </a:srgbClr>
                                </a:gs>
                                <a:gs pos="100000">
                                  <a:srgbClr val="ECBD40">
                                    <a:tint val="22000"/>
                                    <a:satMod val="180000"/>
                                  </a:srgbClr>
                                </a:gs>
                              </a:gsLst>
                              <a:lin ang="16200000" scaled="0"/>
                            </a:gradFill>
                            <a:ln w="9525" cap="flat" cmpd="sng" algn="ctr">
                              <a:solidFill>
                                <a:srgbClr val="ECBD40">
                                  <a:shade val="80000"/>
                                </a:srgbClr>
                              </a:solidFill>
                              <a:prstDash val="solid"/>
                              <a:headEnd/>
                              <a:tailEnd/>
                            </a:ln>
                            <a:effectLst>
                              <a:outerShdw blurRad="50800" dist="38100" dir="5400000" rotWithShape="0">
                                <a:srgbClr val="000000">
                                  <a:alpha val="43137"/>
                                </a:srgbClr>
                              </a:outerShdw>
                            </a:effectLst>
                          </a:spPr>
                          <a:txSp>
                            <a:txBody>
                              <a:bodyPr lIns="86493" tIns="0" rIns="86493" bIns="0" anchor="ctr" anchorCtr="1"/>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0" fontAlgn="auto" latinLnBrk="0" hangingPunct="0">
                                  <a:lnSpc>
                                    <a:spcPct val="100000"/>
                                  </a:lnSpc>
                                  <a:spcBef>
                                    <a:spcPts val="0"/>
                                  </a:spcBef>
                                  <a:spcAft>
                                    <a:spcPts val="0"/>
                                  </a:spcAft>
                                  <a:buClrTx/>
                                  <a:buSzTx/>
                                  <a:buFontTx/>
                                  <a:buNone/>
                                  <a:tabLst/>
                                  <a:defRPr/>
                                </a:pPr>
                                <a:r>
                                  <a:rPr kumimoji="0" lang="en-US" sz="1050" b="0" i="0" u="none" strike="noStrike" kern="0" cap="none" spc="0" normalizeH="0" baseline="0" noProof="0" dirty="0">
                                    <a:ln>
                                      <a:noFill/>
                                    </a:ln>
                                    <a:solidFill>
                                      <a:srgbClr val="0F2C48"/>
                                    </a:solidFill>
                                    <a:effectLst/>
                                    <a:uLnTx/>
                                    <a:uFillTx/>
                                    <a:latin typeface="+mn-lt"/>
                                  </a:rPr>
                                  <a:t>Electronic Trading</a:t>
                                </a:r>
                              </a:p>
                            </a:txBody>
                            <a:useSpRect/>
                          </a:txSp>
                        </a:sp>
                      </lc:lockedCanvas>
                    </a:graphicData>
                  </a:graphic>
                </wp:inline>
              </w:drawing>
            </w:r>
          </w:p>
          <w:p w:rsidR="00FB67EC" w:rsidRDefault="00FB67EC" w:rsidP="000D6033">
            <w:pPr>
              <w:pStyle w:val="BodyPara1"/>
              <w:rPr>
                <w:rFonts w:asciiTheme="minorHAnsi" w:hAnsiTheme="minorHAnsi" w:cs="Arial"/>
                <w:b/>
                <w:color w:val="000080"/>
                <w:szCs w:val="22"/>
                <w:u w:val="single"/>
                <w:lang w:val="en-GB"/>
              </w:rPr>
            </w:pPr>
          </w:p>
          <w:p w:rsidR="00FB67EC" w:rsidRDefault="00FB67EC" w:rsidP="000D6033">
            <w:pPr>
              <w:pStyle w:val="BodyPara1"/>
              <w:rPr>
                <w:rFonts w:asciiTheme="minorHAnsi" w:hAnsiTheme="minorHAnsi" w:cs="Arial"/>
                <w:b/>
                <w:color w:val="000080"/>
                <w:szCs w:val="22"/>
                <w:u w:val="single"/>
                <w:lang w:val="en-GB"/>
              </w:rPr>
            </w:pPr>
          </w:p>
          <w:p w:rsidR="00FB67EC" w:rsidRDefault="00FB67EC" w:rsidP="000D6033">
            <w:pPr>
              <w:pStyle w:val="BodyPara1"/>
              <w:rPr>
                <w:rFonts w:asciiTheme="minorHAnsi" w:hAnsiTheme="minorHAnsi" w:cs="Arial"/>
                <w:b/>
                <w:color w:val="000080"/>
                <w:szCs w:val="22"/>
                <w:u w:val="single"/>
                <w:lang w:val="en-GB"/>
              </w:rPr>
            </w:pP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t xml:space="preserve">Back </w:t>
            </w:r>
            <w:r w:rsidR="00BB09B6" w:rsidRPr="00C06AAD">
              <w:rPr>
                <w:rFonts w:asciiTheme="minorHAnsi" w:hAnsiTheme="minorHAnsi" w:cs="Arial"/>
                <w:b/>
                <w:color w:val="000080"/>
                <w:sz w:val="24"/>
                <w:u w:val="single"/>
                <w:lang w:val="en-GB"/>
              </w:rPr>
              <w:t xml:space="preserve">Office </w:t>
            </w:r>
          </w:p>
          <w:p w:rsidR="000D6033" w:rsidRPr="00873938" w:rsidRDefault="000D6033" w:rsidP="00F048DE">
            <w:pPr>
              <w:pStyle w:val="BulletedList"/>
              <w:numPr>
                <w:ilvl w:val="0"/>
                <w:numId w:val="0"/>
              </w:numPr>
              <w:tabs>
                <w:tab w:val="left" w:pos="900"/>
              </w:tabs>
              <w:spacing w:before="0"/>
              <w:jc w:val="center"/>
              <w:outlineLvl w:val="0"/>
              <w:rPr>
                <w:rFonts w:asciiTheme="minorHAnsi" w:hAnsiTheme="minorHAnsi"/>
                <w:b/>
                <w:color w:val="000080"/>
                <w:lang w:val="en-GB"/>
              </w:rPr>
            </w:pPr>
            <w:r w:rsidRPr="00873938">
              <w:rPr>
                <w:rFonts w:asciiTheme="minorHAnsi" w:hAnsiTheme="minorHAnsi"/>
                <w:b/>
                <w:noProof/>
                <w:color w:val="000080"/>
              </w:rPr>
              <w:drawing>
                <wp:inline distT="0" distB="0" distL="0" distR="0">
                  <wp:extent cx="5943600" cy="5772150"/>
                  <wp:effectExtent l="19050" t="0" r="0" b="0"/>
                  <wp:docPr id="15" name="Objec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8888" cy="5067300"/>
                            <a:chOff x="0" y="1257300"/>
                            <a:chExt cx="8878888" cy="5067300"/>
                          </a:xfrm>
                        </a:grpSpPr>
                        <a:sp>
                          <a:nvSpPr>
                            <a:cNvPr id="28" name="Rounded Rectangle 27"/>
                            <a:cNvSpPr/>
                          </a:nvSpPr>
                          <a:spPr>
                            <a:xfrm>
                              <a:off x="3924300" y="4505326"/>
                              <a:ext cx="4937125" cy="791070"/>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Functional/Technical evaluation and Gap Analysis for an enterprise wide investment accounting system for a large Mutual Fund company</a:t>
                                </a:r>
                              </a:p>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POC and customization of interfaces, schedulers, reports, GUI and valuation configurations</a:t>
                                </a:r>
                              </a:p>
                            </a:txBody>
                            <a:useSpRect/>
                          </a:txSp>
                        </a:sp>
                        <a:sp>
                          <a:nvSpPr>
                            <a:cNvPr id="29" name="Rectangle 28"/>
                            <a:cNvSpPr/>
                          </a:nvSpPr>
                          <a:spPr>
                            <a:xfrm>
                              <a:off x="3914775" y="4200525"/>
                              <a:ext cx="4937125" cy="274638"/>
                            </a:xfrm>
                            <a:prstGeom prst="rect">
                              <a:avLst/>
                            </a:prstGeom>
                            <a:solidFill>
                              <a:srgbClr val="002A4A"/>
                            </a:solidFill>
                            <a:ln>
                              <a:headEnd/>
                              <a:tailEnd/>
                            </a:ln>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lt1"/>
                                    </a:solidFill>
                                    <a:latin typeface="+mn-lt"/>
                                    <a:ea typeface="+mn-ea"/>
                                    <a:cs typeface="+mn-cs"/>
                                  </a:defRPr>
                                </a:lvl1pPr>
                                <a:lvl2pPr marL="457200" algn="l" rtl="0" eaLnBrk="0" fontAlgn="base" hangingPunct="0">
                                  <a:spcBef>
                                    <a:spcPct val="0"/>
                                  </a:spcBef>
                                  <a:spcAft>
                                    <a:spcPct val="0"/>
                                  </a:spcAft>
                                  <a:defRPr sz="2400" kern="1200">
                                    <a:solidFill>
                                      <a:schemeClr val="lt1"/>
                                    </a:solidFill>
                                    <a:latin typeface="+mn-lt"/>
                                    <a:ea typeface="+mn-ea"/>
                                    <a:cs typeface="+mn-cs"/>
                                  </a:defRPr>
                                </a:lvl2pPr>
                                <a:lvl3pPr marL="914400" algn="l" rtl="0" eaLnBrk="0" fontAlgn="base" hangingPunct="0">
                                  <a:spcBef>
                                    <a:spcPct val="0"/>
                                  </a:spcBef>
                                  <a:spcAft>
                                    <a:spcPct val="0"/>
                                  </a:spcAft>
                                  <a:defRPr sz="2400" kern="1200">
                                    <a:solidFill>
                                      <a:schemeClr val="lt1"/>
                                    </a:solidFill>
                                    <a:latin typeface="+mn-lt"/>
                                    <a:ea typeface="+mn-ea"/>
                                    <a:cs typeface="+mn-cs"/>
                                  </a:defRPr>
                                </a:lvl3pPr>
                                <a:lvl4pPr marL="1371600" algn="l" rtl="0" eaLnBrk="0" fontAlgn="base" hangingPunct="0">
                                  <a:spcBef>
                                    <a:spcPct val="0"/>
                                  </a:spcBef>
                                  <a:spcAft>
                                    <a:spcPct val="0"/>
                                  </a:spcAft>
                                  <a:defRPr sz="2400" kern="1200">
                                    <a:solidFill>
                                      <a:schemeClr val="lt1"/>
                                    </a:solidFill>
                                    <a:latin typeface="+mn-lt"/>
                                    <a:ea typeface="+mn-ea"/>
                                    <a:cs typeface="+mn-cs"/>
                                  </a:defRPr>
                                </a:lvl4pPr>
                                <a:lvl5pPr marL="1828800" algn="l" rtl="0" eaLnBrk="0" fontAlgn="base" hangingPunct="0">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fontAlgn="auto">
                                  <a:spcBef>
                                    <a:spcPts val="600"/>
                                  </a:spcBef>
                                  <a:spcAft>
                                    <a:spcPts val="0"/>
                                  </a:spcAft>
                                  <a:defRPr/>
                                </a:pPr>
                                <a:r>
                                  <a:rPr lang="en-US" sz="1000" b="1" kern="0" dirty="0">
                                    <a:solidFill>
                                      <a:schemeClr val="bg1"/>
                                    </a:solidFill>
                                    <a:ea typeface="+mn-ea"/>
                                    <a:cs typeface="+mn-cs"/>
                                  </a:rPr>
                                  <a:t>Our Experience</a:t>
                                </a:r>
                              </a:p>
                            </a:txBody>
                            <a:useSpRect/>
                          </a:txSp>
                          <a:style>
                            <a:lnRef idx="1">
                              <a:schemeClr val="accent1"/>
                            </a:lnRef>
                            <a:fillRef idx="3">
                              <a:schemeClr val="accent1"/>
                            </a:fillRef>
                            <a:effectRef idx="2">
                              <a:schemeClr val="accent1"/>
                            </a:effectRef>
                            <a:fontRef idx="minor">
                              <a:schemeClr val="lt1"/>
                            </a:fontRef>
                          </a:style>
                        </a:sp>
                        <a:sp>
                          <a:nvSpPr>
                            <a:cNvPr id="30" name="Rounded Rectangle 29"/>
                            <a:cNvSpPr/>
                          </a:nvSpPr>
                          <a:spPr>
                            <a:xfrm>
                              <a:off x="3924300" y="5345875"/>
                              <a:ext cx="4937125" cy="788719"/>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Integration of investment accounting solution with satellite systems for an Investment Management Firm</a:t>
                                </a:r>
                              </a:p>
                              <a:p>
                                <a:pPr marL="182880" indent="-182880">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Implemented and integrated the reference data management solution for the investment accounting solution</a:t>
                                </a:r>
                              </a:p>
                            </a:txBody>
                            <a:useSpRect/>
                          </a:txSp>
                        </a:sp>
                        <a:sp>
                          <a:nvSpPr>
                            <a:cNvPr id="31" name="Rounded Rectangle 30"/>
                            <a:cNvSpPr/>
                          </a:nvSpPr>
                          <a:spPr>
                            <a:xfrm>
                              <a:off x="3886200" y="1609725"/>
                              <a:ext cx="2468563" cy="2514600"/>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lnSpc>
                                    <a:spcPts val="1800"/>
                                  </a:lnSpc>
                                  <a:buClr>
                                    <a:srgbClr val="C00000"/>
                                  </a:buClr>
                                  <a:defRPr/>
                                </a:pPr>
                                <a:r>
                                  <a:rPr lang="en-US" sz="900" b="1" kern="0" dirty="0">
                                    <a:solidFill>
                                      <a:schemeClr val="tx2">
                                        <a:lumMod val="90000"/>
                                        <a:lumOff val="10000"/>
                                      </a:schemeClr>
                                    </a:solidFill>
                                    <a:latin typeface="+mn-lt"/>
                                    <a:cs typeface="Arial" pitchFamily="34" charset="0"/>
                                  </a:rPr>
                                  <a:t>Product Implementation</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Fit Gap analysis</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Functional Validation</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POC and Technology Evaluation</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Build Interfaces</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Scaling Strategy</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Workflow</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Release Management</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Integration with Enterprise Tools</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Infrastructure Setup</a:t>
                                </a:r>
                              </a:p>
                            </a:txBody>
                            <a:useSpRect/>
                          </a:txSp>
                        </a:sp>
                        <a:sp>
                          <a:nvSpPr>
                            <a:cNvPr id="32" name="Rectangle 31"/>
                            <a:cNvSpPr/>
                          </a:nvSpPr>
                          <a:spPr>
                            <a:xfrm>
                              <a:off x="3962400" y="1257300"/>
                              <a:ext cx="4826000" cy="276225"/>
                            </a:xfrm>
                            <a:prstGeom prst="rect">
                              <a:avLst/>
                            </a:prstGeom>
                            <a:solidFill>
                              <a:srgbClr val="002A4A"/>
                            </a:solidFill>
                            <a:ln>
                              <a:headEnd/>
                              <a:tailEnd/>
                            </a:ln>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lt1"/>
                                    </a:solidFill>
                                    <a:latin typeface="+mn-lt"/>
                                    <a:ea typeface="+mn-ea"/>
                                    <a:cs typeface="+mn-cs"/>
                                  </a:defRPr>
                                </a:lvl1pPr>
                                <a:lvl2pPr marL="457200" algn="l" rtl="0" eaLnBrk="0" fontAlgn="base" hangingPunct="0">
                                  <a:spcBef>
                                    <a:spcPct val="0"/>
                                  </a:spcBef>
                                  <a:spcAft>
                                    <a:spcPct val="0"/>
                                  </a:spcAft>
                                  <a:defRPr sz="2400" kern="1200">
                                    <a:solidFill>
                                      <a:schemeClr val="lt1"/>
                                    </a:solidFill>
                                    <a:latin typeface="+mn-lt"/>
                                    <a:ea typeface="+mn-ea"/>
                                    <a:cs typeface="+mn-cs"/>
                                  </a:defRPr>
                                </a:lvl2pPr>
                                <a:lvl3pPr marL="914400" algn="l" rtl="0" eaLnBrk="0" fontAlgn="base" hangingPunct="0">
                                  <a:spcBef>
                                    <a:spcPct val="0"/>
                                  </a:spcBef>
                                  <a:spcAft>
                                    <a:spcPct val="0"/>
                                  </a:spcAft>
                                  <a:defRPr sz="2400" kern="1200">
                                    <a:solidFill>
                                      <a:schemeClr val="lt1"/>
                                    </a:solidFill>
                                    <a:latin typeface="+mn-lt"/>
                                    <a:ea typeface="+mn-ea"/>
                                    <a:cs typeface="+mn-cs"/>
                                  </a:defRPr>
                                </a:lvl3pPr>
                                <a:lvl4pPr marL="1371600" algn="l" rtl="0" eaLnBrk="0" fontAlgn="base" hangingPunct="0">
                                  <a:spcBef>
                                    <a:spcPct val="0"/>
                                  </a:spcBef>
                                  <a:spcAft>
                                    <a:spcPct val="0"/>
                                  </a:spcAft>
                                  <a:defRPr sz="2400" kern="1200">
                                    <a:solidFill>
                                      <a:schemeClr val="lt1"/>
                                    </a:solidFill>
                                    <a:latin typeface="+mn-lt"/>
                                    <a:ea typeface="+mn-ea"/>
                                    <a:cs typeface="+mn-cs"/>
                                  </a:defRPr>
                                </a:lvl4pPr>
                                <a:lvl5pPr marL="1828800" algn="l" rtl="0" eaLnBrk="0" fontAlgn="base" hangingPunct="0">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fontAlgn="auto">
                                  <a:spcBef>
                                    <a:spcPts val="600"/>
                                  </a:spcBef>
                                  <a:spcAft>
                                    <a:spcPts val="0"/>
                                  </a:spcAft>
                                  <a:defRPr/>
                                </a:pPr>
                                <a:r>
                                  <a:rPr lang="en-US" sz="1100" b="1" kern="0" dirty="0">
                                    <a:solidFill>
                                      <a:schemeClr val="bg1"/>
                                    </a:solidFill>
                                    <a:ea typeface="+mn-ea"/>
                                    <a:cs typeface="+mn-cs"/>
                                  </a:rPr>
                                  <a:t>Back Office - Expertise</a:t>
                                </a:r>
                              </a:p>
                            </a:txBody>
                            <a:useSpRect/>
                          </a:txSp>
                          <a:style>
                            <a:lnRef idx="1">
                              <a:schemeClr val="accent1"/>
                            </a:lnRef>
                            <a:fillRef idx="3">
                              <a:schemeClr val="accent1"/>
                            </a:fillRef>
                            <a:effectRef idx="2">
                              <a:schemeClr val="accent1"/>
                            </a:effectRef>
                            <a:fontRef idx="minor">
                              <a:schemeClr val="lt1"/>
                            </a:fontRef>
                          </a:style>
                        </a:sp>
                        <a:sp>
                          <a:nvSpPr>
                            <a:cNvPr id="33" name="Rounded Rectangle 32"/>
                            <a:cNvSpPr/>
                          </a:nvSpPr>
                          <a:spPr>
                            <a:xfrm>
                              <a:off x="6410325" y="1600200"/>
                              <a:ext cx="2468563" cy="2514600"/>
                            </a:xfrm>
                            <a:prstGeom prst="roundRect">
                              <a:avLst/>
                            </a:prstGeom>
                            <a:noFill/>
                            <a:ln w="9525" cap="flat" cmpd="sng" algn="ctr">
                              <a:solidFill>
                                <a:schemeClr val="tx1">
                                  <a:lumMod val="90000"/>
                                  <a:lumOff val="10000"/>
                                </a:schemeClr>
                              </a:solidFill>
                              <a:prstDash val="solid"/>
                            </a:ln>
                            <a:effectLst/>
                          </a:spPr>
                          <a:txSp>
                            <a:txBody>
                              <a:bodyPr rIns="45720"/>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182880" indent="-182880">
                                  <a:lnSpc>
                                    <a:spcPts val="1800"/>
                                  </a:lnSpc>
                                  <a:buClr>
                                    <a:srgbClr val="C00000"/>
                                  </a:buClr>
                                  <a:defRPr/>
                                </a:pPr>
                                <a:r>
                                  <a:rPr lang="en-US" sz="900" b="1" kern="0" dirty="0">
                                    <a:solidFill>
                                      <a:schemeClr val="tx2">
                                        <a:lumMod val="90000"/>
                                        <a:lumOff val="10000"/>
                                      </a:schemeClr>
                                    </a:solidFill>
                                    <a:latin typeface="+mn-lt"/>
                                    <a:cs typeface="Arial" pitchFamily="34" charset="0"/>
                                  </a:rPr>
                                  <a:t>Security Types Handled</a:t>
                                </a:r>
                              </a:p>
                              <a:p>
                                <a:pPr marL="182880" indent="-182880">
                                  <a:lnSpc>
                                    <a:spcPts val="1800"/>
                                  </a:lnSpc>
                                  <a:buClr>
                                    <a:schemeClr val="tx1">
                                      <a:lumMod val="90000"/>
                                      <a:lumOff val="10000"/>
                                    </a:schemeClr>
                                  </a:buClr>
                                  <a:buFont typeface="Wingdings" pitchFamily="2" charset="2"/>
                                  <a:buChar char="§"/>
                                  <a:defRPr/>
                                </a:pPr>
                                <a:r>
                                  <a:rPr lang="en-US" sz="900" kern="0" dirty="0">
                                    <a:solidFill>
                                      <a:sysClr val="windowText" lastClr="000000"/>
                                    </a:solidFill>
                                    <a:latin typeface="+mn-lt"/>
                                    <a:cs typeface="Arial" pitchFamily="34" charset="0"/>
                                  </a:rPr>
                                  <a:t>Equity, Fixed Income (Bonds, TBA, Mortgage, Government Bonds, Municipals Bonds, TIPS), Currency (Spots and Forwards), Derivatives (Futures, Swaps, Options), Cash, Indexes (Benchmark Security Index)</a:t>
                                </a:r>
                              </a:p>
                            </a:txBody>
                            <a:useSpRect/>
                          </a:txSp>
                        </a:sp>
                        <a:sp>
                          <a:nvSpPr>
                            <a:cNvPr id="34" name="Rectangle 20"/>
                            <a:cNvSpPr>
                              <a:spLocks noChangeArrowheads="1"/>
                            </a:cNvSpPr>
                          </a:nvSpPr>
                          <a:spPr bwMode="auto">
                            <a:xfrm>
                              <a:off x="104775" y="2511632"/>
                              <a:ext cx="3697288" cy="1341911"/>
                            </a:xfrm>
                            <a:prstGeom prst="rect">
                              <a:avLst/>
                            </a:prstGeom>
                            <a:solidFill>
                              <a:schemeClr val="accent1">
                                <a:lumMod val="20000"/>
                                <a:lumOff val="80000"/>
                              </a:schemeClr>
                            </a:solidFill>
                            <a:ln>
                              <a:solidFill>
                                <a:schemeClr val="tx1"/>
                              </a:solidFill>
                              <a:prstDash val="sysDot"/>
                              <a:headEnd/>
                              <a:tailEnd/>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defRPr/>
                                </a:pPr>
                                <a:r>
                                  <a:rPr lang="en-US" sz="900" b="1" dirty="0">
                                    <a:latin typeface="+mn-lt"/>
                                  </a:rPr>
                                  <a:t>Largest Mutual Fund Company</a:t>
                                </a:r>
                              </a:p>
                              <a:p>
                                <a:pPr>
                                  <a:buFont typeface="Arial" pitchFamily="34" charset="0"/>
                                  <a:buChar char="•"/>
                                  <a:defRPr/>
                                </a:pPr>
                                <a:r>
                                  <a:rPr lang="en-US" sz="900" dirty="0">
                                    <a:latin typeface="+mn-lt"/>
                                  </a:rPr>
                                  <a:t> </a:t>
                                </a:r>
                                <a:r>
                                  <a:rPr lang="en-US" sz="900" dirty="0" smtClean="0">
                                    <a:latin typeface="+mn-lt"/>
                                  </a:rPr>
                                  <a:t> Functional/Technical </a:t>
                                </a:r>
                                <a:r>
                                  <a:rPr lang="en-US" sz="900" dirty="0">
                                    <a:latin typeface="+mn-lt"/>
                                  </a:rPr>
                                  <a:t>evaluation and Gap Analysis Document</a:t>
                                </a:r>
                              </a:p>
                              <a:p>
                                <a:pPr>
                                  <a:buFont typeface="Arial" pitchFamily="34" charset="0"/>
                                  <a:buChar char="•"/>
                                  <a:defRPr/>
                                </a:pPr>
                                <a:r>
                                  <a:rPr lang="en-US" sz="900" dirty="0">
                                    <a:latin typeface="+mn-lt"/>
                                  </a:rPr>
                                  <a:t> </a:t>
                                </a:r>
                                <a:r>
                                  <a:rPr lang="en-US" sz="900" dirty="0" smtClean="0">
                                    <a:latin typeface="+mn-lt"/>
                                  </a:rPr>
                                  <a:t> POC </a:t>
                                </a:r>
                                <a:r>
                                  <a:rPr lang="en-US" sz="900" dirty="0">
                                    <a:latin typeface="+mn-lt"/>
                                  </a:rPr>
                                  <a:t>and customization of interfaces, schedulers, reports, GUI and </a:t>
                                </a:r>
                                <a:r>
                                  <a:rPr lang="en-US" sz="900" dirty="0" smtClean="0">
                                    <a:latin typeface="+mn-lt"/>
                                  </a:rPr>
                                  <a:t> valuation </a:t>
                                </a:r>
                                <a:r>
                                  <a:rPr lang="en-US" sz="900" dirty="0">
                                    <a:latin typeface="+mn-lt"/>
                                  </a:rPr>
                                  <a:t>configurations</a:t>
                                </a:r>
                              </a:p>
                              <a:p>
                                <a:pPr>
                                  <a:buFont typeface="Arial" pitchFamily="34" charset="0"/>
                                  <a:buChar char="•"/>
                                  <a:defRPr/>
                                </a:pPr>
                                <a:r>
                                  <a:rPr lang="en-US" sz="900" dirty="0">
                                    <a:latin typeface="+mn-lt"/>
                                  </a:rPr>
                                  <a:t> </a:t>
                                </a:r>
                                <a:r>
                                  <a:rPr lang="en-US" sz="900" dirty="0" smtClean="0">
                                    <a:latin typeface="+mn-lt"/>
                                  </a:rPr>
                                  <a:t> Execution </a:t>
                                </a:r>
                                <a:r>
                                  <a:rPr lang="en-US" sz="900" dirty="0">
                                    <a:latin typeface="+mn-lt"/>
                                  </a:rPr>
                                  <a:t>of Business Test Cases and Preparation of BRDs</a:t>
                                </a:r>
                              </a:p>
                              <a:p>
                                <a:pPr>
                                  <a:buFont typeface="Arial" pitchFamily="34" charset="0"/>
                                  <a:buChar char="•"/>
                                  <a:defRPr/>
                                </a:pPr>
                                <a:r>
                                  <a:rPr lang="en-US" sz="900" dirty="0">
                                    <a:latin typeface="+mn-lt"/>
                                  </a:rPr>
                                  <a:t> </a:t>
                                </a:r>
                                <a:r>
                                  <a:rPr lang="en-US" sz="900" dirty="0" smtClean="0">
                                    <a:latin typeface="+mn-lt"/>
                                  </a:rPr>
                                  <a:t> Designed </a:t>
                                </a:r>
                                <a:r>
                                  <a:rPr lang="en-US" sz="900" dirty="0">
                                    <a:latin typeface="+mn-lt"/>
                                  </a:rPr>
                                  <a:t>Data Mart to store converted fund data and legacy fund data</a:t>
                                </a:r>
                              </a:p>
                            </a:txBody>
                            <a:useSpRect/>
                          </a:txSp>
                          <a:style>
                            <a:lnRef idx="1">
                              <a:schemeClr val="accent2"/>
                            </a:lnRef>
                            <a:fillRef idx="2">
                              <a:schemeClr val="accent2"/>
                            </a:fillRef>
                            <a:effectRef idx="1">
                              <a:schemeClr val="accent2"/>
                            </a:effectRef>
                            <a:fontRef idx="minor">
                              <a:schemeClr val="dk1"/>
                            </a:fontRef>
                          </a:style>
                        </a:sp>
                        <a:sp>
                          <a:nvSpPr>
                            <a:cNvPr id="35" name="Rectangle 20"/>
                            <a:cNvSpPr>
                              <a:spLocks noChangeArrowheads="1"/>
                            </a:cNvSpPr>
                          </a:nvSpPr>
                          <a:spPr bwMode="auto">
                            <a:xfrm>
                              <a:off x="104775" y="3926775"/>
                              <a:ext cx="3697288" cy="1814945"/>
                            </a:xfrm>
                            <a:prstGeom prst="rect">
                              <a:avLst/>
                            </a:prstGeom>
                            <a:solidFill>
                              <a:schemeClr val="accent1">
                                <a:lumMod val="20000"/>
                                <a:lumOff val="80000"/>
                              </a:schemeClr>
                            </a:solidFill>
                            <a:ln>
                              <a:solidFill>
                                <a:schemeClr val="tx1"/>
                              </a:solidFill>
                              <a:prstDash val="sysDot"/>
                              <a:headEnd/>
                              <a:tailEnd/>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defRPr/>
                                </a:pPr>
                                <a:r>
                                  <a:rPr lang="en-US" sz="900" b="1" dirty="0">
                                    <a:latin typeface="+mn-lt"/>
                                  </a:rPr>
                                  <a:t>Investment Management Banking Firm</a:t>
                                </a:r>
                              </a:p>
                              <a:p>
                                <a:pPr>
                                  <a:buFont typeface="Arial" pitchFamily="34" charset="0"/>
                                  <a:buChar char="•"/>
                                  <a:defRPr/>
                                </a:pPr>
                                <a:r>
                                  <a:rPr lang="en-US" sz="900" dirty="0">
                                    <a:latin typeface="+mn-lt"/>
                                  </a:rPr>
                                  <a:t>  Customization of environment parameters and processes to enable Multitasking capabilities of Accounting Engine</a:t>
                                </a:r>
                              </a:p>
                              <a:p>
                                <a:pPr>
                                  <a:buFont typeface="Arial" pitchFamily="34" charset="0"/>
                                  <a:buChar char="•"/>
                                  <a:defRPr/>
                                </a:pPr>
                                <a:r>
                                  <a:rPr lang="en-US" sz="900" dirty="0">
                                    <a:latin typeface="+mn-lt"/>
                                  </a:rPr>
                                  <a:t>  Configuration: </a:t>
                                </a:r>
                              </a:p>
                              <a:p>
                                <a:pPr lvl="1">
                                  <a:buFont typeface="Arial" pitchFamily="34" charset="0"/>
                                  <a:buChar char="•"/>
                                  <a:defRPr/>
                                </a:pPr>
                                <a:r>
                                  <a:rPr lang="en-US" sz="900" dirty="0">
                                    <a:latin typeface="+mn-lt"/>
                                  </a:rPr>
                                  <a:t>Automating the Corporate Action Processing</a:t>
                                </a:r>
                              </a:p>
                              <a:p>
                                <a:pPr lvl="1">
                                  <a:buFont typeface="Arial" pitchFamily="34" charset="0"/>
                                  <a:buChar char="•"/>
                                  <a:defRPr/>
                                </a:pPr>
                                <a:r>
                                  <a:rPr lang="en-US" sz="900" dirty="0">
                                    <a:latin typeface="+mn-lt"/>
                                  </a:rPr>
                                  <a:t>Best Data setup for Assets, Prices and Corporate actions.</a:t>
                                </a:r>
                              </a:p>
                              <a:p>
                                <a:pPr lvl="1">
                                  <a:buFont typeface="Arial" pitchFamily="34" charset="0"/>
                                  <a:buChar char="•"/>
                                  <a:defRPr/>
                                </a:pPr>
                                <a:r>
                                  <a:rPr lang="en-US" sz="900" dirty="0">
                                    <a:latin typeface="+mn-lt"/>
                                  </a:rPr>
                                  <a:t>Configuration of Asset Setup Process</a:t>
                                </a:r>
                              </a:p>
                              <a:p>
                                <a:pPr>
                                  <a:buFont typeface="Arial" pitchFamily="34" charset="0"/>
                                  <a:buChar char="•"/>
                                  <a:defRPr/>
                                </a:pPr>
                                <a:r>
                                  <a:rPr lang="en-US" sz="900" dirty="0">
                                    <a:latin typeface="+mn-lt"/>
                                  </a:rPr>
                                  <a:t>  Integration of both Inbound and Outbound SWIFT messages.</a:t>
                                </a:r>
                              </a:p>
                              <a:p>
                                <a:pPr>
                                  <a:buFont typeface="Arial" pitchFamily="34" charset="0"/>
                                  <a:buChar char="•"/>
                                  <a:defRPr/>
                                </a:pPr>
                                <a:r>
                                  <a:rPr lang="en-US" sz="900" dirty="0">
                                    <a:latin typeface="+mn-lt"/>
                                  </a:rPr>
                                  <a:t>  Third party reporting tool</a:t>
                                </a:r>
                              </a:p>
                            </a:txBody>
                            <a:useSpRect/>
                          </a:txSp>
                          <a:style>
                            <a:lnRef idx="1">
                              <a:schemeClr val="accent2"/>
                            </a:lnRef>
                            <a:fillRef idx="2">
                              <a:schemeClr val="accent2"/>
                            </a:fillRef>
                            <a:effectRef idx="1">
                              <a:schemeClr val="accent2"/>
                            </a:effectRef>
                            <a:fontRef idx="minor">
                              <a:schemeClr val="dk1"/>
                            </a:fontRef>
                          </a:style>
                        </a:sp>
                        <a:sp>
                          <a:nvSpPr>
                            <a:cNvPr id="36" name="Rectangle 17"/>
                            <a:cNvSpPr>
                              <a:spLocks noChangeArrowheads="1"/>
                            </a:cNvSpPr>
                          </a:nvSpPr>
                          <a:spPr bwMode="auto">
                            <a:xfrm>
                              <a:off x="104775" y="1600200"/>
                              <a:ext cx="3697288" cy="838200"/>
                            </a:xfrm>
                            <a:prstGeom prst="rect">
                              <a:avLst/>
                            </a:prstGeom>
                            <a:solidFill>
                              <a:schemeClr val="accent1">
                                <a:lumMod val="20000"/>
                                <a:lumOff val="80000"/>
                              </a:schemeClr>
                            </a:solidFill>
                            <a:ln>
                              <a:solidFill>
                                <a:schemeClr val="tx1"/>
                              </a:solidFill>
                              <a:prstDash val="sysDot"/>
                              <a:headEnd/>
                              <a:tailEnd/>
                            </a:ln>
                          </a:spPr>
                          <a:txSp>
                            <a:txBody>
                              <a:bodyPr anchor="ctr"/>
                              <a:lstStyle>
                                <a:defPPr>
                                  <a:defRPr lang="en-US"/>
                                </a:defPPr>
                                <a:lvl1pPr algn="l" rtl="0" eaLnBrk="0" fontAlgn="base" hangingPunct="0">
                                  <a:spcBef>
                                    <a:spcPct val="0"/>
                                  </a:spcBef>
                                  <a:spcAft>
                                    <a:spcPct val="0"/>
                                  </a:spcAft>
                                  <a:defRPr sz="2400" kern="1200">
                                    <a:solidFill>
                                      <a:schemeClr val="dk1"/>
                                    </a:solidFill>
                                    <a:latin typeface="+mn-lt"/>
                                    <a:ea typeface="+mn-ea"/>
                                    <a:cs typeface="+mn-cs"/>
                                  </a:defRPr>
                                </a:lvl1pPr>
                                <a:lvl2pPr marL="457200" algn="l" rtl="0" eaLnBrk="0" fontAlgn="base" hangingPunct="0">
                                  <a:spcBef>
                                    <a:spcPct val="0"/>
                                  </a:spcBef>
                                  <a:spcAft>
                                    <a:spcPct val="0"/>
                                  </a:spcAft>
                                  <a:defRPr sz="2400" kern="1200">
                                    <a:solidFill>
                                      <a:schemeClr val="dk1"/>
                                    </a:solidFill>
                                    <a:latin typeface="+mn-lt"/>
                                    <a:ea typeface="+mn-ea"/>
                                    <a:cs typeface="+mn-cs"/>
                                  </a:defRPr>
                                </a:lvl2pPr>
                                <a:lvl3pPr marL="914400" algn="l" rtl="0" eaLnBrk="0" fontAlgn="base" hangingPunct="0">
                                  <a:spcBef>
                                    <a:spcPct val="0"/>
                                  </a:spcBef>
                                  <a:spcAft>
                                    <a:spcPct val="0"/>
                                  </a:spcAft>
                                  <a:defRPr sz="2400" kern="1200">
                                    <a:solidFill>
                                      <a:schemeClr val="dk1"/>
                                    </a:solidFill>
                                    <a:latin typeface="+mn-lt"/>
                                    <a:ea typeface="+mn-ea"/>
                                    <a:cs typeface="+mn-cs"/>
                                  </a:defRPr>
                                </a:lvl3pPr>
                                <a:lvl4pPr marL="1371600" algn="l" rtl="0" eaLnBrk="0" fontAlgn="base" hangingPunct="0">
                                  <a:spcBef>
                                    <a:spcPct val="0"/>
                                  </a:spcBef>
                                  <a:spcAft>
                                    <a:spcPct val="0"/>
                                  </a:spcAft>
                                  <a:defRPr sz="2400" kern="1200">
                                    <a:solidFill>
                                      <a:schemeClr val="dk1"/>
                                    </a:solidFill>
                                    <a:latin typeface="+mn-lt"/>
                                    <a:ea typeface="+mn-ea"/>
                                    <a:cs typeface="+mn-cs"/>
                                  </a:defRPr>
                                </a:lvl4pPr>
                                <a:lvl5pPr marL="1828800" algn="l" rtl="0" eaLnBrk="0" fontAlgn="base" hangingPunct="0">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defRPr/>
                                </a:pPr>
                                <a:r>
                                  <a:rPr lang="en-US" sz="900" b="1" dirty="0">
                                    <a:latin typeface="+mn-lt"/>
                                  </a:rPr>
                                  <a:t>Leading global multi-manager investment advisory</a:t>
                                </a:r>
                              </a:p>
                              <a:p>
                                <a:pPr>
                                  <a:buFont typeface="Arial" pitchFamily="34" charset="0"/>
                                  <a:buChar char="•"/>
                                  <a:defRPr/>
                                </a:pPr>
                                <a:r>
                                  <a:rPr lang="en-US" sz="900" dirty="0">
                                    <a:latin typeface="+mn-lt"/>
                                  </a:rPr>
                                  <a:t>  Macro Level Study to analyze business &amp; systems </a:t>
                                </a:r>
                              </a:p>
                              <a:p>
                                <a:pPr>
                                  <a:buFont typeface="Arial" pitchFamily="34" charset="0"/>
                                  <a:buChar char="•"/>
                                  <a:defRPr/>
                                </a:pPr>
                                <a:r>
                                  <a:rPr lang="en-US" sz="900" dirty="0">
                                    <a:latin typeface="+mn-lt"/>
                                  </a:rPr>
                                  <a:t>  Recommended accounting function outsourcing</a:t>
                                </a:r>
                              </a:p>
                              <a:p>
                                <a:pPr>
                                  <a:buFont typeface="Arial" pitchFamily="34" charset="0"/>
                                  <a:buChar char="•"/>
                                  <a:defRPr/>
                                </a:pPr>
                                <a:r>
                                  <a:rPr lang="en-US" sz="900" dirty="0">
                                    <a:latin typeface="+mn-lt"/>
                                  </a:rPr>
                                  <a:t>  Suggested  reliable central repository of clean reference data</a:t>
                                </a:r>
                              </a:p>
                            </a:txBody>
                            <a:useSpRect/>
                          </a:txSp>
                          <a:style>
                            <a:lnRef idx="1">
                              <a:schemeClr val="accent2"/>
                            </a:lnRef>
                            <a:fillRef idx="2">
                              <a:schemeClr val="accent2"/>
                            </a:fillRef>
                            <a:effectRef idx="1">
                              <a:schemeClr val="accent2"/>
                            </a:effectRef>
                            <a:fontRef idx="minor">
                              <a:schemeClr val="dk1"/>
                            </a:fontRef>
                          </a:style>
                        </a:sp>
                        <a:pic>
                          <a:nvPicPr>
                            <a:cNvPr id="37" name="Picture 3" descr="77711-Thomson_Reuters_logo.jpg"/>
                            <a:cNvPicPr>
                              <a:picLocks noChangeAspect="1" noChangeArrowheads="1"/>
                            </a:cNvPicPr>
                          </a:nvPicPr>
                          <a:blipFill>
                            <a:blip r:embed="rId13" cstate="print"/>
                            <a:srcRect/>
                            <a:stretch>
                              <a:fillRect/>
                            </a:stretch>
                          </a:blipFill>
                          <a:spPr bwMode="auto">
                            <a:xfrm>
                              <a:off x="0" y="5791200"/>
                              <a:ext cx="2055813" cy="533400"/>
                            </a:xfrm>
                            <a:prstGeom prst="rect">
                              <a:avLst/>
                            </a:prstGeom>
                            <a:noFill/>
                            <a:ln w="9525">
                              <a:noFill/>
                              <a:miter lim="800000"/>
                              <a:headEnd/>
                              <a:tailEnd/>
                            </a:ln>
                          </a:spPr>
                        </a:pic>
                        <a:pic>
                          <a:nvPicPr>
                            <a:cNvPr id="38" name="Picture 38" descr="eagle"/>
                            <a:cNvPicPr>
                              <a:picLocks noChangeAspect="1" noChangeArrowheads="1"/>
                            </a:cNvPicPr>
                          </a:nvPicPr>
                          <a:blipFill>
                            <a:blip r:embed="rId14" cstate="print"/>
                            <a:srcRect/>
                            <a:stretch>
                              <a:fillRect/>
                            </a:stretch>
                          </a:blipFill>
                          <a:spPr bwMode="auto">
                            <a:xfrm>
                              <a:off x="2209800" y="5791200"/>
                              <a:ext cx="1412875" cy="474663"/>
                            </a:xfrm>
                            <a:prstGeom prst="rect">
                              <a:avLst/>
                            </a:prstGeom>
                            <a:noFill/>
                            <a:ln w="9525">
                              <a:noFill/>
                              <a:miter lim="800000"/>
                              <a:headEnd/>
                              <a:tailEnd/>
                            </a:ln>
                          </a:spPr>
                        </a:pic>
                        <a:sp>
                          <a:nvSpPr>
                            <a:cNvPr id="39" name="Rectangle 38"/>
                            <a:cNvSpPr/>
                          </a:nvSpPr>
                          <a:spPr>
                            <a:xfrm>
                              <a:off x="115888" y="1258888"/>
                              <a:ext cx="3657600" cy="265112"/>
                            </a:xfrm>
                            <a:prstGeom prst="rect">
                              <a:avLst/>
                            </a:prstGeom>
                            <a:solidFill>
                              <a:srgbClr val="002A4A"/>
                            </a:solidFill>
                            <a:ln>
                              <a:headEnd/>
                              <a:tailEnd/>
                            </a:ln>
                          </a:spPr>
                          <a:txSp>
                            <a:txBody>
                              <a:bodyPr lIns="18288" tIns="18288" rIns="18288" bIns="18288" anchor="ctr"/>
                              <a:lstStyle>
                                <a:defPPr>
                                  <a:defRPr lang="en-US"/>
                                </a:defPPr>
                                <a:lvl1pPr algn="l" rtl="0" eaLnBrk="0" fontAlgn="base" hangingPunct="0">
                                  <a:spcBef>
                                    <a:spcPct val="0"/>
                                  </a:spcBef>
                                  <a:spcAft>
                                    <a:spcPct val="0"/>
                                  </a:spcAft>
                                  <a:defRPr sz="2400" kern="1200">
                                    <a:solidFill>
                                      <a:schemeClr val="lt1"/>
                                    </a:solidFill>
                                    <a:latin typeface="+mn-lt"/>
                                    <a:ea typeface="+mn-ea"/>
                                    <a:cs typeface="+mn-cs"/>
                                  </a:defRPr>
                                </a:lvl1pPr>
                                <a:lvl2pPr marL="457200" algn="l" rtl="0" eaLnBrk="0" fontAlgn="base" hangingPunct="0">
                                  <a:spcBef>
                                    <a:spcPct val="0"/>
                                  </a:spcBef>
                                  <a:spcAft>
                                    <a:spcPct val="0"/>
                                  </a:spcAft>
                                  <a:defRPr sz="2400" kern="1200">
                                    <a:solidFill>
                                      <a:schemeClr val="lt1"/>
                                    </a:solidFill>
                                    <a:latin typeface="+mn-lt"/>
                                    <a:ea typeface="+mn-ea"/>
                                    <a:cs typeface="+mn-cs"/>
                                  </a:defRPr>
                                </a:lvl2pPr>
                                <a:lvl3pPr marL="914400" algn="l" rtl="0" eaLnBrk="0" fontAlgn="base" hangingPunct="0">
                                  <a:spcBef>
                                    <a:spcPct val="0"/>
                                  </a:spcBef>
                                  <a:spcAft>
                                    <a:spcPct val="0"/>
                                  </a:spcAft>
                                  <a:defRPr sz="2400" kern="1200">
                                    <a:solidFill>
                                      <a:schemeClr val="lt1"/>
                                    </a:solidFill>
                                    <a:latin typeface="+mn-lt"/>
                                    <a:ea typeface="+mn-ea"/>
                                    <a:cs typeface="+mn-cs"/>
                                  </a:defRPr>
                                </a:lvl3pPr>
                                <a:lvl4pPr marL="1371600" algn="l" rtl="0" eaLnBrk="0" fontAlgn="base" hangingPunct="0">
                                  <a:spcBef>
                                    <a:spcPct val="0"/>
                                  </a:spcBef>
                                  <a:spcAft>
                                    <a:spcPct val="0"/>
                                  </a:spcAft>
                                  <a:defRPr sz="2400" kern="1200">
                                    <a:solidFill>
                                      <a:schemeClr val="lt1"/>
                                    </a:solidFill>
                                    <a:latin typeface="+mn-lt"/>
                                    <a:ea typeface="+mn-ea"/>
                                    <a:cs typeface="+mn-cs"/>
                                  </a:defRPr>
                                </a:lvl4pPr>
                                <a:lvl5pPr marL="1828800" algn="l" rtl="0" eaLnBrk="0" fontAlgn="base" hangingPunct="0">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fontAlgn="auto">
                                  <a:spcBef>
                                    <a:spcPts val="600"/>
                                  </a:spcBef>
                                  <a:spcAft>
                                    <a:spcPts val="0"/>
                                  </a:spcAft>
                                  <a:defRPr/>
                                </a:pPr>
                                <a:r>
                                  <a:rPr lang="en-US" sz="1100" b="1" kern="0" dirty="0">
                                    <a:solidFill>
                                      <a:schemeClr val="bg1"/>
                                    </a:solidFill>
                                    <a:ea typeface="+mn-ea"/>
                                    <a:cs typeface="+mn-cs"/>
                                  </a:rPr>
                                  <a:t>Projects</a:t>
                                </a:r>
                              </a:p>
                            </a:txBody>
                            <a:useSpRect/>
                          </a:txSp>
                          <a:style>
                            <a:lnRef idx="1">
                              <a:schemeClr val="accent1"/>
                            </a:lnRef>
                            <a:fillRef idx="3">
                              <a:schemeClr val="accent1"/>
                            </a:fillRef>
                            <a:effectRef idx="2">
                              <a:schemeClr val="accent1"/>
                            </a:effectRef>
                            <a:fontRef idx="minor">
                              <a:schemeClr val="lt1"/>
                            </a:fontRef>
                          </a:style>
                        </a:sp>
                      </lc:lockedCanvas>
                    </a:graphicData>
                  </a:graphic>
                </wp:inline>
              </w:drawing>
            </w:r>
          </w:p>
          <w:p w:rsidR="000D6033" w:rsidRPr="00873938" w:rsidRDefault="000D6033"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0D6033" w:rsidRDefault="000D6033"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83457A" w:rsidRDefault="0083457A"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83457A" w:rsidRDefault="0083457A" w:rsidP="000D6033">
            <w:pPr>
              <w:pStyle w:val="BulletedList"/>
              <w:numPr>
                <w:ilvl w:val="0"/>
                <w:numId w:val="0"/>
              </w:numPr>
              <w:tabs>
                <w:tab w:val="left" w:pos="900"/>
              </w:tabs>
              <w:spacing w:before="0"/>
              <w:jc w:val="both"/>
              <w:outlineLvl w:val="0"/>
              <w:rPr>
                <w:rFonts w:asciiTheme="minorHAnsi" w:hAnsiTheme="minorHAnsi"/>
                <w:b/>
                <w:color w:val="000080"/>
                <w:u w:val="single"/>
                <w:lang w:val="en-GB"/>
              </w:rPr>
            </w:pPr>
          </w:p>
          <w:p w:rsidR="0083457A" w:rsidRDefault="0083457A" w:rsidP="000D6033">
            <w:pPr>
              <w:pStyle w:val="BodyPara1"/>
              <w:rPr>
                <w:rFonts w:asciiTheme="minorHAnsi" w:hAnsiTheme="minorHAnsi" w:cs="Arial"/>
                <w:b/>
                <w:color w:val="000080"/>
                <w:sz w:val="26"/>
                <w:szCs w:val="26"/>
                <w:u w:val="single"/>
                <w:lang w:val="en-GB"/>
              </w:rPr>
            </w:pPr>
          </w:p>
          <w:p w:rsidR="000D6033" w:rsidRPr="00C06AAD" w:rsidRDefault="000D6033" w:rsidP="000D6033">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lastRenderedPageBreak/>
              <w:t xml:space="preserve">TLM </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has worked with Leading Reconciliation application for one of our leading Investment Management Firm for supporting the migration of Data from Smart stream SSR to Smart stream TLM. It was deployed in US and supported from across the geographies. It replaced Smart stream’s older reconciliation system – SSR (Smart stream Reconciliation). It achieves better match rates as compared to erstwhile SSR by empowering greater flexibility and match quality.</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The client to reconcile internal accounts with custodian accounts and automatically pair off matching items uses TLM. For unmatched items, a case is automatically raised and assigned to the respective reconciler for investigation.</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participated and worked in liaison with client’s migration team by deputing its resources at the client location. With our Domain and Technical Capabilities in the Recon Space Hexaware could co-venture with the clients Team to complete the migration.</w:t>
            </w:r>
          </w:p>
          <w:p w:rsidR="000D6033" w:rsidRPr="0083457A" w:rsidRDefault="000D6033" w:rsidP="00D959E7">
            <w:pPr>
              <w:pStyle w:val="BodyPara1"/>
              <w:spacing w:line="276" w:lineRule="auto"/>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Hexaware Resources has experience in working with the following modules in TLM web connect.</w:t>
            </w:r>
          </w:p>
          <w:p w:rsidR="000D6033" w:rsidRPr="00873938" w:rsidRDefault="000D6033" w:rsidP="00F7134B">
            <w:pPr>
              <w:jc w:val="center"/>
              <w:rPr>
                <w:rFonts w:asciiTheme="minorHAnsi" w:hAnsiTheme="minorHAnsi" w:cs="Arial"/>
                <w:sz w:val="22"/>
              </w:rPr>
            </w:pPr>
            <w:r w:rsidRPr="00873938">
              <w:rPr>
                <w:rFonts w:asciiTheme="minorHAnsi" w:hAnsiTheme="minorHAnsi" w:cs="Arial"/>
                <w:noProof/>
                <w:sz w:val="22"/>
              </w:rPr>
              <w:drawing>
                <wp:inline distT="0" distB="0" distL="0" distR="0">
                  <wp:extent cx="5562600" cy="3810000"/>
                  <wp:effectExtent l="0" t="0" r="0" b="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5562600" cy="3810000"/>
                          </a:xfrm>
                          <a:prstGeom prst="rect">
                            <a:avLst/>
                          </a:prstGeom>
                          <a:noFill/>
                          <a:ln w="9525">
                            <a:noFill/>
                            <a:miter lim="800000"/>
                            <a:headEnd/>
                            <a:tailEnd/>
                          </a:ln>
                        </pic:spPr>
                      </pic:pic>
                    </a:graphicData>
                  </a:graphic>
                </wp:inline>
              </w:drawing>
            </w:r>
          </w:p>
          <w:p w:rsidR="00B74B7A" w:rsidRDefault="00B74B7A" w:rsidP="00506A30">
            <w:pPr>
              <w:pStyle w:val="BodyPara1"/>
              <w:rPr>
                <w:rFonts w:asciiTheme="minorHAnsi" w:hAnsiTheme="minorHAnsi" w:cs="Arial"/>
                <w:b/>
                <w:color w:val="000080"/>
                <w:sz w:val="24"/>
                <w:u w:val="single"/>
                <w:lang w:val="en-GB"/>
              </w:rPr>
            </w:pPr>
          </w:p>
          <w:p w:rsidR="00506A30" w:rsidRPr="00C06AAD" w:rsidRDefault="00506A30" w:rsidP="00506A30">
            <w:pPr>
              <w:pStyle w:val="BodyPara1"/>
              <w:rPr>
                <w:rFonts w:asciiTheme="minorHAnsi" w:hAnsiTheme="minorHAnsi" w:cs="Arial"/>
                <w:b/>
                <w:color w:val="000080"/>
                <w:sz w:val="24"/>
                <w:u w:val="single"/>
                <w:lang w:val="en-GB"/>
              </w:rPr>
            </w:pPr>
            <w:r w:rsidRPr="00C06AAD">
              <w:rPr>
                <w:rFonts w:asciiTheme="minorHAnsi" w:hAnsiTheme="minorHAnsi" w:cs="Arial"/>
                <w:b/>
                <w:color w:val="000080"/>
                <w:sz w:val="24"/>
                <w:u w:val="single"/>
                <w:lang w:val="en-GB"/>
              </w:rPr>
              <w:lastRenderedPageBreak/>
              <w:t>Execution Expertise</w:t>
            </w:r>
          </w:p>
          <w:p w:rsidR="00506A30" w:rsidRPr="0083457A" w:rsidRDefault="00BC4334" w:rsidP="00477B35">
            <w:pPr>
              <w:pStyle w:val="BodyPara1"/>
              <w:rPr>
                <w:rFonts w:asciiTheme="minorHAnsi" w:hAnsiTheme="minorHAnsi" w:cs="Times New Roman"/>
                <w:color w:val="3F3F3F"/>
                <w:szCs w:val="22"/>
                <w:lang w:val="en-US" w:bidi="en-US"/>
              </w:rPr>
            </w:pPr>
            <w:r w:rsidRPr="0083457A">
              <w:rPr>
                <w:rFonts w:asciiTheme="minorHAnsi" w:hAnsiTheme="minorHAnsi" w:cs="Times New Roman"/>
                <w:color w:val="3F3F3F"/>
                <w:szCs w:val="22"/>
                <w:lang w:val="en-US" w:bidi="en-US"/>
              </w:rPr>
              <w:t xml:space="preserve">The following table highlights the niche domain areas relevant to the Citi ICG business and key information about the reference projects executed in this space.  Out of </w:t>
            </w:r>
            <w:r w:rsidR="00683FCC" w:rsidRPr="0083457A">
              <w:rPr>
                <w:rFonts w:asciiTheme="minorHAnsi" w:hAnsiTheme="minorHAnsi" w:cs="Times New Roman"/>
                <w:color w:val="3F3F3F"/>
                <w:szCs w:val="22"/>
                <w:lang w:val="en-US" w:bidi="en-US"/>
              </w:rPr>
              <w:t>these projects</w:t>
            </w:r>
            <w:r w:rsidRPr="0083457A">
              <w:rPr>
                <w:rFonts w:asciiTheme="minorHAnsi" w:hAnsiTheme="minorHAnsi" w:cs="Times New Roman"/>
                <w:color w:val="3F3F3F"/>
                <w:szCs w:val="22"/>
                <w:lang w:val="en-US" w:bidi="en-US"/>
              </w:rPr>
              <w:t>, 3 major projects are expanded in detail in subsequent paragraphs.</w:t>
            </w:r>
            <w:r w:rsidR="00506A30" w:rsidRPr="0083457A">
              <w:rPr>
                <w:rFonts w:asciiTheme="minorHAnsi" w:hAnsiTheme="minorHAnsi" w:cs="Times New Roman"/>
                <w:color w:val="3F3F3F"/>
                <w:szCs w:val="22"/>
                <w:lang w:val="en-US" w:bidi="en-US"/>
              </w:rPr>
              <w:t xml:space="preserve">  </w:t>
            </w:r>
          </w:p>
          <w:tbl>
            <w:tblPr>
              <w:tblW w:w="8738" w:type="dxa"/>
              <w:tblInd w:w="427"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4A0"/>
            </w:tblPr>
            <w:tblGrid>
              <w:gridCol w:w="2700"/>
              <w:gridCol w:w="136"/>
              <w:gridCol w:w="3455"/>
              <w:gridCol w:w="2447"/>
            </w:tblGrid>
            <w:tr w:rsidR="00892FF5" w:rsidRPr="00873938" w:rsidTr="00FB67EC">
              <w:trPr>
                <w:trHeight w:val="58"/>
                <w:tblHeader/>
              </w:trPr>
              <w:tc>
                <w:tcPr>
                  <w:tcW w:w="1623" w:type="pct"/>
                  <w:gridSpan w:val="2"/>
                  <w:tcBorders>
                    <w:left w:val="single" w:sz="4" w:space="0" w:color="FFFFFF"/>
                    <w:right w:val="single" w:sz="4" w:space="0" w:color="FFFFFF"/>
                  </w:tcBorders>
                  <w:shd w:val="clear" w:color="auto" w:fill="4F81BD"/>
                  <w:vAlign w:val="center"/>
                </w:tcPr>
                <w:p w:rsidR="00892FF5" w:rsidRPr="00873938" w:rsidRDefault="00892FF5" w:rsidP="00506A30">
                  <w:pPr>
                    <w:pStyle w:val="TableColumnHeading"/>
                    <w:rPr>
                      <w:rFonts w:asciiTheme="minorHAnsi" w:hAnsiTheme="minorHAnsi" w:cs="Arial"/>
                      <w:b/>
                      <w:szCs w:val="22"/>
                    </w:rPr>
                  </w:pPr>
                  <w:r w:rsidRPr="00873938">
                    <w:rPr>
                      <w:rFonts w:asciiTheme="minorHAnsi" w:hAnsiTheme="minorHAnsi" w:cs="Arial"/>
                      <w:b/>
                      <w:szCs w:val="22"/>
                    </w:rPr>
                    <w:t>Client</w:t>
                  </w:r>
                </w:p>
              </w:tc>
              <w:tc>
                <w:tcPr>
                  <w:tcW w:w="1977" w:type="pct"/>
                  <w:tcBorders>
                    <w:left w:val="single" w:sz="4" w:space="0" w:color="FFFFFF"/>
                    <w:right w:val="single" w:sz="4" w:space="0" w:color="FFFFFF"/>
                  </w:tcBorders>
                  <w:shd w:val="clear" w:color="auto" w:fill="4F81BD"/>
                </w:tcPr>
                <w:p w:rsidR="00892FF5" w:rsidRPr="00873938" w:rsidRDefault="00892FF5" w:rsidP="00506A30">
                  <w:pPr>
                    <w:pStyle w:val="TableColumnHeading"/>
                    <w:rPr>
                      <w:rFonts w:asciiTheme="minorHAnsi" w:hAnsiTheme="minorHAnsi" w:cs="Arial"/>
                      <w:b/>
                      <w:szCs w:val="22"/>
                    </w:rPr>
                  </w:pPr>
                  <w:r w:rsidRPr="00873938">
                    <w:rPr>
                      <w:rFonts w:asciiTheme="minorHAnsi" w:hAnsiTheme="minorHAnsi" w:cs="Arial"/>
                      <w:b/>
                      <w:szCs w:val="22"/>
                    </w:rPr>
                    <w:t>Project Scope</w:t>
                  </w:r>
                </w:p>
              </w:tc>
              <w:tc>
                <w:tcPr>
                  <w:tcW w:w="1400" w:type="pct"/>
                  <w:tcBorders>
                    <w:left w:val="single" w:sz="4" w:space="0" w:color="FFFFFF"/>
                  </w:tcBorders>
                  <w:shd w:val="clear" w:color="auto" w:fill="4F81BD"/>
                  <w:vAlign w:val="center"/>
                </w:tcPr>
                <w:p w:rsidR="00892FF5" w:rsidRPr="00873938" w:rsidRDefault="00892FF5" w:rsidP="00506A30">
                  <w:pPr>
                    <w:pStyle w:val="TableColumnHeading"/>
                    <w:rPr>
                      <w:rFonts w:asciiTheme="minorHAnsi" w:hAnsiTheme="minorHAnsi" w:cs="Arial"/>
                      <w:b/>
                      <w:szCs w:val="22"/>
                    </w:rPr>
                  </w:pPr>
                  <w:r w:rsidRPr="00873938">
                    <w:rPr>
                      <w:rFonts w:asciiTheme="minorHAnsi" w:hAnsiTheme="minorHAnsi" w:cs="Arial"/>
                      <w:b/>
                      <w:szCs w:val="22"/>
                    </w:rPr>
                    <w:t>Value Additions / Benefits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Account Reference Management/ Security Reference Management/ Pricing Centre</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Advisory &amp; Investment Management Firm </w:t>
                  </w:r>
                  <w:r w:rsidRPr="0083457A">
                    <w:rPr>
                      <w:rFonts w:asciiTheme="minorHAnsi" w:hAnsiTheme="minorHAnsi" w:cs="Times New Roman"/>
                      <w:color w:val="3F3F3F"/>
                      <w:sz w:val="22"/>
                      <w:szCs w:val="22"/>
                      <w:lang w:val="en-US" w:bidi="en-US"/>
                    </w:rPr>
                    <w:br/>
                    <w:t>&amp;</w:t>
                  </w:r>
                  <w:r w:rsidRPr="0083457A">
                    <w:rPr>
                      <w:rFonts w:asciiTheme="minorHAnsi" w:hAnsiTheme="minorHAnsi" w:cs="Times New Roman"/>
                      <w:color w:val="3F3F3F"/>
                      <w:sz w:val="22"/>
                      <w:szCs w:val="22"/>
                      <w:lang w:val="en-US" w:bidi="en-US"/>
                    </w:rPr>
                    <w:br/>
                    <w:t xml:space="preserve">Largest German Investment Bank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Implemented and provided support for Reference Manager viz. Account Reference Management/Security Reference Management/Pricing Centre</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provides production support and maintenance for Reference Manager modules of Eagle</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Front Office System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Financial Institution</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Team supported the Client Team in  Murex Implementation as Front-Office System. The task Includes, </w:t>
                  </w:r>
                  <w:r w:rsidRPr="0083457A">
                    <w:rPr>
                      <w:rFonts w:asciiTheme="minorHAnsi" w:hAnsiTheme="minorHAnsi" w:cs="Times New Roman"/>
                      <w:color w:val="3F3F3F"/>
                      <w:sz w:val="22"/>
                      <w:szCs w:val="22"/>
                      <w:lang w:val="en-US" w:bidi="en-US"/>
                    </w:rPr>
                    <w:br/>
                    <w:t>Deals migration and Position Transfers from Kondor+ to Murex,  Static Data and Market Data Setup and configuration, Functional Testing and Reconciliation of deals between Kondor+ and Murex, PnL Attribution Analysis as well as VaR during migration and  Reporting</w:t>
                  </w:r>
                </w:p>
              </w:tc>
              <w:tc>
                <w:tcPr>
                  <w:tcW w:w="1400" w:type="pct"/>
                </w:tcPr>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Implementation of Murex as Front-Office System</w:t>
                  </w:r>
                  <w:r w:rsidRPr="0083457A">
                    <w:rPr>
                      <w:rFonts w:asciiTheme="minorHAnsi" w:hAnsiTheme="minorHAnsi" w:cs="Times New Roman"/>
                      <w:color w:val="3F3F3F"/>
                      <w:sz w:val="22"/>
                      <w:szCs w:val="22"/>
                      <w:lang w:val="en-US" w:bidi="en-US"/>
                    </w:rPr>
                    <w:br/>
                    <w:t xml:space="preserve">Deals migration from Kondor+ </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PnL reconciliation for Product Control Unit and VaR MRM department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Generation of PnL &amp; VaR Reports  in single platform</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Under Derivatives (Futures, Swaps, Options)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Leading Investment Bank in Germany </w:t>
                  </w:r>
                </w:p>
              </w:tc>
              <w:tc>
                <w:tcPr>
                  <w:tcW w:w="2055" w:type="pct"/>
                  <w:gridSpan w:val="2"/>
                </w:tcPr>
                <w:p w:rsidR="009D1AA7" w:rsidRPr="0083457A" w:rsidRDefault="00892FF5" w:rsidP="0086394A">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The client had 5 different applications for managing their current business requirements and with the implementation of Listed derivatives project, the number is reduced to 1 application. Hexaware implemented the testing of   Listed Derivatives moving from ‘Waterfall Development Mythology*’ to ‘Agile Mythology*’. To ensure that store and maintain information related to </w:t>
                  </w:r>
                  <w:r w:rsidRPr="0083457A">
                    <w:rPr>
                      <w:rFonts w:asciiTheme="minorHAnsi" w:hAnsiTheme="minorHAnsi" w:cs="Times New Roman"/>
                      <w:color w:val="3F3F3F"/>
                      <w:sz w:val="22"/>
                      <w:szCs w:val="22"/>
                      <w:lang w:val="en-US" w:bidi="en-US"/>
                    </w:rPr>
                    <w:lastRenderedPageBreak/>
                    <w:t>securities in SimCorp Dimension 4.3</w:t>
                  </w: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p w:rsidR="0086394A" w:rsidRPr="0083457A" w:rsidRDefault="0086394A" w:rsidP="0086394A">
                  <w:pPr>
                    <w:pStyle w:val="TableBodyPara"/>
                    <w:rPr>
                      <w:rFonts w:asciiTheme="minorHAnsi" w:hAnsiTheme="minorHAnsi" w:cs="Times New Roman"/>
                      <w:color w:val="3F3F3F"/>
                      <w:sz w:val="22"/>
                      <w:szCs w:val="22"/>
                      <w:lang w:val="en-US" w:bidi="en-US"/>
                    </w:rPr>
                  </w:pPr>
                </w:p>
              </w:tc>
              <w:tc>
                <w:tcPr>
                  <w:tcW w:w="1400" w:type="pct"/>
                </w:tcPr>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Reusable test data is collected which can be used across all the environments</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Used ‘Jira’  tool to manage MIS / Defect &amp; Issue tracking</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Used ‘Alfresco and Wiki’  tool to manage Documentation Repository / Content </w:t>
                  </w:r>
                  <w:r w:rsidRPr="0083457A">
                    <w:rPr>
                      <w:rFonts w:asciiTheme="minorHAnsi" w:hAnsiTheme="minorHAnsi" w:cs="Times New Roman"/>
                      <w:color w:val="3F3F3F"/>
                      <w:sz w:val="22"/>
                      <w:szCs w:val="22"/>
                      <w:lang w:val="en-US" w:bidi="en-US"/>
                    </w:rPr>
                    <w:lastRenderedPageBreak/>
                    <w:t xml:space="preserve">Management </w:t>
                  </w:r>
                </w:p>
              </w:tc>
            </w:tr>
            <w:tr w:rsidR="00892FF5" w:rsidRPr="00873938" w:rsidTr="00FB67EC">
              <w:trPr>
                <w:trHeight w:val="105"/>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Under Spread Trading</w:t>
                  </w:r>
                </w:p>
              </w:tc>
            </w:tr>
            <w:tr w:rsidR="00892FF5" w:rsidRPr="00873938" w:rsidTr="00B74B7A">
              <w:trPr>
                <w:trHeight w:val="1452"/>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Financial Spread Betting Company</w:t>
                  </w:r>
                </w:p>
              </w:tc>
              <w:tc>
                <w:tcPr>
                  <w:tcW w:w="2055" w:type="pct"/>
                  <w:gridSpan w:val="2"/>
                </w:tcPr>
                <w:p w:rsidR="009D1AA7" w:rsidRPr="0083457A" w:rsidRDefault="00892FF5" w:rsidP="007B0AF2">
                  <w:pPr>
                    <w:pStyle w:val="TableBodyPara"/>
                    <w:spacing w:line="276" w:lineRule="auto"/>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A highly competitive market in Online Trading Platform 24 Hours support required  for the trading Platform Non existence of  QA process. The customer base for the organization consisted of retail customers served through a web client and mobile client. Hexaware provided its comprehensive Testing services to help the client attain growth. The scope of work included:</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Establishing QA set-up comprising of QA team, methodologies, processes and testing tools in place for the organization’s spread betting system</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Developing Functional Specifications and Test Pack comprising of test cases, lookups and checklist</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Developing a Testing strategy</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Conducting Test Management and Execution activities</w:t>
                  </w:r>
                </w:p>
              </w:tc>
              <w:tc>
                <w:tcPr>
                  <w:tcW w:w="1400" w:type="pct"/>
                </w:tcPr>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 market value and revenue by providing Testing services and strengthening the QA process</w:t>
                  </w:r>
                </w:p>
                <w:p w:rsidR="009D1AA7"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Ensure accurate documentation of all business requirements and current application functionalities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Capture and document functional requirements for the entire application in scope</w:t>
                  </w: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p w:rsidR="00892FF5" w:rsidRPr="0083457A" w:rsidRDefault="00892FF5" w:rsidP="00506A30">
                  <w:pPr>
                    <w:pStyle w:val="TableBodyPara"/>
                    <w:rPr>
                      <w:rFonts w:asciiTheme="minorHAnsi" w:hAnsiTheme="minorHAnsi" w:cs="Times New Roman"/>
                      <w:color w:val="3F3F3F"/>
                      <w:sz w:val="22"/>
                      <w:szCs w:val="22"/>
                      <w:lang w:val="en-US" w:bidi="en-US"/>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FIX / ECN Connectivity</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Europe's Largest Asset Manager</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to provide end-to-end FIX / ECN Connectivity Automation Testing for their Order Management System for the following asset classes: Fixed Income/ Equity &amp; FX </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Identified the Gaps in FIX Trading &amp; ECN Connectivity workflows – which were unique and created the test suite for the same</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Trade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7B0AF2"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 ASM support to the In-House Applications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Involved in the full life cycle from Requirement gathering to </w:t>
                  </w:r>
                  <w:r w:rsidR="00837F76" w:rsidRPr="0083457A">
                    <w:rPr>
                      <w:rFonts w:asciiTheme="minorHAnsi" w:hAnsiTheme="minorHAnsi" w:cs="Times New Roman"/>
                      <w:color w:val="3F3F3F"/>
                      <w:sz w:val="22"/>
                      <w:szCs w:val="22"/>
                      <w:lang w:val="en-US" w:bidi="en-US"/>
                    </w:rPr>
                    <w:lastRenderedPageBreak/>
                    <w:t>Implementation</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Cost effective Onsite Offshore model</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Technical and Functional </w:t>
                  </w:r>
                  <w:r w:rsidRPr="0083457A">
                    <w:rPr>
                      <w:rFonts w:asciiTheme="minorHAnsi" w:hAnsiTheme="minorHAnsi" w:cs="Times New Roman"/>
                      <w:color w:val="3F3F3F"/>
                      <w:sz w:val="22"/>
                      <w:szCs w:val="22"/>
                      <w:lang w:val="en-US" w:bidi="en-US"/>
                    </w:rPr>
                    <w:lastRenderedPageBreak/>
                    <w:t>resources</w:t>
                  </w:r>
                </w:p>
                <w:p w:rsidR="00F42576" w:rsidRPr="0083457A" w:rsidRDefault="00F42576" w:rsidP="00F42576">
                  <w:pPr>
                    <w:pStyle w:val="TableBodyPara"/>
                    <w:ind w:left="175"/>
                    <w:rPr>
                      <w:rFonts w:asciiTheme="minorHAnsi" w:hAnsiTheme="minorHAnsi" w:cs="Times New Roman"/>
                      <w:color w:val="3F3F3F"/>
                      <w:sz w:val="22"/>
                      <w:szCs w:val="22"/>
                      <w:lang w:val="en-US" w:bidi="en-US"/>
                    </w:rPr>
                  </w:pPr>
                </w:p>
                <w:p w:rsidR="00F42576" w:rsidRPr="0083457A" w:rsidRDefault="00F42576" w:rsidP="00F42576">
                  <w:pPr>
                    <w:pStyle w:val="TableBodyPara"/>
                    <w:ind w:left="175"/>
                    <w:rPr>
                      <w:rFonts w:asciiTheme="minorHAnsi" w:hAnsiTheme="minorHAnsi" w:cs="Times New Roman"/>
                      <w:color w:val="3F3F3F"/>
                      <w:sz w:val="22"/>
                      <w:szCs w:val="22"/>
                      <w:lang w:val="en-US" w:bidi="en-US"/>
                    </w:rPr>
                  </w:pPr>
                </w:p>
                <w:p w:rsidR="00FB67EC" w:rsidRPr="0083457A" w:rsidRDefault="00FB67EC" w:rsidP="00FB67EC">
                  <w:pPr>
                    <w:pStyle w:val="TableBodyPara"/>
                    <w:ind w:left="175"/>
                    <w:rPr>
                      <w:rFonts w:asciiTheme="minorHAnsi" w:hAnsiTheme="minorHAnsi" w:cs="Times New Roman"/>
                      <w:color w:val="3F3F3F"/>
                      <w:sz w:val="22"/>
                      <w:szCs w:val="22"/>
                      <w:lang w:val="en-US" w:bidi="en-US"/>
                    </w:rPr>
                  </w:pPr>
                </w:p>
              </w:tc>
            </w:tr>
            <w:tr w:rsidR="00892FF5" w:rsidRPr="00873938" w:rsidTr="00FB67EC">
              <w:trPr>
                <w:trHeight w:val="58"/>
              </w:trPr>
              <w:tc>
                <w:tcPr>
                  <w:tcW w:w="5000" w:type="pct"/>
                  <w:gridSpan w:val="4"/>
                </w:tcPr>
                <w:p w:rsidR="00892FF5" w:rsidRPr="00873938" w:rsidRDefault="00892FF5" w:rsidP="00683FCC">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Order Management  (Equities, Fixed Income, Derivatives, FX)</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the production support for Asia Pacific users of Charles River. It included analyzing application issues, user access issues and analysis of business issues reported by the business users.</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It also included connecting and disconnecting brokers using FIX connectivity before and after the trading hours.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the support starting early morning to the traders and application users. This helped client resolve any issues before the start of the trading hours.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All the production issues were resolved in quick time adhering to client specified SLAs.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Access to outside brokers was restricted to trading hours.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carried out the analysis of entire trade work flow of equities, fixed income and derivatives performed in Charles River.</w:t>
                  </w:r>
                  <w:r w:rsidRPr="0083457A">
                    <w:rPr>
                      <w:rFonts w:asciiTheme="minorHAnsi" w:hAnsiTheme="minorHAnsi" w:cs="Times New Roman"/>
                      <w:color w:val="3F3F3F"/>
                      <w:sz w:val="22"/>
                      <w:szCs w:val="22"/>
                      <w:lang w:val="en-US" w:bidi="en-US"/>
                    </w:rPr>
                    <w:br/>
                    <w:t xml:space="preserve"> </w:t>
                  </w:r>
                  <w:r w:rsidRPr="0083457A">
                    <w:rPr>
                      <w:rFonts w:asciiTheme="minorHAnsi" w:hAnsiTheme="minorHAnsi" w:cs="Times New Roman"/>
                      <w:color w:val="3F3F3F"/>
                      <w:sz w:val="22"/>
                      <w:szCs w:val="22"/>
                      <w:lang w:val="en-US" w:bidi="en-US"/>
                    </w:rPr>
                    <w:br/>
                    <w:t>Hexaware also worked on the feeds imported and exported out of Charles River.</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gained the end to end understanding of various features offered by Charles River while trading; that helped in faster resolution of business issues.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Various interfaces were built to move data in and out of Charles River after removing data redundancy and applying business rules and validations.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Money Manager of an Insurance Company</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 Advisory &amp;</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lastRenderedPageBreak/>
                    <w:t>Investment</w:t>
                  </w:r>
                  <w:r w:rsidRPr="0083457A">
                    <w:rPr>
                      <w:rFonts w:asciiTheme="minorHAnsi" w:hAnsiTheme="minorHAnsi" w:cs="Times New Roman"/>
                      <w:color w:val="3F3F3F"/>
                      <w:sz w:val="22"/>
                      <w:szCs w:val="22"/>
                      <w:lang w:val="en-US" w:bidi="en-US"/>
                    </w:rPr>
                    <w:br/>
                    <w:t xml:space="preserve">Management Firm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Largest German Investment Bank </w:t>
                  </w:r>
                </w:p>
              </w:tc>
              <w:tc>
                <w:tcPr>
                  <w:tcW w:w="2055" w:type="pct"/>
                  <w:gridSpan w:val="2"/>
                </w:tcPr>
                <w:p w:rsidR="007B0AF2" w:rsidRPr="0083457A" w:rsidRDefault="00892FF5" w:rsidP="00892FF5">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A typical implementation to define the dataflow between Aladdin (A Trade Order Management  &amp; Compliance System, which is a part </w:t>
                  </w:r>
                  <w:r w:rsidRPr="0083457A">
                    <w:rPr>
                      <w:rFonts w:asciiTheme="minorHAnsi" w:hAnsiTheme="minorHAnsi" w:cs="Times New Roman"/>
                      <w:color w:val="3F3F3F"/>
                      <w:sz w:val="22"/>
                      <w:szCs w:val="22"/>
                      <w:lang w:val="en-US" w:bidi="en-US"/>
                    </w:rPr>
                    <w:lastRenderedPageBreak/>
                    <w:t>of Blackrock suite), Accounting systems and Data warehouse to help the performance management group to identify how the assets are performing when compared to it’s benchmarks</w:t>
                  </w:r>
                  <w:r w:rsidRPr="0083457A">
                    <w:rPr>
                      <w:rFonts w:asciiTheme="minorHAnsi" w:hAnsiTheme="minorHAnsi" w:cs="Times New Roman"/>
                      <w:color w:val="3F3F3F"/>
                      <w:sz w:val="22"/>
                      <w:szCs w:val="22"/>
                      <w:lang w:val="en-US" w:bidi="en-US"/>
                    </w:rPr>
                    <w:br/>
                    <w:t xml:space="preserve">Key </w:t>
                  </w:r>
                  <w:r w:rsidR="00837F76" w:rsidRPr="0083457A">
                    <w:rPr>
                      <w:rFonts w:asciiTheme="minorHAnsi" w:hAnsiTheme="minorHAnsi" w:cs="Times New Roman"/>
                      <w:color w:val="3F3F3F"/>
                      <w:sz w:val="22"/>
                      <w:szCs w:val="22"/>
                      <w:lang w:val="en-US" w:bidi="en-US"/>
                    </w:rPr>
                    <w:t>Activities</w:t>
                  </w:r>
                  <w:r w:rsidRPr="0083457A">
                    <w:rPr>
                      <w:rFonts w:asciiTheme="minorHAnsi" w:hAnsiTheme="minorHAnsi" w:cs="Times New Roman"/>
                      <w:color w:val="3F3F3F"/>
                      <w:sz w:val="22"/>
                      <w:szCs w:val="22"/>
                      <w:lang w:val="en-US" w:bidi="en-US"/>
                    </w:rPr>
                    <w:t xml:space="preserve"> were:</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The extract the output file from Aladdin in XML format and use Microsoft SSIS ETL to process and transform the file to SQL data and staged. </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Convert SQL Data to flat files (which will be the source for Eagle PACE Uploaders).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Data to be Cleansed, Standardized and Stored in the warehouse based on the Business user’s requirements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Defining  an overall picture about the dataflow between multiple systems - </w:t>
                  </w:r>
                  <w:r w:rsidRPr="0083457A">
                    <w:rPr>
                      <w:rFonts w:asciiTheme="minorHAnsi" w:hAnsiTheme="minorHAnsi" w:cs="Times New Roman"/>
                      <w:color w:val="3F3F3F"/>
                      <w:sz w:val="22"/>
                      <w:szCs w:val="22"/>
                      <w:lang w:val="en-US" w:bidi="en-US"/>
                    </w:rPr>
                    <w:lastRenderedPageBreak/>
                    <w:t xml:space="preserve">Aladdin, Accounting </w:t>
                  </w:r>
                  <w:r w:rsidR="00837F76" w:rsidRPr="0083457A">
                    <w:rPr>
                      <w:rFonts w:asciiTheme="minorHAnsi" w:hAnsiTheme="minorHAnsi" w:cs="Times New Roman"/>
                      <w:color w:val="3F3F3F"/>
                      <w:sz w:val="22"/>
                      <w:szCs w:val="22"/>
                      <w:lang w:val="en-US" w:bidi="en-US"/>
                    </w:rPr>
                    <w:t>System</w:t>
                  </w:r>
                  <w:r w:rsidRPr="0083457A">
                    <w:rPr>
                      <w:rFonts w:asciiTheme="minorHAnsi" w:hAnsiTheme="minorHAnsi" w:cs="Times New Roman"/>
                      <w:color w:val="3F3F3F"/>
                      <w:sz w:val="22"/>
                      <w:szCs w:val="22"/>
                      <w:lang w:val="en-US" w:bidi="en-US"/>
                    </w:rPr>
                    <w:t xml:space="preserve"> and Eagle </w:t>
                  </w:r>
                  <w:r w:rsidR="00837F76" w:rsidRPr="0083457A">
                    <w:rPr>
                      <w:rFonts w:asciiTheme="minorHAnsi" w:hAnsiTheme="minorHAnsi" w:cs="Times New Roman"/>
                      <w:color w:val="3F3F3F"/>
                      <w:sz w:val="22"/>
                      <w:szCs w:val="22"/>
                      <w:lang w:val="en-US" w:bidi="en-US"/>
                    </w:rPr>
                    <w:t>Data warehouse</w:t>
                  </w:r>
                  <w:r w:rsidRPr="0083457A">
                    <w:rPr>
                      <w:rFonts w:asciiTheme="minorHAnsi" w:hAnsiTheme="minorHAnsi" w:cs="Times New Roman"/>
                      <w:color w:val="3F3F3F"/>
                      <w:sz w:val="22"/>
                      <w:szCs w:val="22"/>
                      <w:lang w:val="en-US" w:bidi="en-US"/>
                    </w:rPr>
                    <w:t xml:space="preserve">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Macro level study of CRD implementation &amp; testing services for Buy Side</w:t>
                  </w:r>
                </w:p>
              </w:tc>
            </w:tr>
            <w:tr w:rsidR="00892FF5" w:rsidRPr="00873938" w:rsidTr="00B74B7A">
              <w:trPr>
                <w:trHeight w:val="86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A Large Institutional and Sub-Advisory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Client has upgraded both the applications – Proprietary PMS &amp; Charles River IMS and wanted to ensure that both the applications have been integrated seamlessly and also the functionality of the applications is in line with Business Requirements</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has executed end to end testing of Charles River IMS (OMS) which involves great interaction its in-house PMS application and other SWAP WRAP applications of brokers</w:t>
                  </w:r>
                </w:p>
              </w:tc>
            </w:tr>
            <w:tr w:rsidR="00892FF5" w:rsidRPr="00873938" w:rsidTr="00B74B7A">
              <w:trPr>
                <w:trHeight w:val="2494"/>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Leading Canadian-based </w:t>
                  </w:r>
                  <w:r w:rsidR="0062744D" w:rsidRPr="0083457A">
                    <w:rPr>
                      <w:rFonts w:asciiTheme="minorHAnsi" w:hAnsiTheme="minorHAnsi" w:cs="Times New Roman"/>
                      <w:color w:val="3F3F3F"/>
                      <w:sz w:val="22"/>
                      <w:szCs w:val="22"/>
                      <w:lang w:val="en-US" w:bidi="en-US"/>
                    </w:rPr>
                    <w:t>Financial Services Group</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was instrumental in handling Bloomberg inbound feeds which involves Consolidated Message Feeds, Positions upload, Counterparties, Cash, Price, Corporate Actions and Custom Sectors uploads</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Along with developing interfaces for inbound files, Hexaware has also worked with Bloomberg outbound feeds with respect to Bloomberg feed generation and delivery process as well as to identify the data elements requirements and to customize feeds for client use</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lastRenderedPageBreak/>
                    <w:t xml:space="preserve">Hexaware has also worked on the core </w:t>
                  </w:r>
                  <w:r w:rsidR="001529AA" w:rsidRPr="0083457A">
                    <w:rPr>
                      <w:rFonts w:asciiTheme="minorHAnsi" w:hAnsiTheme="minorHAnsi" w:cs="Times New Roman"/>
                      <w:color w:val="3F3F3F"/>
                      <w:sz w:val="22"/>
                      <w:szCs w:val="22"/>
                      <w:lang w:val="en-US" w:bidi="en-US"/>
                    </w:rPr>
                    <w:t>application</w:t>
                  </w:r>
                  <w:r w:rsidRPr="0083457A">
                    <w:rPr>
                      <w:rFonts w:asciiTheme="minorHAnsi" w:hAnsiTheme="minorHAnsi" w:cs="Times New Roman"/>
                      <w:color w:val="3F3F3F"/>
                      <w:sz w:val="22"/>
                      <w:szCs w:val="22"/>
                      <w:lang w:val="en-US" w:bidi="en-US"/>
                    </w:rPr>
                    <w:t xml:space="preserve"> w.r.t. the following activities:</w:t>
                  </w:r>
                  <w:r w:rsidRPr="0083457A">
                    <w:rPr>
                      <w:rFonts w:asciiTheme="minorHAnsi" w:hAnsiTheme="minorHAnsi" w:cs="Times New Roman"/>
                      <w:color w:val="3F3F3F"/>
                      <w:sz w:val="22"/>
                      <w:szCs w:val="22"/>
                      <w:lang w:val="en-US" w:bidi="en-US"/>
                    </w:rPr>
                    <w:br/>
                    <w:t>Granting User Permissions, Setting up accounts, Setting up Brokers, Compliance and Backend Processing. Hexaware now also understand the ticketing process and could handle the process of entering a ticket and other scenarios of cancels and corrections i.e., trade date and post trade date</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Hexaware’s team coordinated the upgrade of Bloomberg Gateway application, which is a middleware application that takes Bloomberg feeds and populates downstream application with Bloomberg data.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Hexaware has provided assistance with Gateway issues including updating brokers, accounts and general troubleshooting, has designed workflow for </w:t>
                  </w:r>
                  <w:r w:rsidRPr="0083457A">
                    <w:rPr>
                      <w:rFonts w:asciiTheme="minorHAnsi" w:hAnsiTheme="minorHAnsi" w:cs="Times New Roman"/>
                      <w:color w:val="3F3F3F"/>
                      <w:sz w:val="22"/>
                      <w:szCs w:val="22"/>
                      <w:lang w:val="en-US" w:bidi="en-US"/>
                    </w:rPr>
                    <w:lastRenderedPageBreak/>
                    <w:t xml:space="preserve">license issue and stored procedure and has done analysis for Maximis security feed additions as well as Trade Feed upgrade.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Hexaware has also assisted in installing, testing and training users on Gateway 3.0</w:t>
                  </w:r>
                </w:p>
              </w:tc>
            </w:tr>
            <w:tr w:rsidR="00892FF5" w:rsidRPr="00873938" w:rsidTr="00FB67EC">
              <w:trPr>
                <w:trHeight w:val="58"/>
              </w:trPr>
              <w:tc>
                <w:tcPr>
                  <w:tcW w:w="5000" w:type="pct"/>
                  <w:gridSpan w:val="4"/>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Market Data Integration and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Global Financial Data Provider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Client providing investment data such as: pricing, reference data, portfolio valuations and trade processing was looking to enhance their operational efficiency with a long term objective to be cost effective to their end customers. The process scope includes, Scrubbing of data points from 424B5 reports filed on SEC, Viz. Home Equity deals ,Alt A deals ,CMBS deals, CDO</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Improved efficiency by utilizing the differences in time zones and also leveraged on cost arbitrage, Hexaware’s global delivery model and resultant savings by off shoring</w:t>
                  </w:r>
                </w:p>
              </w:tc>
            </w:tr>
            <w:tr w:rsidR="00892FF5" w:rsidRPr="00873938" w:rsidTr="00B74B7A">
              <w:trPr>
                <w:trHeight w:val="1741"/>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State Oil Fund</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Development of Interface with Bloomberg,  Custodian etc</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Automation of critical market data such as price, Libor, FX rate, credit rating etc.</w:t>
                  </w:r>
                  <w:r w:rsidRPr="0083457A">
                    <w:rPr>
                      <w:rFonts w:asciiTheme="minorHAnsi" w:hAnsiTheme="minorHAnsi" w:cs="Times New Roman"/>
                      <w:color w:val="3F3F3F"/>
                      <w:sz w:val="22"/>
                      <w:szCs w:val="22"/>
                      <w:lang w:val="en-US" w:bidi="en-US"/>
                    </w:rPr>
                    <w:br/>
                    <w:t>Back up of daily market data to reconcile with custodian database and confirm trade.</w:t>
                  </w:r>
                  <w:r w:rsidRPr="0083457A">
                    <w:rPr>
                      <w:rFonts w:asciiTheme="minorHAnsi" w:hAnsiTheme="minorHAnsi" w:cs="Times New Roman"/>
                      <w:color w:val="3F3F3F"/>
                      <w:sz w:val="22"/>
                      <w:szCs w:val="22"/>
                      <w:lang w:val="en-US" w:bidi="en-US"/>
                    </w:rPr>
                    <w:br/>
                    <w:t>Interface with Bloomberg for automation of Securities Pricing and FX rates</w:t>
                  </w:r>
                  <w:r w:rsidRPr="0083457A">
                    <w:rPr>
                      <w:rFonts w:asciiTheme="minorHAnsi" w:hAnsiTheme="minorHAnsi" w:cs="Times New Roman"/>
                      <w:color w:val="3F3F3F"/>
                      <w:sz w:val="22"/>
                      <w:szCs w:val="22"/>
                      <w:lang w:val="en-US" w:bidi="en-US"/>
                    </w:rPr>
                    <w:br/>
                    <w:t>Interfacing with Bloomberg for LIBOR rates and Credit Ratings</w:t>
                  </w:r>
                </w:p>
              </w:tc>
            </w:tr>
            <w:tr w:rsidR="00892FF5" w:rsidRPr="00873938" w:rsidTr="00FB67EC">
              <w:trPr>
                <w:trHeight w:val="103"/>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Risk Analytics</w:t>
                  </w:r>
                </w:p>
              </w:tc>
            </w:tr>
            <w:tr w:rsidR="00892FF5" w:rsidRPr="00873938" w:rsidTr="00B74B7A">
              <w:trPr>
                <w:trHeight w:val="224"/>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Financial Institution</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Team Supported the Client </w:t>
                  </w:r>
                  <w:r w:rsidRPr="0083457A">
                    <w:rPr>
                      <w:rFonts w:asciiTheme="minorHAnsi" w:hAnsiTheme="minorHAnsi" w:cs="Times New Roman"/>
                      <w:color w:val="3F3F3F"/>
                      <w:sz w:val="22"/>
                      <w:szCs w:val="22"/>
                      <w:lang w:val="en-US" w:bidi="en-US"/>
                    </w:rPr>
                    <w:lastRenderedPageBreak/>
                    <w:t xml:space="preserve">Team in Murex Implementation for VaR by replacing KVaR+. The Task includes </w:t>
                  </w:r>
                  <w:r w:rsidRPr="0083457A">
                    <w:rPr>
                      <w:rFonts w:asciiTheme="minorHAnsi" w:hAnsiTheme="minorHAnsi" w:cs="Times New Roman"/>
                      <w:color w:val="3F3F3F"/>
                      <w:sz w:val="22"/>
                      <w:szCs w:val="22"/>
                      <w:lang w:val="en-US" w:bidi="en-US"/>
                    </w:rPr>
                    <w:br/>
                    <w:t>Mapping between Kondor+ and Murex, Static Data and Market Data Setup and configuration, Functional Testing and Reconciliation of deals between     Kondor+ and Murex. Trend Analysis during parallel run for VaR and Reporting</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One single </w:t>
                  </w:r>
                  <w:r w:rsidRPr="0083457A">
                    <w:rPr>
                      <w:rFonts w:asciiTheme="minorHAnsi" w:hAnsiTheme="minorHAnsi" w:cs="Times New Roman"/>
                      <w:color w:val="3F3F3F"/>
                      <w:sz w:val="22"/>
                      <w:szCs w:val="22"/>
                      <w:lang w:val="en-US" w:bidi="en-US"/>
                    </w:rPr>
                    <w:lastRenderedPageBreak/>
                    <w:t>consolidated number for VaR</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Report delivery before the trading hours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VaR Analysis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Single view reporting of VaR  and VaR Analysis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Team Supported the Client Team in Risk Data Warehouse (with Basel II implementation) Hexaware developed 314 ETL components for Release 1 and development is in progress for 165 Release  Hexaware performed development and unit Testing. Also assisted client in Installation /Troubleshooting/ Maintenance of DataStage Warehouse in multiple environment i.e. DEV, SIT, UAT and PROD</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Customized  adhoc reporting module which allows end users to generate reports. </w:t>
                  </w:r>
                </w:p>
              </w:tc>
            </w:tr>
            <w:tr w:rsidR="00892FF5" w:rsidRPr="00873938" w:rsidTr="00FB67EC">
              <w:trPr>
                <w:trHeight w:val="58"/>
              </w:trPr>
              <w:tc>
                <w:tcPr>
                  <w:tcW w:w="5000" w:type="pct"/>
                  <w:gridSpan w:val="4"/>
                </w:tcPr>
                <w:p w:rsidR="00892FF5" w:rsidRPr="00873938" w:rsidRDefault="00892FF5" w:rsidP="00683FCC">
                  <w:pPr>
                    <w:pStyle w:val="TableBodyPara"/>
                    <w:rPr>
                      <w:rFonts w:asciiTheme="minorHAnsi" w:hAnsiTheme="minorHAnsi" w:cs="Arial"/>
                      <w:sz w:val="22"/>
                      <w:szCs w:val="22"/>
                    </w:rPr>
                  </w:pPr>
                  <w:r w:rsidRPr="00873938">
                    <w:rPr>
                      <w:rFonts w:asciiTheme="minorHAnsi" w:hAnsiTheme="minorHAnsi" w:cs="Arial"/>
                      <w:b/>
                      <w:color w:val="0070C0"/>
                      <w:sz w:val="22"/>
                      <w:szCs w:val="22"/>
                    </w:rPr>
                    <w:t>Data Warehousing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Financial Institution</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Development of Uploaders, Exporters, Web </w:t>
                  </w:r>
                  <w:r w:rsidR="00837F76" w:rsidRPr="0083457A">
                    <w:rPr>
                      <w:rFonts w:asciiTheme="minorHAnsi" w:hAnsiTheme="minorHAnsi" w:cs="Times New Roman"/>
                      <w:color w:val="3F3F3F"/>
                      <w:sz w:val="22"/>
                      <w:szCs w:val="22"/>
                      <w:lang w:val="en-US" w:bidi="en-US"/>
                    </w:rPr>
                    <w:t>Panels in</w:t>
                  </w:r>
                  <w:r w:rsidRPr="0083457A">
                    <w:rPr>
                      <w:rFonts w:asciiTheme="minorHAnsi" w:hAnsiTheme="minorHAnsi" w:cs="Times New Roman"/>
                      <w:color w:val="3F3F3F"/>
                      <w:sz w:val="22"/>
                      <w:szCs w:val="22"/>
                      <w:lang w:val="en-US" w:bidi="en-US"/>
                    </w:rPr>
                    <w:t xml:space="preserve"> Eagle PACE. Data received from Multiple Sources like CAMRA, D&amp;D, Strategy, BlackRock, Barclays Point etc.  Scope includes Functional Spec, Analysis, Development, SIT and Data Validation.</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Client will rely upon single source for Data instead of </w:t>
                  </w:r>
                  <w:r w:rsidR="00837F76" w:rsidRPr="0083457A">
                    <w:rPr>
                      <w:rFonts w:asciiTheme="minorHAnsi" w:hAnsiTheme="minorHAnsi" w:cs="Times New Roman"/>
                      <w:color w:val="3F3F3F"/>
                      <w:sz w:val="22"/>
                      <w:szCs w:val="22"/>
                      <w:lang w:val="en-US" w:bidi="en-US"/>
                    </w:rPr>
                    <w:t>receiving</w:t>
                  </w:r>
                  <w:r w:rsidRPr="0083457A">
                    <w:rPr>
                      <w:rFonts w:asciiTheme="minorHAnsi" w:hAnsiTheme="minorHAnsi" w:cs="Times New Roman"/>
                      <w:color w:val="3F3F3F"/>
                      <w:sz w:val="22"/>
                      <w:szCs w:val="22"/>
                      <w:lang w:val="en-US" w:bidi="en-US"/>
                    </w:rPr>
                    <w:t xml:space="preserve"> Multiple Sources. This data is used by the Client by Portfolio Management Team and Risk Management Group  for Report Generation</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provided support in development </w:t>
                  </w:r>
                  <w:r w:rsidR="00837F76" w:rsidRPr="0083457A">
                    <w:rPr>
                      <w:rFonts w:asciiTheme="minorHAnsi" w:hAnsiTheme="minorHAnsi" w:cs="Times New Roman"/>
                      <w:color w:val="3F3F3F"/>
                      <w:sz w:val="22"/>
                      <w:szCs w:val="22"/>
                      <w:lang w:val="en-US" w:bidi="en-US"/>
                    </w:rPr>
                    <w:t>of Financial</w:t>
                  </w:r>
                  <w:r w:rsidRPr="0083457A">
                    <w:rPr>
                      <w:rFonts w:asciiTheme="minorHAnsi" w:hAnsiTheme="minorHAnsi" w:cs="Times New Roman"/>
                      <w:color w:val="3F3F3F"/>
                      <w:sz w:val="22"/>
                      <w:szCs w:val="22"/>
                      <w:lang w:val="en-US" w:bidi="en-US"/>
                    </w:rPr>
                    <w:t xml:space="preserve"> Data Warehouse and ETL Enhancements Hexaware implemented nFORM Multidimensional Security.</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Also performed ETL development of Client Profitability reporting</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Also Proactively helped the nFORM Data team in data correction.</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Hexaware helped client Reduced Firecall resolution time by equipping resources with techno functional skills.</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 xml:space="preserve">Also Hexaware cross trained team </w:t>
                  </w:r>
                  <w:r w:rsidRPr="0083457A">
                    <w:rPr>
                      <w:rFonts w:asciiTheme="minorHAnsi" w:hAnsiTheme="minorHAnsi" w:cs="Times New Roman"/>
                      <w:color w:val="3F3F3F"/>
                      <w:sz w:val="22"/>
                      <w:szCs w:val="22"/>
                      <w:lang w:val="en-US" w:bidi="en-US"/>
                    </w:rPr>
                    <w:lastRenderedPageBreak/>
                    <w:t>members to achieve higher % of Multi skilled resources within the team.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Large Advisory &amp;</w:t>
                  </w:r>
                  <w:r w:rsidRPr="0083457A">
                    <w:rPr>
                      <w:rFonts w:asciiTheme="minorHAnsi" w:hAnsiTheme="minorHAnsi" w:cs="Times New Roman"/>
                      <w:color w:val="3F3F3F"/>
                      <w:sz w:val="22"/>
                      <w:szCs w:val="22"/>
                      <w:lang w:val="en-US" w:bidi="en-US"/>
                    </w:rPr>
                    <w:br/>
                    <w:t>Investment</w:t>
                  </w:r>
                  <w:r w:rsidRPr="0083457A">
                    <w:rPr>
                      <w:rFonts w:asciiTheme="minorHAnsi" w:hAnsiTheme="minorHAnsi" w:cs="Times New Roman"/>
                      <w:color w:val="3F3F3F"/>
                      <w:sz w:val="22"/>
                      <w:szCs w:val="22"/>
                      <w:lang w:val="en-US" w:bidi="en-US"/>
                    </w:rPr>
                    <w:br/>
                    <w:t>Management Firm</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Leading Asset Management Company in North America</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Eagle Systems,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German Investment Bank</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Leading Financial Institution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Implementation of Eagle Pace (Data Warehouse)</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Implementation of Eagle Pace 8.0</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Multiple upgrades of PACE</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Product development and support of Portfolio Management products – Eagle PACE</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Data upload from In-house apps &amp; External sources to Eagle Pace</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Accounting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Eagle Systems,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Custodian Bank</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Partnership Custodial Bank</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Largest Mutual Fund Company</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Implemented Portfolio Accounting solution - Eagle Star for the clients mentioned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br/>
                    <w:t xml:space="preserve">Hexaware has worked in </w:t>
                  </w:r>
                  <w:r w:rsidR="00837F76" w:rsidRPr="0083457A">
                    <w:rPr>
                      <w:rFonts w:asciiTheme="minorHAnsi" w:hAnsiTheme="minorHAnsi" w:cs="Times New Roman"/>
                      <w:color w:val="3F3F3F"/>
                      <w:sz w:val="22"/>
                      <w:szCs w:val="22"/>
                      <w:lang w:val="en-US" w:bidi="en-US"/>
                    </w:rPr>
                    <w:t>liaison</w:t>
                  </w:r>
                  <w:r w:rsidRPr="0083457A">
                    <w:rPr>
                      <w:rFonts w:asciiTheme="minorHAnsi" w:hAnsiTheme="minorHAnsi" w:cs="Times New Roman"/>
                      <w:color w:val="3F3F3F"/>
                      <w:sz w:val="22"/>
                      <w:szCs w:val="22"/>
                      <w:lang w:val="en-US" w:bidi="en-US"/>
                    </w:rPr>
                    <w:t xml:space="preserve"> with the product company - Eagle Systems on Eagle STAR</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Product development and support of Portfolio Management products – Eagle PACE and Eagle STAR</w:t>
                  </w:r>
                  <w:r w:rsidRPr="0083457A">
                    <w:rPr>
                      <w:rFonts w:asciiTheme="minorHAnsi" w:hAnsiTheme="minorHAnsi" w:cs="Times New Roman"/>
                      <w:color w:val="3F3F3F"/>
                      <w:sz w:val="22"/>
                      <w:szCs w:val="22"/>
                      <w:lang w:val="en-US" w:bidi="en-US"/>
                    </w:rPr>
                    <w:br/>
                    <w:t>Eagle STAR upgrade</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Data Migration of Reference, Security, Account, Position, Lots, Trades and Cash Activity from multiple portfolio accounting /management systems such as PACE (US Securities), PMS (International securities) and CAMRA (Insurance accounting)</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migrated </w:t>
                  </w:r>
                  <w:r w:rsidR="00837F76" w:rsidRPr="0083457A">
                    <w:rPr>
                      <w:rFonts w:asciiTheme="minorHAnsi" w:hAnsiTheme="minorHAnsi" w:cs="Times New Roman"/>
                      <w:color w:val="3F3F3F"/>
                      <w:sz w:val="22"/>
                      <w:szCs w:val="22"/>
                      <w:lang w:val="en-US" w:bidi="en-US"/>
                    </w:rPr>
                    <w:t>investment</w:t>
                  </w:r>
                  <w:r w:rsidRPr="0083457A">
                    <w:rPr>
                      <w:rFonts w:asciiTheme="minorHAnsi" w:hAnsiTheme="minorHAnsi" w:cs="Times New Roman"/>
                      <w:color w:val="3F3F3F"/>
                      <w:sz w:val="22"/>
                      <w:szCs w:val="22"/>
                      <w:lang w:val="en-US" w:bidi="en-US"/>
                    </w:rPr>
                    <w:t xml:space="preserve"> data from multiple applications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Portfolio Accounting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provided the production support and maintenance for Dataload Domestic and Dataload Global System that records and stores Transaction and Valuation based data for Domestic and Global Clients in and outside U.S. Upstream </w:t>
                  </w:r>
                  <w:r w:rsidRPr="0083457A">
                    <w:rPr>
                      <w:rFonts w:asciiTheme="minorHAnsi" w:hAnsiTheme="minorHAnsi" w:cs="Times New Roman"/>
                      <w:color w:val="3F3F3F"/>
                      <w:sz w:val="22"/>
                      <w:szCs w:val="22"/>
                      <w:lang w:val="en-US" w:bidi="en-US"/>
                    </w:rPr>
                    <w:lastRenderedPageBreak/>
                    <w:t>Application provides information for various securities and Transactions that take place daily. Using this information it maintains valuation and Account information, which is used by various downstream applications for Reporting, analysis and future investments.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AS/400 requests for Dataload Global now being successfully executed from offshore as well.</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Critical jobs identified that were missing </w:t>
                  </w:r>
                  <w:r w:rsidRPr="0083457A">
                    <w:rPr>
                      <w:rFonts w:asciiTheme="minorHAnsi" w:hAnsiTheme="minorHAnsi" w:cs="Times New Roman"/>
                      <w:color w:val="3F3F3F"/>
                      <w:sz w:val="22"/>
                      <w:szCs w:val="22"/>
                      <w:lang w:val="en-US" w:bidi="en-US"/>
                    </w:rPr>
                    <w:lastRenderedPageBreak/>
                    <w:t>shouts and incorporated shouts accordingly.</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Mentoring of resources undertaken to ensure that communication </w:t>
                  </w:r>
                  <w:r w:rsidR="007B0AF2" w:rsidRPr="0083457A">
                    <w:rPr>
                      <w:rFonts w:asciiTheme="minorHAnsi" w:hAnsiTheme="minorHAnsi" w:cs="Times New Roman"/>
                      <w:color w:val="3F3F3F"/>
                      <w:sz w:val="22"/>
                      <w:szCs w:val="22"/>
                      <w:lang w:val="en-US" w:bidi="en-US"/>
                    </w:rPr>
                    <w:t>is always clear and precise.</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Client defined SLAs for System Availability, On Time Delivery, First Time Right, Response Time and Resolution Time were met throughout the project.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Received appreciation from client for the excellent work done by the Dataload Global team.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handled the maintenance work for Fundmaster which is the multi-currency information system the client utilizes to maintain the investment and banking activity associated with its global clients’ portfolios. Fundmaster is middle office application and is the heart of business process.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Client defined SLAs for System Availability, On Time Delivery, First Time Right, Response Time and Resolution Time w</w:t>
                  </w:r>
                  <w:r w:rsidR="007B0AF2" w:rsidRPr="0083457A">
                    <w:rPr>
                      <w:rFonts w:asciiTheme="minorHAnsi" w:hAnsiTheme="minorHAnsi" w:cs="Times New Roman"/>
                      <w:color w:val="3F3F3F"/>
                      <w:sz w:val="22"/>
                      <w:szCs w:val="22"/>
                      <w:lang w:val="en-US" w:bidi="en-US"/>
                    </w:rPr>
                    <w:t>ere met throughout the project.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Successfully able to provide support on Boxing Day.  Successfully implemented a generic solution for migration of FundMaster report to XACT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was responsible for Production support, maintenance of existing programs, enhancements and new development, Cycle support for Capitol projects for Fee &amp; </w:t>
                  </w:r>
                  <w:r w:rsidRPr="0083457A">
                    <w:rPr>
                      <w:rFonts w:asciiTheme="minorHAnsi" w:hAnsiTheme="minorHAnsi" w:cs="Times New Roman"/>
                      <w:color w:val="3F3F3F"/>
                      <w:sz w:val="22"/>
                      <w:szCs w:val="22"/>
                      <w:lang w:val="en-US" w:bidi="en-US"/>
                    </w:rPr>
                    <w:lastRenderedPageBreak/>
                    <w:t>Profitability system that deals with the calculation of various fees to be charged to the clients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UAT environment set-up and cycle running, has reduced overheads on the SMEs.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Documentation of jobs &amp; programs on ma</w:t>
                  </w:r>
                  <w:r w:rsidR="007B0AF2" w:rsidRPr="0083457A">
                    <w:rPr>
                      <w:rFonts w:asciiTheme="minorHAnsi" w:hAnsiTheme="minorHAnsi" w:cs="Times New Roman"/>
                      <w:color w:val="3F3F3F"/>
                      <w:sz w:val="22"/>
                      <w:szCs w:val="22"/>
                      <w:lang w:val="en-US" w:bidi="en-US"/>
                    </w:rPr>
                    <w:t>jor systems like FEP, FEM, FAC.</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Received appreciation from client for providing value adds due to enormous reduction in batch run time. Entire </w:t>
                  </w:r>
                  <w:r w:rsidR="00837F76" w:rsidRPr="0083457A">
                    <w:rPr>
                      <w:rFonts w:asciiTheme="minorHAnsi" w:hAnsiTheme="minorHAnsi" w:cs="Times New Roman"/>
                      <w:color w:val="3F3F3F"/>
                      <w:sz w:val="22"/>
                      <w:szCs w:val="22"/>
                      <w:lang w:val="en-US" w:bidi="en-US"/>
                    </w:rPr>
                    <w:t>team has</w:t>
                  </w:r>
                  <w:r w:rsidRPr="0083457A">
                    <w:rPr>
                      <w:rFonts w:asciiTheme="minorHAnsi" w:hAnsiTheme="minorHAnsi" w:cs="Times New Roman"/>
                      <w:color w:val="3F3F3F"/>
                      <w:sz w:val="22"/>
                      <w:szCs w:val="22"/>
                      <w:lang w:val="en-US" w:bidi="en-US"/>
                    </w:rPr>
                    <w:t xml:space="preserve"> been appreciated by Application managers during weekly conference calls for </w:t>
                  </w:r>
                  <w:r w:rsidR="00837F76" w:rsidRPr="0083457A">
                    <w:rPr>
                      <w:rFonts w:asciiTheme="minorHAnsi" w:hAnsiTheme="minorHAnsi" w:cs="Times New Roman"/>
                      <w:color w:val="3F3F3F"/>
                      <w:sz w:val="22"/>
                      <w:szCs w:val="22"/>
                      <w:lang w:val="en-US" w:bidi="en-US"/>
                    </w:rPr>
                    <w:t>their</w:t>
                  </w:r>
                  <w:r w:rsidRPr="0083457A">
                    <w:rPr>
                      <w:rFonts w:asciiTheme="minorHAnsi" w:hAnsiTheme="minorHAnsi" w:cs="Times New Roman"/>
                      <w:color w:val="3F3F3F"/>
                      <w:sz w:val="22"/>
                      <w:szCs w:val="22"/>
                      <w:lang w:val="en-US" w:bidi="en-US"/>
                    </w:rPr>
                    <w:t xml:space="preserve"> dedication and responsibility in day-to-day work.</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Portfolio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p w:rsidR="00892FF5" w:rsidRPr="0083457A" w:rsidRDefault="00892FF5" w:rsidP="00506A30">
                  <w:pPr>
                    <w:jc w:val="center"/>
                    <w:rPr>
                      <w:rFonts w:asciiTheme="minorHAnsi" w:eastAsia="Times New Roman" w:hAnsiTheme="minorHAnsi"/>
                      <w:color w:val="3F3F3F"/>
                      <w:sz w:val="22"/>
                      <w:lang w:bidi="en-US"/>
                    </w:rPr>
                  </w:pPr>
                </w:p>
              </w:tc>
              <w:tc>
                <w:tcPr>
                  <w:tcW w:w="2055" w:type="pct"/>
                  <w:gridSpan w:val="2"/>
                </w:tcPr>
                <w:p w:rsidR="00785C89"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 ASM support to the In-House Applications </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Involved in the full life cycle from Requirement gathering to Implementation</w:t>
                  </w:r>
                </w:p>
                <w:p w:rsidR="00785C89" w:rsidRPr="0083457A" w:rsidRDefault="00837F76"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Invol</w:t>
                  </w:r>
                  <w:r>
                    <w:rPr>
                      <w:rFonts w:asciiTheme="minorHAnsi" w:hAnsiTheme="minorHAnsi" w:cs="Times New Roman"/>
                      <w:color w:val="3F3F3F"/>
                      <w:sz w:val="22"/>
                      <w:szCs w:val="22"/>
                      <w:lang w:val="en-US" w:bidi="en-US"/>
                    </w:rPr>
                    <w:t>v</w:t>
                  </w:r>
                  <w:r w:rsidRPr="0083457A">
                    <w:rPr>
                      <w:rFonts w:asciiTheme="minorHAnsi" w:hAnsiTheme="minorHAnsi" w:cs="Times New Roman"/>
                      <w:color w:val="3F3F3F"/>
                      <w:sz w:val="22"/>
                      <w:szCs w:val="22"/>
                      <w:lang w:val="en-US" w:bidi="en-US"/>
                    </w:rPr>
                    <w:t>ed</w:t>
                  </w:r>
                  <w:r w:rsidR="00892FF5" w:rsidRPr="0083457A">
                    <w:rPr>
                      <w:rFonts w:asciiTheme="minorHAnsi" w:hAnsiTheme="minorHAnsi" w:cs="Times New Roman"/>
                      <w:color w:val="3F3F3F"/>
                      <w:sz w:val="22"/>
                      <w:szCs w:val="22"/>
                      <w:lang w:val="en-US" w:bidi="en-US"/>
                    </w:rPr>
                    <w:t xml:space="preserve"> in pro</w:t>
                  </w:r>
                  <w:r w:rsidR="00785C89" w:rsidRPr="0083457A">
                    <w:rPr>
                      <w:rFonts w:asciiTheme="minorHAnsi" w:hAnsiTheme="minorHAnsi" w:cs="Times New Roman"/>
                      <w:color w:val="3F3F3F"/>
                      <w:sz w:val="22"/>
                      <w:szCs w:val="22"/>
                      <w:lang w:val="en-US" w:bidi="en-US"/>
                    </w:rPr>
                    <w:t xml:space="preserve">viding 24*7 Production support </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Sun setting of Legacy applications</w:t>
                  </w:r>
                </w:p>
              </w:tc>
              <w:tc>
                <w:tcPr>
                  <w:tcW w:w="1400" w:type="pct"/>
                </w:tcPr>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Cost effective Onsite Offshore model</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24*7 Production Support</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Technical and Functional resources</w:t>
                  </w:r>
                </w:p>
                <w:p w:rsidR="007B0AF2"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Improved B</w:t>
                  </w:r>
                  <w:r w:rsidR="007B0AF2" w:rsidRPr="0083457A">
                    <w:rPr>
                      <w:rFonts w:asciiTheme="minorHAnsi" w:hAnsiTheme="minorHAnsi" w:cs="Times New Roman"/>
                      <w:color w:val="3F3F3F"/>
                      <w:sz w:val="22"/>
                      <w:szCs w:val="22"/>
                      <w:lang w:val="en-US" w:bidi="en-US"/>
                    </w:rPr>
                    <w:t>atch cycle and CPU optimization</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Fixing existing Production Bugs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Corporate Actions Reporting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Partnership Custodial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Report Development (Reporting Tool : Hyperion). No.</w:t>
                  </w:r>
                  <w:r w:rsidR="00837F76">
                    <w:rPr>
                      <w:rFonts w:asciiTheme="minorHAnsi" w:hAnsiTheme="minorHAnsi" w:cs="Times New Roman"/>
                      <w:color w:val="3F3F3F"/>
                      <w:sz w:val="22"/>
                      <w:szCs w:val="22"/>
                      <w:lang w:val="en-US" w:bidi="en-US"/>
                    </w:rPr>
                    <w:t xml:space="preserve"> </w:t>
                  </w:r>
                  <w:r w:rsidRPr="0083457A">
                    <w:rPr>
                      <w:rFonts w:asciiTheme="minorHAnsi" w:hAnsiTheme="minorHAnsi" w:cs="Times New Roman"/>
                      <w:color w:val="3F3F3F"/>
                      <w:sz w:val="22"/>
                      <w:szCs w:val="22"/>
                      <w:lang w:val="en-US" w:bidi="en-US"/>
                    </w:rPr>
                    <w:t>of Reports  Developed : 25, Sample Reports like Projected Payments, Past Due Report, Reversal Report</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World's Leading Financial Management and Advisory</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carried out the task of validating Corporate Action processing on Eagle STAR and CRD</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Independent validation of a large scale product implementation</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Reconciliation</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785C89" w:rsidRPr="0083457A" w:rsidRDefault="00837F76"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supported</w:t>
                  </w:r>
                  <w:r w:rsidR="00892FF5" w:rsidRPr="0083457A">
                    <w:rPr>
                      <w:rFonts w:asciiTheme="minorHAnsi" w:hAnsiTheme="minorHAnsi" w:cs="Times New Roman"/>
                      <w:color w:val="3F3F3F"/>
                      <w:sz w:val="22"/>
                      <w:szCs w:val="22"/>
                      <w:lang w:val="en-US" w:bidi="en-US"/>
                    </w:rPr>
                    <w:t xml:space="preserve"> the Business Team in </w:t>
                  </w:r>
                  <w:r w:rsidRPr="0083457A">
                    <w:rPr>
                      <w:rFonts w:asciiTheme="minorHAnsi" w:hAnsiTheme="minorHAnsi" w:cs="Times New Roman"/>
                      <w:color w:val="3F3F3F"/>
                      <w:sz w:val="22"/>
                      <w:szCs w:val="22"/>
                      <w:lang w:val="en-US" w:bidi="en-US"/>
                    </w:rPr>
                    <w:t>Implementation</w:t>
                  </w:r>
                  <w:r w:rsidR="00892FF5" w:rsidRPr="0083457A">
                    <w:rPr>
                      <w:rFonts w:asciiTheme="minorHAnsi" w:hAnsiTheme="minorHAnsi" w:cs="Times New Roman"/>
                      <w:color w:val="3F3F3F"/>
                      <w:sz w:val="22"/>
                      <w:szCs w:val="22"/>
                      <w:lang w:val="en-US" w:bidi="en-US"/>
                    </w:rPr>
                    <w:t xml:space="preserve"> of  TLM application. Client chose to migrate </w:t>
                  </w:r>
                  <w:r w:rsidR="00892FF5" w:rsidRPr="0083457A">
                    <w:rPr>
                      <w:rFonts w:asciiTheme="minorHAnsi" w:hAnsiTheme="minorHAnsi" w:cs="Times New Roman"/>
                      <w:color w:val="3F3F3F"/>
                      <w:sz w:val="22"/>
                      <w:szCs w:val="22"/>
                      <w:lang w:val="en-US" w:bidi="en-US"/>
                    </w:rPr>
                    <w:lastRenderedPageBreak/>
                    <w:t xml:space="preserve">from Smart Stream SSR into TLM.  The Scope includes </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Preparation of</w:t>
                  </w:r>
                  <w:r w:rsidR="00785C89" w:rsidRPr="0083457A">
                    <w:rPr>
                      <w:rFonts w:asciiTheme="minorHAnsi" w:hAnsiTheme="minorHAnsi" w:cs="Times New Roman"/>
                      <w:color w:val="3F3F3F"/>
                      <w:sz w:val="22"/>
                      <w:szCs w:val="22"/>
                      <w:lang w:val="en-US" w:bidi="en-US"/>
                    </w:rPr>
                    <w:t xml:space="preserve"> Test Cases and Test Scenarios </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Preparation of User Guides and Job Guides</w:t>
                  </w:r>
                </w:p>
                <w:p w:rsidR="00785C89"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Performed Regression Te</w:t>
                  </w:r>
                  <w:r w:rsidR="00785C89" w:rsidRPr="0083457A">
                    <w:rPr>
                      <w:rFonts w:asciiTheme="minorHAnsi" w:hAnsiTheme="minorHAnsi" w:cs="Times New Roman"/>
                      <w:color w:val="3F3F3F"/>
                      <w:sz w:val="22"/>
                      <w:szCs w:val="22"/>
                      <w:lang w:val="en-US" w:bidi="en-US"/>
                    </w:rPr>
                    <w:t>sting  and Performance Testing</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Performed test scenarios listed in Functional Test Tracker by login as different users into TLM Web connect</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Improved Productivity from work flow and Exception Handling</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Improved Risk Management through Daily Sign off   Process for Cash and Asset  Aging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Investment Management Firm &amp; Lead Advisor</w:t>
                  </w:r>
                </w:p>
              </w:tc>
              <w:tc>
                <w:tcPr>
                  <w:tcW w:w="2055" w:type="pct"/>
                  <w:gridSpan w:val="2"/>
                </w:tcPr>
                <w:p w:rsidR="005907DF"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t>
                  </w:r>
                  <w:r w:rsidR="00837F76" w:rsidRPr="0083457A">
                    <w:rPr>
                      <w:rFonts w:asciiTheme="minorHAnsi" w:hAnsiTheme="minorHAnsi" w:cs="Times New Roman"/>
                      <w:color w:val="3F3F3F"/>
                      <w:sz w:val="22"/>
                      <w:szCs w:val="22"/>
                      <w:lang w:val="en-US" w:bidi="en-US"/>
                    </w:rPr>
                    <w:t>supported Business</w:t>
                  </w:r>
                  <w:r w:rsidRPr="0083457A">
                    <w:rPr>
                      <w:rFonts w:asciiTheme="minorHAnsi" w:hAnsiTheme="minorHAnsi" w:cs="Times New Roman"/>
                      <w:color w:val="3F3F3F"/>
                      <w:sz w:val="22"/>
                      <w:szCs w:val="22"/>
                      <w:lang w:val="en-US" w:bidi="en-US"/>
                    </w:rPr>
                    <w:t xml:space="preserve"> Users from Migrating Data the Legacy Trading System (DATS) into a more sophisticated system (MUREX). The migration would ensure a complete integration of front office, middle office and back office systems. Scope includes </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Data validation – comparing DATS </w:t>
                  </w:r>
                  <w:r w:rsidR="005907DF" w:rsidRPr="0083457A">
                    <w:rPr>
                      <w:rFonts w:asciiTheme="minorHAnsi" w:hAnsiTheme="minorHAnsi" w:cs="Times New Roman"/>
                      <w:color w:val="3F3F3F"/>
                      <w:sz w:val="22"/>
                      <w:szCs w:val="22"/>
                      <w:lang w:val="en-US" w:bidi="en-US"/>
                    </w:rPr>
                    <w:t>and Murex data for consistency,</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Guiding client to identify critical fields that cause mismatches in the portfolios</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Provide suggestions on mapping issues in Murex such as strike or fixed rate, notional amount, foreign notional amount, receive notional amount and pay notional amount.</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implemented their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Reconciliation tool. This tool helps  to provide an automated solution for Corporate Transitions, Conversions, TBA and Valuation Reporting of Fund Accounting Team for the reconciliation of data for various events</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Replaced  all prior re</w:t>
                  </w:r>
                  <w:r w:rsidR="005907DF" w:rsidRPr="0083457A">
                    <w:rPr>
                      <w:rFonts w:asciiTheme="minorHAnsi" w:hAnsiTheme="minorHAnsi" w:cs="Times New Roman"/>
                      <w:color w:val="3F3F3F"/>
                      <w:sz w:val="22"/>
                      <w:szCs w:val="22"/>
                      <w:lang w:val="en-US" w:bidi="en-US"/>
                    </w:rPr>
                    <w:t>con macros with Verzoenen tool.</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Results in a substantial tim</w:t>
                  </w:r>
                  <w:r w:rsidR="005907DF" w:rsidRPr="0083457A">
                    <w:rPr>
                      <w:rFonts w:asciiTheme="minorHAnsi" w:hAnsiTheme="minorHAnsi" w:cs="Times New Roman"/>
                      <w:color w:val="3F3F3F"/>
                      <w:sz w:val="22"/>
                      <w:szCs w:val="22"/>
                      <w:lang w:val="en-US" w:bidi="en-US"/>
                    </w:rPr>
                    <w:t>e savings for the coordinators.</w:t>
                  </w:r>
                </w:p>
                <w:p w:rsidR="005907DF" w:rsidRPr="0083457A" w:rsidRDefault="005907DF"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Improves data quality</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Improves</w:t>
                  </w:r>
                  <w:r w:rsidR="005907DF" w:rsidRPr="0083457A">
                    <w:rPr>
                      <w:rFonts w:asciiTheme="minorHAnsi" w:hAnsiTheme="minorHAnsi" w:cs="Times New Roman"/>
                      <w:color w:val="3F3F3F"/>
                      <w:sz w:val="22"/>
                      <w:szCs w:val="22"/>
                      <w:lang w:val="en-US" w:bidi="en-US"/>
                    </w:rPr>
                    <w:t xml:space="preserve"> reconciliation turnaround time</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Provides additional time to Valuation </w:t>
                  </w:r>
                  <w:r w:rsidRPr="0083457A">
                    <w:rPr>
                      <w:rFonts w:asciiTheme="minorHAnsi" w:hAnsiTheme="minorHAnsi" w:cs="Times New Roman"/>
                      <w:color w:val="3F3F3F"/>
                      <w:sz w:val="22"/>
                      <w:szCs w:val="22"/>
                      <w:lang w:val="en-US" w:bidi="en-US"/>
                    </w:rPr>
                    <w:lastRenderedPageBreak/>
                    <w:t xml:space="preserve">Reporting team to </w:t>
                  </w:r>
                  <w:r w:rsidR="005907DF" w:rsidRPr="0083457A">
                    <w:rPr>
                      <w:rFonts w:asciiTheme="minorHAnsi" w:hAnsiTheme="minorHAnsi" w:cs="Times New Roman"/>
                      <w:color w:val="3F3F3F"/>
                      <w:sz w:val="22"/>
                      <w:szCs w:val="22"/>
                      <w:lang w:val="en-US" w:bidi="en-US"/>
                    </w:rPr>
                    <w:t>focus on client reporting need</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Standardization of the reconciliation process across partner areas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Hexaware Technologies</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Technologies  with our Domain Experience Developed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Tool called "Verzonen"</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Auditing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has provided production support and maintenance for Web Focus SLA which is an auditing application. Its one of the core &amp; critical systems.  This system authenticates the data available for its clients</w:t>
                  </w:r>
                </w:p>
              </w:tc>
              <w:tc>
                <w:tcPr>
                  <w:tcW w:w="1400" w:type="pct"/>
                </w:tcPr>
                <w:p w:rsidR="00892FF5" w:rsidRPr="00873938" w:rsidRDefault="00892FF5" w:rsidP="00506A30">
                  <w:pPr>
                    <w:pStyle w:val="TableBodyPara"/>
                    <w:rPr>
                      <w:rFonts w:asciiTheme="minorHAnsi" w:hAnsiTheme="minorHAnsi" w:cs="Arial"/>
                      <w:sz w:val="22"/>
                      <w:szCs w:val="22"/>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MIS and Reporting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support in Maintenance and support for Enterprise Information Management system  (on Business Objects and Oracle).Hexaware provided Physical data model / data mart / OSA support also helped in carrying out maintenance of Business Object Reporting Universe</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Extended support for report </w:t>
                  </w:r>
                  <w:r w:rsidR="00837F76" w:rsidRPr="0083457A">
                    <w:rPr>
                      <w:rFonts w:asciiTheme="minorHAnsi" w:hAnsiTheme="minorHAnsi" w:cs="Times New Roman"/>
                      <w:color w:val="3F3F3F"/>
                      <w:sz w:val="22"/>
                      <w:szCs w:val="22"/>
                      <w:lang w:val="en-US" w:bidi="en-US"/>
                    </w:rPr>
                    <w:t>migration -</w:t>
                  </w:r>
                  <w:r w:rsidRPr="0083457A">
                    <w:rPr>
                      <w:rFonts w:asciiTheme="minorHAnsi" w:hAnsiTheme="minorHAnsi" w:cs="Times New Roman"/>
                      <w:color w:val="3F3F3F"/>
                      <w:sz w:val="22"/>
                      <w:szCs w:val="22"/>
                      <w:lang w:val="en-US" w:bidi="en-US"/>
                    </w:rPr>
                    <w:t xml:space="preserve"> DEV/ UAT/ Production. Cost effective Onsite Offshore model.</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carried out the Production Support and Maintenance of three reporting </w:t>
                  </w:r>
                  <w:r w:rsidR="00837F76" w:rsidRPr="0083457A">
                    <w:rPr>
                      <w:rFonts w:asciiTheme="minorHAnsi" w:hAnsiTheme="minorHAnsi" w:cs="Times New Roman"/>
                      <w:color w:val="3F3F3F"/>
                      <w:sz w:val="22"/>
                      <w:szCs w:val="22"/>
                      <w:lang w:val="en-US" w:bidi="en-US"/>
                    </w:rPr>
                    <w:t>applications:</w:t>
                  </w:r>
                  <w:r w:rsidRPr="0083457A">
                    <w:rPr>
                      <w:rFonts w:asciiTheme="minorHAnsi" w:hAnsiTheme="minorHAnsi" w:cs="Times New Roman"/>
                      <w:color w:val="3F3F3F"/>
                      <w:sz w:val="22"/>
                      <w:szCs w:val="22"/>
                      <w:lang w:val="en-US" w:bidi="en-US"/>
                    </w:rPr>
                    <w:t xml:space="preserve"> CST - Corporate Statement / PSM - Personal Statement /Probate -  reports for Probate court  that generate performance report statements that will be provided to Personal and Corporate clients. These systems provides complete information regarding client trust accounts in the form of trust statements which contain detailed listings of both activity and assets in the client accounts</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Successfully provided to the most critical s</w:t>
                  </w:r>
                  <w:r w:rsidR="005907DF" w:rsidRPr="0083457A">
                    <w:rPr>
                      <w:rFonts w:asciiTheme="minorHAnsi" w:hAnsiTheme="minorHAnsi" w:cs="Times New Roman"/>
                      <w:color w:val="3F3F3F"/>
                      <w:sz w:val="22"/>
                      <w:szCs w:val="22"/>
                      <w:lang w:val="en-US" w:bidi="en-US"/>
                    </w:rPr>
                    <w:t xml:space="preserve">tream during the PSM Year </w:t>
                  </w:r>
                  <w:r w:rsidR="00837F76" w:rsidRPr="0083457A">
                    <w:rPr>
                      <w:rFonts w:asciiTheme="minorHAnsi" w:hAnsiTheme="minorHAnsi" w:cs="Times New Roman"/>
                      <w:color w:val="3F3F3F"/>
                      <w:sz w:val="22"/>
                      <w:szCs w:val="22"/>
                      <w:lang w:val="en-US" w:bidi="en-US"/>
                    </w:rPr>
                    <w:t>end.</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No availability missed. All the</w:t>
                  </w:r>
                  <w:r w:rsidR="005907DF" w:rsidRPr="0083457A">
                    <w:rPr>
                      <w:rFonts w:asciiTheme="minorHAnsi" w:hAnsiTheme="minorHAnsi" w:cs="Times New Roman"/>
                      <w:color w:val="3F3F3F"/>
                      <w:sz w:val="22"/>
                      <w:szCs w:val="22"/>
                      <w:lang w:val="en-US" w:bidi="en-US"/>
                    </w:rPr>
                    <w:t xml:space="preserve"> installs were with 0 defect </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Hexaware initiated the process to discontinue </w:t>
                  </w:r>
                  <w:r w:rsidRPr="0083457A">
                    <w:rPr>
                      <w:rFonts w:asciiTheme="minorHAnsi" w:hAnsiTheme="minorHAnsi" w:cs="Times New Roman"/>
                      <w:color w:val="3F3F3F"/>
                      <w:sz w:val="22"/>
                      <w:szCs w:val="22"/>
                      <w:lang w:val="en-US" w:bidi="en-US"/>
                    </w:rPr>
                    <w:br/>
                    <w:t>INSTALL 1 architectur</w:t>
                  </w:r>
                  <w:r w:rsidR="005907DF" w:rsidRPr="0083457A">
                    <w:rPr>
                      <w:rFonts w:asciiTheme="minorHAnsi" w:hAnsiTheme="minorHAnsi" w:cs="Times New Roman"/>
                      <w:color w:val="3F3F3F"/>
                      <w:sz w:val="22"/>
                      <w:szCs w:val="22"/>
                      <w:lang w:val="en-US" w:bidi="en-US"/>
                    </w:rPr>
                    <w:t xml:space="preserve">e from CST/PSM   progressively </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Relocation of Divert Process in the  stream to </w:t>
                  </w:r>
                  <w:r w:rsidRPr="0083457A">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lastRenderedPageBreak/>
                    <w:t>make it more effective.</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Appreciation mail received from client on </w:t>
                  </w:r>
                  <w:r w:rsidRPr="0083457A">
                    <w:rPr>
                      <w:rFonts w:asciiTheme="minorHAnsi" w:hAnsiTheme="minorHAnsi" w:cs="Times New Roman"/>
                      <w:color w:val="3F3F3F"/>
                      <w:sz w:val="22"/>
                      <w:szCs w:val="22"/>
                      <w:lang w:val="en-US" w:bidi="en-US"/>
                    </w:rPr>
                    <w:br/>
                    <w:t>the work done on installing first module in the</w:t>
                  </w:r>
                  <w:r w:rsidRPr="0083457A">
                    <w:rPr>
                      <w:rFonts w:asciiTheme="minorHAnsi" w:hAnsiTheme="minorHAnsi" w:cs="Times New Roman"/>
                      <w:color w:val="3F3F3F"/>
                      <w:sz w:val="22"/>
                      <w:szCs w:val="22"/>
                      <w:lang w:val="en-US" w:bidi="en-US"/>
                    </w:rPr>
                    <w:br/>
                    <w:t>process of discontinuation of Install 1 and on resolving critical request for CST stream.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Leading Financial Group</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delivered several Client reports on Eagle PACE</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Hexaware helped in demand based ramp up of MIS reporting team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 ASM support to the In-House Applications </w:t>
                  </w:r>
                  <w:r w:rsidRPr="0083457A">
                    <w:rPr>
                      <w:rFonts w:asciiTheme="minorHAnsi" w:hAnsiTheme="minorHAnsi" w:cs="Times New Roman"/>
                      <w:color w:val="3F3F3F"/>
                      <w:sz w:val="22"/>
                      <w:szCs w:val="22"/>
                      <w:lang w:val="en-US" w:bidi="en-US"/>
                    </w:rPr>
                    <w:br/>
                    <w:t>v Involved in the full life cycle from Requiremen</w:t>
                  </w:r>
                  <w:r w:rsidR="00837F76">
                    <w:rPr>
                      <w:rFonts w:asciiTheme="minorHAnsi" w:hAnsiTheme="minorHAnsi" w:cs="Times New Roman"/>
                      <w:color w:val="3F3F3F"/>
                      <w:sz w:val="22"/>
                      <w:szCs w:val="22"/>
                      <w:lang w:val="en-US" w:bidi="en-US"/>
                    </w:rPr>
                    <w:t>t gathering to Implementation</w:t>
                  </w:r>
                  <w:r w:rsidR="00837F76">
                    <w:rPr>
                      <w:rFonts w:asciiTheme="minorHAnsi" w:hAnsiTheme="minorHAnsi" w:cs="Times New Roman"/>
                      <w:color w:val="3F3F3F"/>
                      <w:sz w:val="22"/>
                      <w:szCs w:val="22"/>
                      <w:lang w:val="en-US" w:bidi="en-US"/>
                    </w:rPr>
                    <w:br/>
                  </w:r>
                  <w:r w:rsidR="00837F76" w:rsidRPr="0083457A">
                    <w:rPr>
                      <w:rFonts w:asciiTheme="minorHAnsi" w:hAnsiTheme="minorHAnsi" w:cs="Times New Roman"/>
                      <w:color w:val="3F3F3F"/>
                      <w:sz w:val="22"/>
                      <w:szCs w:val="22"/>
                      <w:lang w:val="en-US" w:bidi="en-US"/>
                    </w:rPr>
                    <w:t>Involved</w:t>
                  </w:r>
                  <w:r w:rsidRPr="0083457A">
                    <w:rPr>
                      <w:rFonts w:asciiTheme="minorHAnsi" w:hAnsiTheme="minorHAnsi" w:cs="Times New Roman"/>
                      <w:color w:val="3F3F3F"/>
                      <w:sz w:val="22"/>
                      <w:szCs w:val="22"/>
                      <w:lang w:val="en-US" w:bidi="en-US"/>
                    </w:rPr>
                    <w:t xml:space="preserve"> in providing 24*7 Production support </w:t>
                  </w:r>
                  <w:r w:rsidRPr="0083457A">
                    <w:rPr>
                      <w:rFonts w:asciiTheme="minorHAnsi" w:hAnsiTheme="minorHAnsi" w:cs="Times New Roman"/>
                      <w:color w:val="3F3F3F"/>
                      <w:sz w:val="22"/>
                      <w:szCs w:val="22"/>
                      <w:lang w:val="en-US" w:bidi="en-US"/>
                    </w:rPr>
                    <w:br/>
                    <w:t>v Migration of Legacy applications to Newer Technologies</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Cost </w:t>
                  </w:r>
                  <w:r w:rsidR="005907DF" w:rsidRPr="0083457A">
                    <w:rPr>
                      <w:rFonts w:asciiTheme="minorHAnsi" w:hAnsiTheme="minorHAnsi" w:cs="Times New Roman"/>
                      <w:color w:val="3F3F3F"/>
                      <w:sz w:val="22"/>
                      <w:szCs w:val="22"/>
                      <w:lang w:val="en-US" w:bidi="en-US"/>
                    </w:rPr>
                    <w:t>effective Onsite Offshore model</w:t>
                  </w:r>
                </w:p>
                <w:p w:rsidR="005907DF" w:rsidRPr="0083457A" w:rsidRDefault="005907DF"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24*7 Production Support</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w:t>
                  </w:r>
                  <w:r w:rsidR="005907DF" w:rsidRPr="0083457A">
                    <w:rPr>
                      <w:rFonts w:asciiTheme="minorHAnsi" w:hAnsiTheme="minorHAnsi" w:cs="Times New Roman"/>
                      <w:color w:val="3F3F3F"/>
                      <w:sz w:val="22"/>
                      <w:szCs w:val="22"/>
                      <w:lang w:val="en-US" w:bidi="en-US"/>
                    </w:rPr>
                    <w:t>hnical and Functional resources</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Improved B</w:t>
                  </w:r>
                  <w:r w:rsidR="005907DF" w:rsidRPr="0083457A">
                    <w:rPr>
                      <w:rFonts w:asciiTheme="minorHAnsi" w:hAnsiTheme="minorHAnsi" w:cs="Times New Roman"/>
                      <w:color w:val="3F3F3F"/>
                      <w:sz w:val="22"/>
                      <w:szCs w:val="22"/>
                      <w:lang w:val="en-US" w:bidi="en-US"/>
                    </w:rPr>
                    <w:t>atch cycle and CPU optimization</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Fixing existing Production Bugs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carried out the Maintenance work for Performance </w:t>
                  </w:r>
                  <w:r w:rsidR="00837F76" w:rsidRPr="0083457A">
                    <w:rPr>
                      <w:rFonts w:asciiTheme="minorHAnsi" w:hAnsiTheme="minorHAnsi" w:cs="Times New Roman"/>
                      <w:color w:val="3F3F3F"/>
                      <w:sz w:val="22"/>
                      <w:szCs w:val="22"/>
                      <w:lang w:val="en-US" w:bidi="en-US"/>
                    </w:rPr>
                    <w:t>optimization</w:t>
                  </w:r>
                  <w:r w:rsidRPr="0083457A">
                    <w:rPr>
                      <w:rFonts w:asciiTheme="minorHAnsi" w:hAnsiTheme="minorHAnsi" w:cs="Times New Roman"/>
                      <w:color w:val="3F3F3F"/>
                      <w:sz w:val="22"/>
                      <w:szCs w:val="22"/>
                      <w:lang w:val="en-US" w:bidi="en-US"/>
                    </w:rPr>
                    <w:t xml:space="preserve"> for Legacy Trust and Dataload applications</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Trust System</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has provided support and maintenance for Legacy Trust System which is used for - </w:t>
                  </w:r>
                  <w:r w:rsidRPr="0083457A">
                    <w:rPr>
                      <w:rFonts w:asciiTheme="minorHAnsi" w:hAnsiTheme="minorHAnsi" w:cs="Times New Roman"/>
                      <w:color w:val="3F3F3F"/>
                      <w:sz w:val="22"/>
                      <w:szCs w:val="22"/>
                      <w:lang w:val="en-US" w:bidi="en-US"/>
                    </w:rPr>
                    <w:br/>
                    <w:t xml:space="preserve">Setup Customer and Account profiles </w:t>
                  </w:r>
                  <w:r w:rsidRPr="0083457A">
                    <w:rPr>
                      <w:rFonts w:asciiTheme="minorHAnsi" w:hAnsiTheme="minorHAnsi" w:cs="Times New Roman"/>
                      <w:color w:val="3F3F3F"/>
                      <w:sz w:val="22"/>
                      <w:szCs w:val="22"/>
                      <w:lang w:val="en-US" w:bidi="en-US"/>
                    </w:rPr>
                    <w:br/>
                    <w:t>Process “Operator Initiated Transactions” such as payment of dividends, stock merger, stock splits etc..</w:t>
                  </w:r>
                  <w:r w:rsidRPr="0083457A">
                    <w:rPr>
                      <w:rFonts w:asciiTheme="minorHAnsi" w:hAnsiTheme="minorHAnsi" w:cs="Times New Roman"/>
                      <w:color w:val="3F3F3F"/>
                      <w:sz w:val="22"/>
                      <w:szCs w:val="22"/>
                      <w:lang w:val="en-US" w:bidi="en-US"/>
                    </w:rPr>
                    <w:br/>
                    <w:t xml:space="preserve">The key “validation system” that has </w:t>
                  </w:r>
                  <w:r w:rsidRPr="0083457A">
                    <w:rPr>
                      <w:rFonts w:asciiTheme="minorHAnsi" w:hAnsiTheme="minorHAnsi" w:cs="Times New Roman"/>
                      <w:color w:val="3F3F3F"/>
                      <w:sz w:val="22"/>
                      <w:szCs w:val="22"/>
                      <w:lang w:val="en-US" w:bidi="en-US"/>
                    </w:rPr>
                    <w:lastRenderedPageBreak/>
                    <w:t xml:space="preserve">the ability to process each Trust/Bank Transaction </w:t>
                  </w:r>
                  <w:r w:rsidRPr="0083457A">
                    <w:rPr>
                      <w:rFonts w:asciiTheme="minorHAnsi" w:hAnsiTheme="minorHAnsi" w:cs="Times New Roman"/>
                      <w:color w:val="3F3F3F"/>
                      <w:sz w:val="22"/>
                      <w:szCs w:val="22"/>
                      <w:lang w:val="en-US" w:bidi="en-US"/>
                    </w:rPr>
                    <w:br/>
                    <w:t xml:space="preserve">“Trust Information and Accounting System” that maintains assets and holdings </w:t>
                  </w:r>
                  <w:r w:rsidRPr="0083457A">
                    <w:rPr>
                      <w:rFonts w:asciiTheme="minorHAnsi" w:hAnsiTheme="minorHAnsi" w:cs="Times New Roman"/>
                      <w:color w:val="3F3F3F"/>
                      <w:sz w:val="22"/>
                      <w:szCs w:val="22"/>
                      <w:lang w:val="en-US" w:bidi="en-US"/>
                    </w:rPr>
                    <w:br/>
                    <w:t xml:space="preserve">The “Final Repository System” that posts all trust/bank transaction. </w:t>
                  </w:r>
                  <w:r w:rsidRPr="0083457A">
                    <w:rPr>
                      <w:rFonts w:asciiTheme="minorHAnsi" w:hAnsiTheme="minorHAnsi" w:cs="Times New Roman"/>
                      <w:color w:val="3F3F3F"/>
                      <w:sz w:val="22"/>
                      <w:szCs w:val="22"/>
                      <w:lang w:val="en-US" w:bidi="en-US"/>
                    </w:rPr>
                    <w:br/>
                    <w:t xml:space="preserve">“Automated Cash Management” that maintains client invested cash balances, loans and overdrafts </w:t>
                  </w:r>
                  <w:r w:rsidRPr="0083457A">
                    <w:rPr>
                      <w:rFonts w:asciiTheme="minorHAnsi" w:hAnsiTheme="minorHAnsi" w:cs="Times New Roman"/>
                      <w:color w:val="3F3F3F"/>
                      <w:sz w:val="22"/>
                      <w:szCs w:val="22"/>
                      <w:lang w:val="en-US" w:bidi="en-US"/>
                    </w:rPr>
                    <w:br/>
                    <w:t xml:space="preserve">“Scheduled Income Receipt”, that captures positions of each paying security and its holder on a record date. This system makes advices and pays advices </w:t>
                  </w:r>
                  <w:r w:rsidRPr="0083457A">
                    <w:rPr>
                      <w:rFonts w:asciiTheme="minorHAnsi" w:hAnsiTheme="minorHAnsi" w:cs="Times New Roman"/>
                      <w:color w:val="3F3F3F"/>
                      <w:sz w:val="22"/>
                      <w:szCs w:val="22"/>
                      <w:lang w:val="en-US" w:bidi="en-US"/>
                    </w:rPr>
                    <w:br/>
                    <w:t xml:space="preserve">PROXY Voting System </w:t>
                  </w:r>
                  <w:r w:rsidRPr="0083457A">
                    <w:rPr>
                      <w:rFonts w:asciiTheme="minorHAnsi" w:hAnsiTheme="minorHAnsi" w:cs="Times New Roman"/>
                      <w:color w:val="3F3F3F"/>
                      <w:sz w:val="22"/>
                      <w:szCs w:val="22"/>
                      <w:lang w:val="en-US" w:bidi="en-US"/>
                    </w:rPr>
                    <w:br/>
                    <w:t>Pre-Loaded and Free Receipts and Delivery, that is used to preprocess securities for transfers</w:t>
                  </w:r>
                  <w:r w:rsidRPr="0083457A">
                    <w:rPr>
                      <w:rFonts w:asciiTheme="minorHAnsi" w:hAnsiTheme="minorHAnsi" w:cs="Times New Roman"/>
                      <w:color w:val="3F3F3F"/>
                      <w:sz w:val="22"/>
                      <w:szCs w:val="22"/>
                      <w:lang w:val="en-US" w:bidi="en-US"/>
                    </w:rPr>
                    <w:br/>
                    <w:t xml:space="preserve">Limited Partnership System – A system that manages assets and securities for Limited Partnership firms </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PL1 upgrade from </w:t>
                  </w:r>
                  <w:r w:rsidR="00837F76" w:rsidRPr="0083457A">
                    <w:rPr>
                      <w:rFonts w:asciiTheme="minorHAnsi" w:hAnsiTheme="minorHAnsi" w:cs="Times New Roman"/>
                      <w:color w:val="3F3F3F"/>
                      <w:sz w:val="22"/>
                      <w:szCs w:val="22"/>
                      <w:lang w:val="en-US" w:bidi="en-US"/>
                    </w:rPr>
                    <w:t>Version 2.3</w:t>
                  </w:r>
                  <w:r w:rsidRPr="0083457A">
                    <w:rPr>
                      <w:rFonts w:asciiTheme="minorHAnsi" w:hAnsiTheme="minorHAnsi" w:cs="Times New Roman"/>
                      <w:color w:val="3F3F3F"/>
                      <w:sz w:val="22"/>
                      <w:szCs w:val="22"/>
                      <w:lang w:val="en-US" w:bidi="en-US"/>
                    </w:rPr>
                    <w:t xml:space="preserve"> to 3.4  und</w:t>
                  </w:r>
                  <w:r w:rsidR="005907DF" w:rsidRPr="0083457A">
                    <w:rPr>
                      <w:rFonts w:asciiTheme="minorHAnsi" w:hAnsiTheme="minorHAnsi" w:cs="Times New Roman"/>
                      <w:color w:val="3F3F3F"/>
                      <w:sz w:val="22"/>
                      <w:szCs w:val="22"/>
                      <w:lang w:val="en-US" w:bidi="en-US"/>
                    </w:rPr>
                    <w:t>erway at offshore.</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Prepared “PL1 Upgrade Handbook” and delivered to the client.</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Billing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Technologies</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t>
                  </w:r>
                  <w:r w:rsidR="00837F76" w:rsidRPr="0083457A">
                    <w:rPr>
                      <w:rFonts w:asciiTheme="minorHAnsi" w:hAnsiTheme="minorHAnsi" w:cs="Times New Roman"/>
                      <w:color w:val="3F3F3F"/>
                      <w:sz w:val="22"/>
                      <w:szCs w:val="22"/>
                      <w:lang w:val="en-US" w:bidi="en-US"/>
                    </w:rPr>
                    <w:t>Technologies with</w:t>
                  </w:r>
                  <w:r w:rsidRPr="0083457A">
                    <w:rPr>
                      <w:rFonts w:asciiTheme="minorHAnsi" w:hAnsiTheme="minorHAnsi" w:cs="Times New Roman"/>
                      <w:color w:val="3F3F3F"/>
                      <w:sz w:val="22"/>
                      <w:szCs w:val="22"/>
                      <w:lang w:val="en-US" w:bidi="en-US"/>
                    </w:rPr>
                    <w:t xml:space="preserve"> our Domain Experience Developed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Tool called Billing Management System.</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Compliance</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Provide Application Maintenance Services for Compliance in Charles River. </w:t>
                  </w:r>
                  <w:r w:rsidRPr="0083457A">
                    <w:rPr>
                      <w:rFonts w:asciiTheme="minorHAnsi" w:hAnsiTheme="minorHAnsi" w:cs="Times New Roman"/>
                      <w:color w:val="3F3F3F"/>
                      <w:sz w:val="22"/>
                      <w:szCs w:val="22"/>
                      <w:lang w:val="en-US" w:bidi="en-US"/>
                    </w:rPr>
                    <w:br/>
                    <w:t>Also, assist to implement Compliance Module in new business units</w:t>
                  </w:r>
                </w:p>
              </w:tc>
              <w:tc>
                <w:tcPr>
                  <w:tcW w:w="1400"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Interact with Business Users to draft new Compliance Rules or update existing ones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Hedge Funds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Leading Asset Management Company in North America</w:t>
                  </w:r>
                </w:p>
              </w:tc>
              <w:tc>
                <w:tcPr>
                  <w:tcW w:w="2055" w:type="pct"/>
                  <w:gridSpan w:val="2"/>
                </w:tcPr>
                <w:p w:rsidR="00892FF5" w:rsidRPr="0083457A" w:rsidRDefault="00892FF5" w:rsidP="00837F76">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has provide ASM support</w:t>
                  </w:r>
                  <w:r w:rsidR="00837F76">
                    <w:rPr>
                      <w:rFonts w:asciiTheme="minorHAnsi" w:hAnsiTheme="minorHAnsi" w:cs="Times New Roman"/>
                      <w:color w:val="3F3F3F"/>
                      <w:sz w:val="22"/>
                      <w:szCs w:val="22"/>
                      <w:lang w:val="en-US" w:bidi="en-US"/>
                    </w:rPr>
                    <w:t xml:space="preserve"> to the In-House Applications </w:t>
                  </w:r>
                  <w:r w:rsidR="00837F76">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t>Involved in the full life cycle from Requirement gathering</w:t>
                  </w:r>
                  <w:r w:rsidR="00837F76">
                    <w:rPr>
                      <w:rFonts w:asciiTheme="minorHAnsi" w:hAnsiTheme="minorHAnsi" w:cs="Times New Roman"/>
                      <w:color w:val="3F3F3F"/>
                      <w:sz w:val="22"/>
                      <w:szCs w:val="22"/>
                      <w:lang w:val="en-US" w:bidi="en-US"/>
                    </w:rPr>
                    <w:t xml:space="preserve"> to Implementation</w:t>
                  </w:r>
                  <w:r w:rsidR="00837F76">
                    <w:rPr>
                      <w:rFonts w:asciiTheme="minorHAnsi" w:hAnsiTheme="minorHAnsi" w:cs="Times New Roman"/>
                      <w:color w:val="3F3F3F"/>
                      <w:sz w:val="22"/>
                      <w:szCs w:val="22"/>
                      <w:lang w:val="en-US" w:bidi="en-US"/>
                    </w:rPr>
                    <w:br/>
                  </w:r>
                  <w:r w:rsidRPr="0083457A">
                    <w:rPr>
                      <w:rFonts w:asciiTheme="minorHAnsi" w:hAnsiTheme="minorHAnsi" w:cs="Times New Roman"/>
                      <w:color w:val="3F3F3F"/>
                      <w:sz w:val="22"/>
                      <w:szCs w:val="22"/>
                      <w:lang w:val="en-US" w:bidi="en-US"/>
                    </w:rPr>
                    <w:t xml:space="preserve"> </w:t>
                  </w:r>
                  <w:r w:rsidR="00837F76" w:rsidRPr="0083457A">
                    <w:rPr>
                      <w:rFonts w:asciiTheme="minorHAnsi" w:hAnsiTheme="minorHAnsi" w:cs="Times New Roman"/>
                      <w:color w:val="3F3F3F"/>
                      <w:sz w:val="22"/>
                      <w:szCs w:val="22"/>
                      <w:lang w:val="en-US" w:bidi="en-US"/>
                    </w:rPr>
                    <w:t>Involved</w:t>
                  </w:r>
                  <w:r w:rsidRPr="0083457A">
                    <w:rPr>
                      <w:rFonts w:asciiTheme="minorHAnsi" w:hAnsiTheme="minorHAnsi" w:cs="Times New Roman"/>
                      <w:color w:val="3F3F3F"/>
                      <w:sz w:val="22"/>
                      <w:szCs w:val="22"/>
                      <w:lang w:val="en-US" w:bidi="en-US"/>
                    </w:rPr>
                    <w:t xml:space="preserve"> in providing 24*7 Production support </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Cost effectiv</w:t>
                  </w:r>
                  <w:r w:rsidR="005907DF" w:rsidRPr="0083457A">
                    <w:rPr>
                      <w:rFonts w:asciiTheme="minorHAnsi" w:hAnsiTheme="minorHAnsi" w:cs="Times New Roman"/>
                      <w:color w:val="3F3F3F"/>
                      <w:sz w:val="22"/>
                      <w:szCs w:val="22"/>
                      <w:lang w:val="en-US" w:bidi="en-US"/>
                    </w:rPr>
                    <w:t>e Onsite Offshore model</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24*7 Production Support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Certified Technical and Functional resources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PORTIA (Module </w:t>
                  </w:r>
                  <w:r w:rsidRPr="0083457A">
                    <w:rPr>
                      <w:rFonts w:asciiTheme="minorHAnsi" w:hAnsiTheme="minorHAnsi" w:cs="Times New Roman"/>
                      <w:color w:val="3F3F3F"/>
                      <w:sz w:val="22"/>
                      <w:szCs w:val="22"/>
                      <w:lang w:val="en-US" w:bidi="en-US"/>
                    </w:rPr>
                    <w:lastRenderedPageBreak/>
                    <w:t>Development)</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Hexaware has developed "Hedge </w:t>
                  </w:r>
                  <w:r w:rsidRPr="0083457A">
                    <w:rPr>
                      <w:rFonts w:asciiTheme="minorHAnsi" w:hAnsiTheme="minorHAnsi" w:cs="Times New Roman"/>
                      <w:color w:val="3F3F3F"/>
                      <w:sz w:val="22"/>
                      <w:szCs w:val="22"/>
                      <w:lang w:val="en-US" w:bidi="en-US"/>
                    </w:rPr>
                    <w:lastRenderedPageBreak/>
                    <w:t>Module in Portia.  As part of this assignment, Exclusive hedge feature were introduced in Portia as separate Module</w:t>
                  </w:r>
                </w:p>
              </w:tc>
              <w:tc>
                <w:tcPr>
                  <w:tcW w:w="1400" w:type="pct"/>
                </w:tcPr>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Complete Business </w:t>
                  </w:r>
                  <w:r w:rsidRPr="0083457A">
                    <w:rPr>
                      <w:rFonts w:asciiTheme="minorHAnsi" w:hAnsiTheme="minorHAnsi" w:cs="Times New Roman"/>
                      <w:color w:val="3F3F3F"/>
                      <w:sz w:val="22"/>
                      <w:szCs w:val="22"/>
                      <w:lang w:val="en-US" w:bidi="en-US"/>
                    </w:rPr>
                    <w:lastRenderedPageBreak/>
                    <w:t xml:space="preserve">Spec and Technical Spec </w:t>
                  </w:r>
                  <w:r w:rsidRPr="0083457A">
                    <w:rPr>
                      <w:rFonts w:asciiTheme="minorHAnsi" w:hAnsiTheme="minorHAnsi" w:cs="Times New Roman"/>
                      <w:color w:val="3F3F3F"/>
                      <w:sz w:val="22"/>
                      <w:szCs w:val="22"/>
                      <w:lang w:val="en-US" w:bidi="en-US"/>
                    </w:rPr>
                    <w:br/>
                    <w:t xml:space="preserve">Delivered  Documents with Highest  Quality </w:t>
                  </w:r>
                  <w:r w:rsidRPr="0083457A">
                    <w:rPr>
                      <w:rFonts w:asciiTheme="minorHAnsi" w:hAnsiTheme="minorHAnsi" w:cs="Times New Roman"/>
                      <w:color w:val="3F3F3F"/>
                      <w:sz w:val="22"/>
                      <w:szCs w:val="22"/>
                      <w:lang w:val="en-US" w:bidi="en-US"/>
                    </w:rPr>
                    <w:br/>
                    <w:t>Reuse test cases and test artifacts</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Wealth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Technologies</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w:t>
                  </w:r>
                  <w:r w:rsidR="00837F76" w:rsidRPr="0083457A">
                    <w:rPr>
                      <w:rFonts w:asciiTheme="minorHAnsi" w:hAnsiTheme="minorHAnsi" w:cs="Times New Roman"/>
                      <w:color w:val="3F3F3F"/>
                      <w:sz w:val="22"/>
                      <w:szCs w:val="22"/>
                      <w:lang w:val="en-US" w:bidi="en-US"/>
                    </w:rPr>
                    <w:t>Technologies with</w:t>
                  </w:r>
                  <w:r w:rsidRPr="0083457A">
                    <w:rPr>
                      <w:rFonts w:asciiTheme="minorHAnsi" w:hAnsiTheme="minorHAnsi" w:cs="Times New Roman"/>
                      <w:color w:val="3F3F3F"/>
                      <w:sz w:val="22"/>
                      <w:szCs w:val="22"/>
                      <w:lang w:val="en-US" w:bidi="en-US"/>
                    </w:rPr>
                    <w:t xml:space="preserve"> our Domain Experience Developed </w:t>
                  </w:r>
                  <w:r w:rsidR="00837F76" w:rsidRPr="0083457A">
                    <w:rPr>
                      <w:rFonts w:asciiTheme="minorHAnsi" w:hAnsiTheme="minorHAnsi" w:cs="Times New Roman"/>
                      <w:color w:val="3F3F3F"/>
                      <w:sz w:val="22"/>
                      <w:szCs w:val="22"/>
                      <w:lang w:val="en-US" w:bidi="en-US"/>
                    </w:rPr>
                    <w:t>proprietary</w:t>
                  </w:r>
                  <w:r w:rsidRPr="0083457A">
                    <w:rPr>
                      <w:rFonts w:asciiTheme="minorHAnsi" w:hAnsiTheme="minorHAnsi" w:cs="Times New Roman"/>
                      <w:color w:val="3F3F3F"/>
                      <w:sz w:val="22"/>
                      <w:szCs w:val="22"/>
                      <w:lang w:val="en-US" w:bidi="en-US"/>
                    </w:rPr>
                    <w:t xml:space="preserve"> Tool called WealthDirector.</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Large Custodian </w:t>
                  </w:r>
                  <w:r w:rsidR="0062744D" w:rsidRPr="0083457A">
                    <w:rPr>
                      <w:rFonts w:asciiTheme="minorHAnsi" w:hAnsiTheme="minorHAnsi" w:cs="Times New Roman"/>
                      <w:color w:val="3F3F3F"/>
                      <w:sz w:val="22"/>
                      <w:szCs w:val="22"/>
                      <w:lang w:val="en-US" w:bidi="en-US"/>
                    </w:rPr>
                    <w:t>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Technologies worked on the development work for Wealth Passport (WP) which is a part of the Passport suite of web-based applications for Personal Financial Services. It is designed as a financial management portal for managing and calculating the net worth of wealthy individuals and families. It caters to the financial management needs of wealthy individuals and their </w:t>
                  </w:r>
                  <w:r w:rsidR="00837F76" w:rsidRPr="0083457A">
                    <w:rPr>
                      <w:rFonts w:asciiTheme="minorHAnsi" w:hAnsiTheme="minorHAnsi" w:cs="Times New Roman"/>
                      <w:color w:val="3F3F3F"/>
                      <w:sz w:val="22"/>
                      <w:szCs w:val="22"/>
                      <w:lang w:val="en-US" w:bidi="en-US"/>
                    </w:rPr>
                    <w:t>families. Overall</w:t>
                  </w:r>
                  <w:r w:rsidRPr="0083457A">
                    <w:rPr>
                      <w:rFonts w:asciiTheme="minorHAnsi" w:hAnsiTheme="minorHAnsi" w:cs="Times New Roman"/>
                      <w:color w:val="3F3F3F"/>
                      <w:sz w:val="22"/>
                      <w:szCs w:val="22"/>
                      <w:lang w:val="en-US" w:bidi="en-US"/>
                    </w:rPr>
                    <w:t xml:space="preserve"> a tool that will facilitate the management of our client’s wealth, by our client’s</w:t>
                  </w:r>
                </w:p>
              </w:tc>
              <w:tc>
                <w:tcPr>
                  <w:tcW w:w="1400" w:type="pct"/>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sz w:val="22"/>
                      <w:szCs w:val="22"/>
                    </w:rPr>
                    <w:t> </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Transfer Agency Reporting</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 Advisory &amp;</w:t>
                  </w:r>
                  <w:r w:rsidRPr="0083457A">
                    <w:rPr>
                      <w:rFonts w:asciiTheme="minorHAnsi" w:hAnsiTheme="minorHAnsi" w:cs="Times New Roman"/>
                      <w:color w:val="3F3F3F"/>
                      <w:sz w:val="22"/>
                      <w:szCs w:val="22"/>
                      <w:lang w:val="en-US" w:bidi="en-US"/>
                    </w:rPr>
                    <w:br/>
                    <w:t>Investment</w:t>
                  </w:r>
                  <w:r w:rsidRPr="0083457A">
                    <w:rPr>
                      <w:rFonts w:asciiTheme="minorHAnsi" w:hAnsiTheme="minorHAnsi" w:cs="Times New Roman"/>
                      <w:color w:val="3F3F3F"/>
                      <w:sz w:val="22"/>
                      <w:szCs w:val="22"/>
                      <w:lang w:val="en-US" w:bidi="en-US"/>
                    </w:rPr>
                    <w:br/>
                    <w:t xml:space="preserve">Management Firm </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Report Analysis and Bug Fixing for the Data received from MultiFonds (Reporting Tool : Hyperion) No.of Reports  Developed : 12</w:t>
                  </w:r>
                </w:p>
              </w:tc>
              <w:tc>
                <w:tcPr>
                  <w:tcW w:w="1400" w:type="pct"/>
                </w:tcPr>
                <w:p w:rsidR="00892FF5" w:rsidRPr="00873938" w:rsidRDefault="00892FF5" w:rsidP="00506A30">
                  <w:pPr>
                    <w:pStyle w:val="TableBodyPara"/>
                    <w:rPr>
                      <w:rFonts w:asciiTheme="minorHAnsi" w:hAnsiTheme="minorHAnsi" w:cs="Arial"/>
                      <w:sz w:val="22"/>
                      <w:szCs w:val="22"/>
                    </w:rPr>
                  </w:pP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t>Cash Management</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Largest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Hexaware provided the UAT test environment and Production Support for Polaris Intellect which is a liquidity management application and uses data of various application interfaces like GCM and FM systems, processes input, and passes information to systems like GCM, FM, eGATE and TLM. It uses OBLIX as the user authentication software and ARMOR as the user authorization/entitlement software.</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PIN Production migration from version- 1.4.02.4 to version-1.4.06.7 to fix issues.</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PIN Production Support for Phase I was carried out smoothly while progressing notably to implement Phase II in UAT.</w:t>
                  </w:r>
                </w:p>
                <w:p w:rsidR="00892FF5"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lastRenderedPageBreak/>
                    <w:t xml:space="preserve"> Hexaware received highest available rating (5) for overall working experience,  product/service quality and delivery commitment.</w:t>
                  </w:r>
                </w:p>
              </w:tc>
            </w:tr>
            <w:tr w:rsidR="00892FF5" w:rsidRPr="00873938" w:rsidTr="00FB67EC">
              <w:trPr>
                <w:trHeight w:val="58"/>
              </w:trPr>
              <w:tc>
                <w:tcPr>
                  <w:tcW w:w="5000" w:type="pct"/>
                  <w:gridSpan w:val="4"/>
                </w:tcPr>
                <w:p w:rsidR="00892FF5" w:rsidRPr="00873938" w:rsidRDefault="00892FF5" w:rsidP="00506A30">
                  <w:pPr>
                    <w:pStyle w:val="TableBodyPara"/>
                    <w:rPr>
                      <w:rFonts w:asciiTheme="minorHAnsi" w:hAnsiTheme="minorHAnsi" w:cs="Arial"/>
                      <w:sz w:val="22"/>
                      <w:szCs w:val="22"/>
                    </w:rPr>
                  </w:pPr>
                  <w:r w:rsidRPr="00873938">
                    <w:rPr>
                      <w:rFonts w:asciiTheme="minorHAnsi" w:hAnsiTheme="minorHAnsi" w:cs="Arial"/>
                      <w:b/>
                      <w:color w:val="0070C0"/>
                      <w:sz w:val="22"/>
                      <w:szCs w:val="22"/>
                    </w:rPr>
                    <w:lastRenderedPageBreak/>
                    <w:t>Commercial and Retail Loans</w:t>
                  </w:r>
                </w:p>
              </w:tc>
            </w:tr>
            <w:tr w:rsidR="00892FF5" w:rsidRPr="00873938" w:rsidTr="00B74B7A">
              <w:trPr>
                <w:trHeight w:val="58"/>
              </w:trPr>
              <w:tc>
                <w:tcPr>
                  <w:tcW w:w="1545" w:type="pct"/>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EDM Implementation for </w:t>
                  </w:r>
                  <w:r w:rsidR="0062744D" w:rsidRPr="0083457A">
                    <w:rPr>
                      <w:rFonts w:asciiTheme="minorHAnsi" w:hAnsiTheme="minorHAnsi" w:cs="Times New Roman"/>
                      <w:color w:val="3F3F3F"/>
                      <w:sz w:val="22"/>
                      <w:szCs w:val="22"/>
                      <w:lang w:val="en-US" w:bidi="en-US"/>
                    </w:rPr>
                    <w:t>Large Custodian Bank</w:t>
                  </w:r>
                </w:p>
              </w:tc>
              <w:tc>
                <w:tcPr>
                  <w:tcW w:w="2055" w:type="pct"/>
                  <w:gridSpan w:val="2"/>
                </w:tcPr>
                <w:p w:rsidR="00892FF5" w:rsidRPr="0083457A" w:rsidRDefault="00892FF5" w:rsidP="00506A30">
                  <w:pPr>
                    <w:pStyle w:val="TableBodyPara"/>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Hexaware carried out development work for BSS-Loans (after completion of its analysis phase) and all other EDM projects during 2009. This also included testing activities. </w:t>
                  </w:r>
                  <w:r w:rsidRPr="0083457A">
                    <w:rPr>
                      <w:rFonts w:asciiTheme="minorHAnsi" w:hAnsiTheme="minorHAnsi" w:cs="Times New Roman"/>
                      <w:color w:val="3F3F3F"/>
                      <w:sz w:val="22"/>
                      <w:szCs w:val="22"/>
                      <w:lang w:val="en-US" w:bidi="en-US"/>
                    </w:rPr>
                    <w:br/>
                    <w:t>Hexaware also worked on implementation of FileNet based content management system. It also consist of migrating of some application from legacy application into FileNet based solution.</w:t>
                  </w:r>
                  <w:r w:rsidRPr="0083457A">
                    <w:rPr>
                      <w:rFonts w:asciiTheme="minorHAnsi" w:hAnsiTheme="minorHAnsi" w:cs="Times New Roman"/>
                      <w:color w:val="3F3F3F"/>
                      <w:sz w:val="22"/>
                      <w:szCs w:val="22"/>
                      <w:lang w:val="en-US" w:bidi="en-US"/>
                    </w:rPr>
                    <w:br/>
                    <w:t>Following application are already being migrated from SIT to UAT and are scheduled to be migrated to PROD by DEC end:-</w:t>
                  </w:r>
                  <w:r w:rsidRPr="0083457A">
                    <w:rPr>
                      <w:rFonts w:asciiTheme="minorHAnsi" w:hAnsiTheme="minorHAnsi" w:cs="Times New Roman"/>
                      <w:color w:val="3F3F3F"/>
                      <w:sz w:val="22"/>
                      <w:szCs w:val="22"/>
                      <w:lang w:val="en-US" w:bidi="en-US"/>
                    </w:rPr>
                    <w:br/>
                    <w:t>•  ACH Reclamations</w:t>
                  </w:r>
                  <w:r w:rsidRPr="0083457A">
                    <w:rPr>
                      <w:rFonts w:asciiTheme="minorHAnsi" w:hAnsiTheme="minorHAnsi" w:cs="Times New Roman"/>
                      <w:color w:val="3F3F3F"/>
                      <w:sz w:val="22"/>
                      <w:szCs w:val="22"/>
                      <w:lang w:val="en-US" w:bidi="en-US"/>
                    </w:rPr>
                    <w:br/>
                    <w:t>•  Derivative Operations</w:t>
                  </w:r>
                  <w:r w:rsidRPr="0083457A">
                    <w:rPr>
                      <w:rFonts w:asciiTheme="minorHAnsi" w:hAnsiTheme="minorHAnsi" w:cs="Times New Roman"/>
                      <w:color w:val="3F3F3F"/>
                      <w:sz w:val="22"/>
                      <w:szCs w:val="22"/>
                      <w:lang w:val="en-US" w:bidi="en-US"/>
                    </w:rPr>
                    <w:br/>
                    <w:t>Following are two other application for which high level discussion are under process:</w:t>
                  </w:r>
                  <w:r w:rsidRPr="0083457A">
                    <w:rPr>
                      <w:rFonts w:asciiTheme="minorHAnsi" w:hAnsiTheme="minorHAnsi" w:cs="Times New Roman"/>
                      <w:color w:val="3F3F3F"/>
                      <w:sz w:val="22"/>
                      <w:szCs w:val="22"/>
                      <w:lang w:val="en-US" w:bidi="en-US"/>
                    </w:rPr>
                    <w:br/>
                    <w:t>•  Commercial Loan</w:t>
                  </w:r>
                  <w:r w:rsidRPr="0083457A">
                    <w:rPr>
                      <w:rFonts w:asciiTheme="minorHAnsi" w:hAnsiTheme="minorHAnsi" w:cs="Times New Roman"/>
                      <w:color w:val="3F3F3F"/>
                      <w:sz w:val="22"/>
                      <w:szCs w:val="22"/>
                      <w:lang w:val="en-US" w:bidi="en-US"/>
                    </w:rPr>
                    <w:br/>
                    <w:t>•  Retail Loan</w:t>
                  </w:r>
                </w:p>
              </w:tc>
              <w:tc>
                <w:tcPr>
                  <w:tcW w:w="1400" w:type="pct"/>
                </w:tcPr>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Implemented the pilot solutions for 2 Business </w:t>
                  </w:r>
                  <w:r w:rsidRPr="0083457A">
                    <w:rPr>
                      <w:rFonts w:asciiTheme="minorHAnsi" w:hAnsiTheme="minorHAnsi" w:cs="Times New Roman"/>
                      <w:color w:val="3F3F3F"/>
                      <w:sz w:val="22"/>
                      <w:szCs w:val="22"/>
                      <w:lang w:val="en-US" w:bidi="en-US"/>
                    </w:rPr>
                    <w:br/>
                    <w:t xml:space="preserve">Units in an aggressive time of 3 months with </w:t>
                  </w:r>
                  <w:r w:rsidRPr="0083457A">
                    <w:rPr>
                      <w:rFonts w:asciiTheme="minorHAnsi" w:hAnsiTheme="minorHAnsi" w:cs="Times New Roman"/>
                      <w:color w:val="3F3F3F"/>
                      <w:sz w:val="22"/>
                      <w:szCs w:val="22"/>
                      <w:lang w:val="en-US" w:bidi="en-US"/>
                    </w:rPr>
                    <w:br/>
                    <w:t>development time of just 2 months.</w:t>
                  </w:r>
                </w:p>
                <w:p w:rsidR="005907DF" w:rsidRPr="0083457A" w:rsidRDefault="00892FF5" w:rsidP="003453B3">
                  <w:pPr>
                    <w:pStyle w:val="TableBodyPara"/>
                    <w:numPr>
                      <w:ilvl w:val="0"/>
                      <w:numId w:val="12"/>
                    </w:numPr>
                    <w:ind w:left="175" w:hanging="175"/>
                    <w:rPr>
                      <w:rFonts w:asciiTheme="minorHAnsi" w:hAnsiTheme="minorHAnsi" w:cs="Times New Roman"/>
                      <w:color w:val="3F3F3F"/>
                      <w:sz w:val="22"/>
                      <w:szCs w:val="22"/>
                      <w:lang w:val="en-US" w:bidi="en-US"/>
                    </w:rPr>
                  </w:pPr>
                  <w:r w:rsidRPr="0083457A">
                    <w:rPr>
                      <w:rFonts w:asciiTheme="minorHAnsi" w:hAnsiTheme="minorHAnsi" w:cs="Times New Roman"/>
                      <w:color w:val="3F3F3F"/>
                      <w:sz w:val="22"/>
                      <w:szCs w:val="22"/>
                      <w:lang w:val="en-US" w:bidi="en-US"/>
                    </w:rPr>
                    <w:t xml:space="preserve"> Hexaware recommended many technical designs to enable Northern meet their deadline. Standardized project plans and business requirements gathering process.</w:t>
                  </w:r>
                </w:p>
                <w:p w:rsidR="00892FF5" w:rsidRPr="0083457A" w:rsidRDefault="00837F76" w:rsidP="003453B3">
                  <w:pPr>
                    <w:pStyle w:val="TableBodyPara"/>
                    <w:numPr>
                      <w:ilvl w:val="0"/>
                      <w:numId w:val="12"/>
                    </w:numPr>
                    <w:ind w:left="175" w:hanging="175"/>
                    <w:rPr>
                      <w:rFonts w:asciiTheme="minorHAnsi" w:hAnsiTheme="minorHAnsi" w:cs="Times New Roman"/>
                      <w:color w:val="3F3F3F"/>
                      <w:sz w:val="22"/>
                      <w:szCs w:val="22"/>
                      <w:lang w:val="en-US" w:bidi="en-US"/>
                    </w:rPr>
                  </w:pPr>
                  <w:r>
                    <w:rPr>
                      <w:rFonts w:asciiTheme="minorHAnsi" w:hAnsiTheme="minorHAnsi" w:cs="Times New Roman"/>
                      <w:color w:val="3F3F3F"/>
                      <w:sz w:val="22"/>
                      <w:szCs w:val="22"/>
                      <w:lang w:val="en-US" w:bidi="en-US"/>
                    </w:rPr>
                    <w:t xml:space="preserve"> Appreciation received from C</w:t>
                  </w:r>
                  <w:r w:rsidR="00892FF5" w:rsidRPr="0083457A">
                    <w:rPr>
                      <w:rFonts w:asciiTheme="minorHAnsi" w:hAnsiTheme="minorHAnsi" w:cs="Times New Roman"/>
                      <w:color w:val="3F3F3F"/>
                      <w:sz w:val="22"/>
                      <w:szCs w:val="22"/>
                      <w:lang w:val="en-US" w:bidi="en-US"/>
                    </w:rPr>
                    <w:t xml:space="preserve">lient  for delivering the Account Ownership tool through Lotus Notes to spec and to deadline in spite of late changes requested by them. </w:t>
                  </w:r>
                </w:p>
              </w:tc>
            </w:tr>
          </w:tbl>
          <w:p w:rsidR="00BB09B6" w:rsidRPr="00873938" w:rsidRDefault="00BB09B6" w:rsidP="00BB09B6">
            <w:pPr>
              <w:pStyle w:val="DisplayHeadingMiddle"/>
              <w:rPr>
                <w:rFonts w:asciiTheme="minorHAnsi" w:hAnsiTheme="minorHAnsi" w:cs="Arial"/>
                <w:szCs w:val="22"/>
              </w:rPr>
            </w:pPr>
          </w:p>
          <w:p w:rsidR="00BC4334" w:rsidRPr="00ED2E2A" w:rsidRDefault="00BC4334" w:rsidP="0042248F">
            <w:pPr>
              <w:pStyle w:val="Heading2"/>
              <w:keepNext w:val="0"/>
              <w:keepLines w:val="0"/>
              <w:numPr>
                <w:ilvl w:val="0"/>
                <w:numId w:val="0"/>
              </w:numPr>
              <w:spacing w:after="80" w:afterAutospacing="0"/>
              <w:rPr>
                <w:rFonts w:asciiTheme="minorHAnsi" w:hAnsiTheme="minorHAnsi" w:cs="Arial"/>
                <w:sz w:val="24"/>
                <w:szCs w:val="24"/>
                <w:u w:val="single"/>
              </w:rPr>
            </w:pPr>
            <w:bookmarkStart w:id="4" w:name="_Toc259453495"/>
            <w:r w:rsidRPr="00ED2E2A">
              <w:rPr>
                <w:rFonts w:asciiTheme="minorHAnsi" w:hAnsiTheme="minorHAnsi" w:cs="Arial"/>
                <w:sz w:val="24"/>
                <w:szCs w:val="24"/>
                <w:u w:val="single"/>
              </w:rPr>
              <w:t xml:space="preserve">Case Study </w:t>
            </w:r>
            <w:r w:rsidR="00892FF5" w:rsidRPr="00ED2E2A">
              <w:rPr>
                <w:rFonts w:asciiTheme="minorHAnsi" w:hAnsiTheme="minorHAnsi" w:cs="Arial"/>
                <w:sz w:val="24"/>
                <w:szCs w:val="24"/>
                <w:u w:val="single"/>
              </w:rPr>
              <w:t>1:</w:t>
            </w:r>
            <w:r w:rsidRPr="00ED2E2A">
              <w:rPr>
                <w:rFonts w:asciiTheme="minorHAnsi" w:hAnsiTheme="minorHAnsi" w:cs="Arial"/>
                <w:sz w:val="24"/>
                <w:szCs w:val="24"/>
                <w:u w:val="single"/>
              </w:rPr>
              <w:t xml:space="preserve"> Onsite-Offshore Engagement with Leading Global Custodian</w:t>
            </w:r>
            <w:bookmarkEnd w:id="4"/>
            <w:r w:rsidRPr="00ED2E2A">
              <w:rPr>
                <w:rFonts w:asciiTheme="minorHAnsi" w:hAnsiTheme="minorHAnsi" w:cs="Arial"/>
                <w:sz w:val="24"/>
                <w:szCs w:val="24"/>
                <w:u w:val="single"/>
              </w:rPr>
              <w:t xml:space="preserve"> </w:t>
            </w:r>
          </w:p>
          <w:p w:rsidR="00EC2C77" w:rsidRPr="00B711DC" w:rsidRDefault="00EC2C77" w:rsidP="0042248F">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Customer Profile</w:t>
            </w:r>
          </w:p>
          <w:p w:rsidR="00EC2C77" w:rsidRPr="00B711DC" w:rsidRDefault="00EC2C77" w:rsidP="0042248F">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leading global custodian bank which known for providing world-class investment management products and services to personal and institutional clients. It provides a full array of investment management products, including active, quantitative and Manager of Managers (MoM) programs including comprehensive portfolio services.</w:t>
            </w:r>
          </w:p>
          <w:p w:rsidR="00EC2C77" w:rsidRPr="00B711DC" w:rsidRDefault="00EC2C77" w:rsidP="00B711DC">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lastRenderedPageBreak/>
              <w:t>Business Need</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Production support of 74 client applications</w:t>
            </w:r>
          </w:p>
          <w:p w:rsidR="00EC2C77" w:rsidRPr="00B711DC" w:rsidRDefault="00EC2C77" w:rsidP="00B711DC">
            <w:pPr>
              <w:pStyle w:val="BulletList2"/>
              <w:spacing w:line="276" w:lineRule="auto"/>
              <w:ind w:left="792"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32 are highly critical applications</w:t>
            </w:r>
          </w:p>
          <w:p w:rsidR="00EC2C77" w:rsidRPr="00B711DC" w:rsidRDefault="00EC2C77" w:rsidP="00B711DC">
            <w:pPr>
              <w:pStyle w:val="BulletList2"/>
              <w:spacing w:line="276" w:lineRule="auto"/>
              <w:ind w:left="792"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19 are less critical applications</w:t>
            </w:r>
          </w:p>
          <w:p w:rsidR="00EC2C77" w:rsidRPr="00B711DC" w:rsidRDefault="00EC2C77" w:rsidP="00B711DC">
            <w:pPr>
              <w:pStyle w:val="BulletList2"/>
              <w:spacing w:line="276" w:lineRule="auto"/>
              <w:ind w:left="792"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23 are non-critical applications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Predictable, Reliable and Stable environment to cater to global IM operations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An operational model with high level cost efficiencies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Implement a single point of ownership for Development, Maintenance and Support needs for the Eagle application platform</w:t>
            </w:r>
          </w:p>
          <w:p w:rsidR="00EC2C77" w:rsidRPr="00B711DC" w:rsidRDefault="00EC2C77" w:rsidP="00B711DC">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Background</w:t>
            </w:r>
          </w:p>
          <w:p w:rsidR="00EC2C77" w:rsidRPr="00B711DC" w:rsidRDefault="00EC2C77" w:rsidP="001A290A">
            <w:pPr>
              <w:pStyle w:val="BodyPara1"/>
              <w:spacing w:line="276" w:lineRule="auto"/>
              <w:jc w:val="left"/>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has been working with this client since 200</w:t>
            </w:r>
            <w:r w:rsidR="003A4271" w:rsidRPr="00B711DC">
              <w:rPr>
                <w:rFonts w:asciiTheme="minorHAnsi" w:hAnsiTheme="minorHAnsi" w:cs="Times New Roman"/>
                <w:color w:val="3F3F3F"/>
                <w:szCs w:val="22"/>
                <w:lang w:val="en-US" w:bidi="en-US"/>
              </w:rPr>
              <w:t>5</w:t>
            </w:r>
            <w:r w:rsidRPr="00B711DC">
              <w:rPr>
                <w:rFonts w:asciiTheme="minorHAnsi" w:hAnsiTheme="minorHAnsi" w:cs="Times New Roman"/>
                <w:color w:val="3F3F3F"/>
                <w:szCs w:val="22"/>
                <w:lang w:val="en-US" w:bidi="en-US"/>
              </w:rPr>
              <w:t>. During this period Hexaware has gained knowledge of client’s standards, guidelines and processes and also built lasting relationships with customer stakeholders by managing individual and organizational expectations. Hexaware has capitalized on this knowledge &amp; experience to develop a successful engagement model to support the client leveraging on its offshore delivery capabilities.</w:t>
            </w:r>
          </w:p>
          <w:p w:rsidR="00EC2C77" w:rsidRPr="00B711DC" w:rsidRDefault="00EC2C77" w:rsidP="00B711DC">
            <w:pPr>
              <w:pStyle w:val="BodyPara1"/>
              <w:spacing w:after="0" w:line="276" w:lineRule="auto"/>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Hexaware – Client Relationship</w:t>
            </w:r>
          </w:p>
          <w:p w:rsidR="00EC2C77" w:rsidRPr="00B711DC" w:rsidRDefault="00EC2C77" w:rsidP="001A290A">
            <w:pPr>
              <w:pStyle w:val="BodyPara1"/>
              <w:spacing w:line="276" w:lineRule="auto"/>
              <w:jc w:val="left"/>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In addition to normal operations Hexaware has delivered value additions in each area, some of which are mentioned below:</w:t>
            </w:r>
          </w:p>
          <w:p w:rsidR="00EC2C77" w:rsidRPr="00B711DC" w:rsidRDefault="00EC2C77"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Legacy Trust</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Identified &amp; presented Batch Cycle pain areas.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Suggested phased approach for batch optimization.</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Estimated CPU gain was 35 % &amp; around 50 CPU hours’ savings.</w:t>
            </w:r>
          </w:p>
          <w:p w:rsidR="00EC2C77" w:rsidRPr="00B711DC" w:rsidRDefault="00EC2C77"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Eagle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Various exporter performance improvements, say SNC for example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Various trade rebalance activities, say MSCI Rebalance for example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Suggested &amp; implemented automatic tag population in PVCS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Converting jobs, which were based on system date, to process center</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Optimization of Control-M schedules </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 Performance improvement of various OLAP reports </w:t>
            </w:r>
          </w:p>
          <w:p w:rsidR="00EC2C77" w:rsidRPr="00B711DC" w:rsidRDefault="00EC2C77"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Value Proposition</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Unique Global Delivery Model executed from locations in North America, UK and India</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End to end support for the Eagle Product suite (STAR &amp; PACE)</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dedicated 24 x 5.5 production support with standby “Fire-call” support on weekends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lastRenderedPageBreak/>
              <w:t>Provide level 1/2/3 support that includes monitoring of Scheduled Jobs, Business User Request support, Enhancements and Development assignment</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Also supporting a part of the downstream applications, for example CRD’s jobs schedule, FIX server support (for broker connectivity)</w:t>
            </w:r>
          </w:p>
          <w:p w:rsidR="00EC2C77" w:rsidRPr="00B711DC" w:rsidRDefault="00EC2C77" w:rsidP="00F7134B">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Hexaware’s Responsibilities: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and Maintenance of Interfaces for uploading and exporting of data to upstream (Bloomberg, Citigroup, Extel Telekurs, Factset, BarCap, etc) and downstream systems (Charles River, Proprietary PMS and IAM, BarCap, etc.)</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and Production Support</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Bullet Proofing / Prototype </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Modernization of existing applications</w:t>
            </w:r>
          </w:p>
          <w:p w:rsidR="00EC2C77" w:rsidRPr="00B711DC" w:rsidRDefault="00EC2C77"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Domain Supported-</w:t>
            </w:r>
            <w:r w:rsidRPr="00B711DC">
              <w:rPr>
                <w:rFonts w:asciiTheme="minorHAnsi" w:hAnsiTheme="minorHAnsi" w:cs="Times New Roman"/>
                <w:color w:val="3F3F3F"/>
                <w:szCs w:val="22"/>
                <w:lang w:val="en-US" w:bidi="en-US"/>
              </w:rPr>
              <w:t xml:space="preserve"> CRM, Trading, Custody, Trade settlement, Tax reclamation, Income collection, Client Services, Cash Management, Regulatory Reporting, etc.</w:t>
            </w:r>
          </w:p>
          <w:p w:rsidR="00EC2C77" w:rsidRDefault="00EC2C77" w:rsidP="00477B35">
            <w:pPr>
              <w:pStyle w:val="BodyPara1"/>
              <w:rPr>
                <w:rFonts w:asciiTheme="minorHAnsi" w:hAnsiTheme="minorHAnsi" w:cs="Arial"/>
                <w:szCs w:val="22"/>
              </w:rPr>
            </w:pPr>
            <w:r w:rsidRPr="00B711DC">
              <w:rPr>
                <w:rFonts w:asciiTheme="minorHAnsi" w:hAnsiTheme="minorHAnsi" w:cs="Times New Roman"/>
                <w:b/>
                <w:color w:val="3F3F3F"/>
                <w:szCs w:val="22"/>
                <w:lang w:val="en-US" w:bidi="en-US"/>
              </w:rPr>
              <w:t>Technologies Covered-</w:t>
            </w:r>
            <w:r w:rsidRPr="00873938">
              <w:rPr>
                <w:rFonts w:asciiTheme="minorHAnsi" w:hAnsiTheme="minorHAnsi" w:cs="Arial"/>
                <w:b/>
                <w:szCs w:val="22"/>
              </w:rPr>
              <w:t xml:space="preserve"> </w:t>
            </w:r>
            <w:r w:rsidRPr="00B711DC">
              <w:rPr>
                <w:rFonts w:asciiTheme="minorHAnsi" w:hAnsiTheme="minorHAnsi" w:cs="Times New Roman"/>
                <w:color w:val="3F3F3F"/>
                <w:szCs w:val="22"/>
                <w:lang w:val="en-US" w:bidi="en-US"/>
              </w:rPr>
              <w:t>PL1, IMS, DB/DC, COBOL, DB2, JCL, ADF, DATAVAN, EAGLE 8.x, FOCUS, WEBFOCUS, SCLM, AS/400, RPG, COBOL, XML, PB, Sybase, Unix, C++, PL/SQL, PVCS, .NET, Crystal Report, PeopleSoft, Business Object, Oracle SPs, J2EE, Shell Scripting, Ascential Data Stage7.5, Oracle 10g, etc.</w:t>
            </w:r>
          </w:p>
          <w:p w:rsidR="00EC2C77" w:rsidRPr="00B711DC" w:rsidRDefault="00EC2C77" w:rsidP="00BB09B6">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 xml:space="preserve">Onsite – Off Shore Engagement </w:t>
            </w:r>
          </w:p>
          <w:p w:rsidR="00EC2C77" w:rsidRPr="00B711DC" w:rsidRDefault="00EC2C77"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supports the global operations in US, Europe and Asia Pacific; and operates on follow the sun approach.</w:t>
            </w:r>
          </w:p>
          <w:p w:rsidR="00EC2C77" w:rsidRPr="00873938" w:rsidRDefault="00C07848" w:rsidP="00C27AA5">
            <w:pPr>
              <w:pStyle w:val="BodyPara1"/>
              <w:jc w:val="center"/>
              <w:rPr>
                <w:rFonts w:asciiTheme="minorHAnsi" w:hAnsiTheme="minorHAnsi" w:cs="Arial"/>
                <w:szCs w:val="22"/>
              </w:rPr>
            </w:pPr>
            <w:r w:rsidRPr="00873938">
              <w:rPr>
                <w:rFonts w:asciiTheme="minorHAnsi" w:eastAsia="Calibri" w:hAnsiTheme="minorHAnsi" w:cs="Arial"/>
                <w:noProof/>
                <w:color w:val="404040"/>
                <w:szCs w:val="22"/>
                <w:lang w:val="en-US"/>
              </w:rPr>
              <w:drawing>
                <wp:inline distT="0" distB="0" distL="0" distR="0">
                  <wp:extent cx="4262755" cy="2933700"/>
                  <wp:effectExtent l="19050" t="0" r="4445" b="0"/>
                  <wp:docPr id="26" name="Picture 2" descr="ASM Stead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M Steady State"/>
                          <pic:cNvPicPr>
                            <a:picLocks noChangeAspect="1" noChangeArrowheads="1"/>
                          </pic:cNvPicPr>
                        </pic:nvPicPr>
                        <pic:blipFill>
                          <a:blip r:embed="rId16" cstate="print"/>
                          <a:srcRect/>
                          <a:stretch>
                            <a:fillRect/>
                          </a:stretch>
                        </pic:blipFill>
                        <pic:spPr bwMode="auto">
                          <a:xfrm>
                            <a:off x="0" y="0"/>
                            <a:ext cx="4262755" cy="2933700"/>
                          </a:xfrm>
                          <a:prstGeom prst="rect">
                            <a:avLst/>
                          </a:prstGeom>
                          <a:noFill/>
                          <a:ln w="9525">
                            <a:noFill/>
                            <a:miter lim="800000"/>
                            <a:headEnd/>
                            <a:tailEnd/>
                          </a:ln>
                        </pic:spPr>
                      </pic:pic>
                    </a:graphicData>
                  </a:graphic>
                </wp:inline>
              </w:drawing>
            </w:r>
          </w:p>
          <w:p w:rsidR="00EC2C77" w:rsidRPr="00B711DC" w:rsidRDefault="00EC2C77" w:rsidP="00BB09B6">
            <w:pPr>
              <w:pStyle w:val="BodyPara1"/>
              <w:spacing w:after="0"/>
              <w:rPr>
                <w:rFonts w:asciiTheme="minorHAnsi" w:hAnsiTheme="minorHAnsi" w:cs="Arial"/>
                <w:b/>
                <w:color w:val="000080"/>
                <w:sz w:val="24"/>
                <w:u w:val="single"/>
                <w:lang w:val="en-GB"/>
              </w:rPr>
            </w:pPr>
            <w:r w:rsidRPr="00873938">
              <w:rPr>
                <w:rFonts w:asciiTheme="minorHAnsi" w:hAnsiTheme="minorHAnsi" w:cs="Arial"/>
                <w:szCs w:val="22"/>
              </w:rPr>
              <w:lastRenderedPageBreak/>
              <w:br w:type="page"/>
            </w:r>
            <w:r w:rsidRPr="00B711DC">
              <w:rPr>
                <w:rFonts w:asciiTheme="minorHAnsi" w:hAnsiTheme="minorHAnsi" w:cs="Arial"/>
                <w:b/>
                <w:color w:val="000080"/>
                <w:sz w:val="24"/>
                <w:u w:val="single"/>
                <w:lang w:val="en-GB"/>
              </w:rPr>
              <w:t>Support Operating Model</w:t>
            </w:r>
          </w:p>
          <w:p w:rsidR="00EC2C77" w:rsidRPr="00B711DC" w:rsidRDefault="00EC2C77"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Following are the timelines for weekly coverage in all three (3) shifts including the location and resource loading</w:t>
            </w:r>
          </w:p>
          <w:p w:rsidR="00EC2C77" w:rsidRPr="00873938" w:rsidRDefault="00C07848" w:rsidP="00F7134B">
            <w:pPr>
              <w:pStyle w:val="Heading3"/>
              <w:numPr>
                <w:ilvl w:val="0"/>
                <w:numId w:val="0"/>
              </w:numPr>
              <w:tabs>
                <w:tab w:val="left" w:pos="0"/>
                <w:tab w:val="left" w:pos="630"/>
              </w:tabs>
              <w:spacing w:line="336" w:lineRule="auto"/>
              <w:jc w:val="center"/>
              <w:rPr>
                <w:rFonts w:asciiTheme="minorHAnsi" w:hAnsiTheme="minorHAnsi" w:cs="Arial"/>
                <w:noProof/>
                <w:sz w:val="22"/>
              </w:rPr>
            </w:pPr>
            <w:r w:rsidRPr="00873938">
              <w:rPr>
                <w:rFonts w:asciiTheme="minorHAnsi" w:hAnsiTheme="minorHAnsi" w:cs="Arial"/>
                <w:noProof/>
                <w:sz w:val="22"/>
              </w:rPr>
              <w:drawing>
                <wp:inline distT="0" distB="0" distL="0" distR="0">
                  <wp:extent cx="5086350" cy="1457325"/>
                  <wp:effectExtent l="19050" t="19050" r="19050" b="28575"/>
                  <wp:docPr id="103" name="Picture 1" descr="Operating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Model"/>
                          <pic:cNvPicPr>
                            <a:picLocks noChangeAspect="1" noChangeArrowheads="1"/>
                          </pic:cNvPicPr>
                        </pic:nvPicPr>
                        <pic:blipFill>
                          <a:blip r:embed="rId17" cstate="print"/>
                          <a:srcRect/>
                          <a:stretch>
                            <a:fillRect/>
                          </a:stretch>
                        </pic:blipFill>
                        <pic:spPr bwMode="auto">
                          <a:xfrm>
                            <a:off x="0" y="0"/>
                            <a:ext cx="5086350" cy="1457325"/>
                          </a:xfrm>
                          <a:prstGeom prst="rect">
                            <a:avLst/>
                          </a:prstGeom>
                          <a:noFill/>
                          <a:ln w="6350" cmpd="sng">
                            <a:solidFill>
                              <a:srgbClr val="000000"/>
                            </a:solidFill>
                            <a:miter lim="800000"/>
                            <a:headEnd/>
                            <a:tailEnd/>
                          </a:ln>
                          <a:effectLst/>
                        </pic:spPr>
                      </pic:pic>
                    </a:graphicData>
                  </a:graphic>
                </wp:inline>
              </w:drawing>
            </w:r>
          </w:p>
          <w:p w:rsidR="00EC2C77" w:rsidRPr="00B711DC" w:rsidRDefault="00EC2C77" w:rsidP="00BB09B6">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Value Additions: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Merging of Control-M Schedules: Helped in reducing number of Schedules</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Changing jobs to run from Process Centre date instead of system date: 13 jobs changed</w:t>
            </w:r>
          </w:p>
          <w:p w:rsidR="00EC2C77" w:rsidRPr="00B711DC"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S&amp;P, Russell  and MSCI rebalance handled smoothly</w:t>
            </w:r>
          </w:p>
          <w:p w:rsidR="00390787" w:rsidRDefault="00EC2C77"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Addition of more Debug messages to frequently failing Unix Job shells</w:t>
            </w:r>
          </w:p>
          <w:p w:rsidR="00390787" w:rsidRPr="00C45DA2" w:rsidRDefault="00BB09B6" w:rsidP="00BC4334">
            <w:pPr>
              <w:pStyle w:val="Heading2"/>
              <w:keepNext w:val="0"/>
              <w:keepLines w:val="0"/>
              <w:numPr>
                <w:ilvl w:val="0"/>
                <w:numId w:val="0"/>
              </w:numPr>
              <w:spacing w:after="80" w:afterAutospacing="0" w:line="240" w:lineRule="auto"/>
              <w:rPr>
                <w:rFonts w:asciiTheme="minorHAnsi" w:hAnsiTheme="minorHAnsi" w:cs="Arial"/>
                <w:sz w:val="24"/>
                <w:szCs w:val="24"/>
                <w:u w:val="single"/>
              </w:rPr>
            </w:pPr>
            <w:bookmarkStart w:id="5" w:name="_Toc259453496"/>
            <w:r w:rsidRPr="00C45DA2">
              <w:rPr>
                <w:rFonts w:asciiTheme="minorHAnsi" w:hAnsiTheme="minorHAnsi" w:cs="Arial"/>
                <w:sz w:val="24"/>
                <w:szCs w:val="24"/>
                <w:u w:val="single"/>
              </w:rPr>
              <w:t>CASE STUDY 2</w:t>
            </w:r>
            <w:r w:rsidR="00BC4334" w:rsidRPr="00C45DA2">
              <w:rPr>
                <w:rFonts w:asciiTheme="minorHAnsi" w:hAnsiTheme="minorHAnsi" w:cs="Arial"/>
                <w:sz w:val="24"/>
                <w:szCs w:val="24"/>
                <w:u w:val="single"/>
              </w:rPr>
              <w:t>: Engagement with an Oldest &amp; Largest Partnership Bank</w:t>
            </w:r>
            <w:bookmarkEnd w:id="5"/>
          </w:p>
          <w:p w:rsidR="00BC4334" w:rsidRPr="00B711DC" w:rsidRDefault="00BC4334" w:rsidP="00F7134B">
            <w:pPr>
              <w:pStyle w:val="BodyPara1"/>
              <w:spacing w:after="0"/>
              <w:rPr>
                <w:rFonts w:asciiTheme="minorHAnsi" w:hAnsiTheme="minorHAnsi" w:cs="Arial"/>
                <w:sz w:val="24"/>
              </w:rPr>
            </w:pPr>
            <w:r w:rsidRPr="00B711DC">
              <w:rPr>
                <w:rFonts w:asciiTheme="minorHAnsi" w:hAnsiTheme="minorHAnsi" w:cs="Arial"/>
                <w:b/>
                <w:color w:val="000080"/>
                <w:sz w:val="24"/>
                <w:u w:val="single"/>
                <w:lang w:val="en-GB"/>
              </w:rPr>
              <w:t>Customer Profile</w:t>
            </w:r>
          </w:p>
          <w:p w:rsidR="00BC4334" w:rsidRPr="00873938" w:rsidRDefault="00BC4334" w:rsidP="00477B35">
            <w:pPr>
              <w:pStyle w:val="BodyPara1"/>
              <w:rPr>
                <w:rFonts w:asciiTheme="minorHAnsi" w:hAnsiTheme="minorHAnsi" w:cs="Arial"/>
                <w:szCs w:val="22"/>
              </w:rPr>
            </w:pPr>
            <w:r w:rsidRPr="00B711DC">
              <w:rPr>
                <w:rFonts w:asciiTheme="minorHAnsi" w:hAnsiTheme="minorHAnsi" w:cs="Times New Roman"/>
                <w:color w:val="3F3F3F"/>
                <w:szCs w:val="22"/>
                <w:lang w:val="en-US" w:bidi="en-US"/>
              </w:rPr>
              <w:t>One of the oldest and largest partnership banks in America, it develops and manages a family of alternative investment funds that enable high net worth individuals and smaller institutional clients to participate along with it and its large institutional clients in a series of unique investment opportunities.</w:t>
            </w:r>
          </w:p>
          <w:p w:rsidR="00BC4334" w:rsidRPr="00B711DC" w:rsidRDefault="00BC4334"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Background</w:t>
            </w:r>
          </w:p>
          <w:p w:rsidR="00BC4334" w:rsidRPr="00B711DC" w:rsidRDefault="00EA536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noProof/>
                <w:color w:val="3F3F3F"/>
                <w:szCs w:val="22"/>
                <w:lang w:val="en-US"/>
              </w:rPr>
              <w:drawing>
                <wp:anchor distT="0" distB="0" distL="114300" distR="114300" simplePos="0" relativeHeight="251680256" behindDoc="1" locked="0" layoutInCell="1" allowOverlap="1">
                  <wp:simplePos x="0" y="0"/>
                  <wp:positionH relativeFrom="column">
                    <wp:posOffset>2007870</wp:posOffset>
                  </wp:positionH>
                  <wp:positionV relativeFrom="paragraph">
                    <wp:posOffset>149860</wp:posOffset>
                  </wp:positionV>
                  <wp:extent cx="3876675" cy="3257550"/>
                  <wp:effectExtent l="19050" t="0" r="9525" b="0"/>
                  <wp:wrapTight wrapText="bothSides">
                    <wp:wrapPolygon edited="0">
                      <wp:start x="-106" y="0"/>
                      <wp:lineTo x="-106" y="21474"/>
                      <wp:lineTo x="21653" y="21474"/>
                      <wp:lineTo x="21653" y="0"/>
                      <wp:lineTo x="-106" y="0"/>
                    </wp:wrapPolygon>
                  </wp:wrapTight>
                  <wp:docPr id="17" name="Picture 1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ntitled"/>
                          <pic:cNvPicPr>
                            <a:picLocks noChangeAspect="1" noChangeArrowheads="1"/>
                          </pic:cNvPicPr>
                        </pic:nvPicPr>
                        <pic:blipFill>
                          <a:blip r:embed="rId18" cstate="print"/>
                          <a:srcRect/>
                          <a:stretch>
                            <a:fillRect/>
                          </a:stretch>
                        </pic:blipFill>
                        <pic:spPr bwMode="auto">
                          <a:xfrm>
                            <a:off x="0" y="0"/>
                            <a:ext cx="3876675" cy="3257550"/>
                          </a:xfrm>
                          <a:prstGeom prst="rect">
                            <a:avLst/>
                          </a:prstGeom>
                          <a:noFill/>
                          <a:ln w="9525">
                            <a:noFill/>
                            <a:miter lim="800000"/>
                            <a:headEnd/>
                            <a:tailEnd/>
                          </a:ln>
                        </pic:spPr>
                      </pic:pic>
                    </a:graphicData>
                  </a:graphic>
                </wp:anchor>
              </w:drawing>
            </w:r>
            <w:r w:rsidR="00BC4334" w:rsidRPr="00B711DC">
              <w:rPr>
                <w:rFonts w:asciiTheme="minorHAnsi" w:hAnsiTheme="minorHAnsi" w:cs="Times New Roman"/>
                <w:color w:val="3F3F3F"/>
                <w:szCs w:val="22"/>
                <w:lang w:val="en-US" w:bidi="en-US"/>
              </w:rPr>
              <w:t xml:space="preserve">The initial engagement with the client was commenced in year 2004 and project scope included customization services </w:t>
            </w:r>
            <w:r w:rsidR="00BC4334" w:rsidRPr="00B711DC">
              <w:rPr>
                <w:rFonts w:asciiTheme="minorHAnsi" w:hAnsiTheme="minorHAnsi" w:cs="Times New Roman"/>
                <w:color w:val="3F3F3F"/>
                <w:szCs w:val="22"/>
                <w:lang w:val="en-US" w:bidi="en-US"/>
              </w:rPr>
              <w:lastRenderedPageBreak/>
              <w:t>(development and/or maintenance services) for its investment portfolio management application (Eagle PACE). Each customization request was treated as an independent RFS (Request for Service). Subsequently, the scope extended to other technologies and verticals like JAVA &amp; Mainframe.</w:t>
            </w:r>
            <w:r w:rsidR="00F7134B" w:rsidRPr="00B711DC">
              <w:rPr>
                <w:rFonts w:asciiTheme="minorHAnsi" w:hAnsiTheme="minorHAnsi" w:cs="Times New Roman"/>
                <w:color w:val="3F3F3F"/>
                <w:szCs w:val="22"/>
                <w:lang w:val="en-US" w:bidi="en-US"/>
              </w:rPr>
              <w:t xml:space="preserve"> </w:t>
            </w:r>
            <w:r w:rsidR="00BC4334" w:rsidRPr="00B711DC">
              <w:rPr>
                <w:rFonts w:asciiTheme="minorHAnsi" w:hAnsiTheme="minorHAnsi" w:cs="Times New Roman"/>
                <w:color w:val="3F3F3F"/>
                <w:szCs w:val="22"/>
                <w:lang w:val="en-US" w:bidi="en-US"/>
              </w:rPr>
              <w:t>Hexaware has accepted this engagement to be executed based on an Onsite-Offshore Model with Time &amp; Material as costing basis.  The assignment started with strength of 4 onsite resources to understand the business needs and technological environment at client location and gradually it was expanded to offshore with a peak team size of 12 resources for Eagle PACE Customization and Client Reporting assignment. Based on the quality of deliverables by Hexaware, the client started sending in more request in areas of Reporting, JAVA and Mainframe technologies.</w:t>
            </w:r>
          </w:p>
          <w:p w:rsidR="00BC4334" w:rsidRPr="00B711DC" w:rsidRDefault="00BC4334"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Activities include:</w:t>
            </w:r>
          </w:p>
          <w:p w:rsidR="00BC4334" w:rsidRPr="00B711DC" w:rsidRDefault="00BC4334"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Hexaware provided solutions addressing client’s need in multiple engagements as mentioned below: </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Implement and enhance the centralized Data Hub solution for all the investment portfolio accounting and mgmt. data</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Developing of various interfaces in Eagle PACE with Downstream (DTC, TCS (Custody Positions), Bloomberg, S&amp;P, FactSet, etc.) and upstream systems (Security APL, Charles River, Portia, SS&amp;C (Transactions and Positions), etc.) to cater to data requirements.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of client reporting using OLAP and Advance reporting to cater to reporting requirements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Process optimization to accommodate more events in ‘intraday’, ‘start of day’ and ‘end of day’ batches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Product Engineering and Implementation (Sun-setting of Eagle Investment Management Systems and Implementation of SunGard)</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Enhance Fund Accounting and Administration</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Development of New Pricing Structure</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Application Development and Support</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Independent Testing – Transfer Agency / Corporate Actions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HR – IT Services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Enterprise Packages</w:t>
            </w:r>
          </w:p>
          <w:p w:rsidR="00BC4334" w:rsidRPr="00B711DC" w:rsidRDefault="00BC4334"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Business Analytics and BI / DW</w:t>
            </w:r>
          </w:p>
          <w:p w:rsidR="00BC4334" w:rsidRPr="00B711DC" w:rsidRDefault="00BC4334"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Domain Supported-</w:t>
            </w:r>
            <w:r w:rsidRPr="00B711DC">
              <w:rPr>
                <w:rFonts w:asciiTheme="minorHAnsi" w:hAnsiTheme="minorHAnsi" w:cs="Times New Roman"/>
                <w:color w:val="3F3F3F"/>
                <w:szCs w:val="22"/>
                <w:lang w:val="en-US" w:bidi="en-US"/>
              </w:rPr>
              <w:t xml:space="preserve"> CRM, Trading, Custody Services, Trade settlement, Transfer Agency, Wealth Management, Reconciliation, etc.</w:t>
            </w:r>
          </w:p>
          <w:p w:rsidR="00390787" w:rsidRDefault="00BC4334" w:rsidP="00477B35">
            <w:pPr>
              <w:pStyle w:val="BodyPara1"/>
              <w:rPr>
                <w:rFonts w:asciiTheme="minorHAnsi" w:hAnsiTheme="minorHAnsi" w:cs="Arial"/>
                <w:szCs w:val="22"/>
              </w:rPr>
            </w:pPr>
            <w:r w:rsidRPr="00B711DC">
              <w:rPr>
                <w:rFonts w:asciiTheme="minorHAnsi" w:hAnsiTheme="minorHAnsi" w:cs="Times New Roman"/>
                <w:b/>
                <w:color w:val="3F3F3F"/>
                <w:szCs w:val="22"/>
                <w:lang w:val="en-US" w:bidi="en-US"/>
              </w:rPr>
              <w:t>Technologies Covered-</w:t>
            </w:r>
            <w:r w:rsidRPr="00B711DC">
              <w:rPr>
                <w:rFonts w:asciiTheme="minorHAnsi" w:hAnsiTheme="minorHAnsi" w:cs="Times New Roman"/>
                <w:color w:val="3F3F3F"/>
                <w:szCs w:val="22"/>
                <w:lang w:val="en-US" w:bidi="en-US"/>
              </w:rPr>
              <w:t xml:space="preserve"> Eagle PACE / STAR, MS 2000 Server, VSS &amp; Client 6.0, CISCO VPN Client 3.6, Oracle 9i, PERL 5, Hyperion / Brio, Java / J2EE / JHTML, Mainframe (Cobol / CICS / DB2), PeopleSoft, etc</w:t>
            </w:r>
            <w:r w:rsidRPr="00873938">
              <w:rPr>
                <w:rFonts w:asciiTheme="minorHAnsi" w:hAnsiTheme="minorHAnsi" w:cs="Arial"/>
                <w:szCs w:val="22"/>
              </w:rPr>
              <w:t>.</w:t>
            </w:r>
          </w:p>
          <w:p w:rsidR="00370C9A" w:rsidRPr="00873938" w:rsidRDefault="00370C9A" w:rsidP="00477B35">
            <w:pPr>
              <w:pStyle w:val="BodyPara1"/>
              <w:rPr>
                <w:rFonts w:asciiTheme="minorHAnsi" w:hAnsiTheme="minorHAnsi" w:cs="Arial"/>
                <w:szCs w:val="22"/>
              </w:rPr>
            </w:pPr>
          </w:p>
          <w:p w:rsidR="00F7134B" w:rsidRPr="00680B76" w:rsidRDefault="00BB09B6" w:rsidP="00F7134B">
            <w:pPr>
              <w:pStyle w:val="Heading2"/>
              <w:keepNext w:val="0"/>
              <w:keepLines w:val="0"/>
              <w:numPr>
                <w:ilvl w:val="0"/>
                <w:numId w:val="0"/>
              </w:numPr>
              <w:spacing w:after="80" w:afterAutospacing="0" w:line="240" w:lineRule="auto"/>
              <w:rPr>
                <w:rFonts w:asciiTheme="minorHAnsi" w:hAnsiTheme="minorHAnsi" w:cs="Arial"/>
                <w:sz w:val="24"/>
                <w:szCs w:val="24"/>
                <w:u w:val="single"/>
              </w:rPr>
            </w:pPr>
            <w:bookmarkStart w:id="6" w:name="_Toc259453497"/>
            <w:r w:rsidRPr="00680B76">
              <w:rPr>
                <w:rFonts w:asciiTheme="minorHAnsi" w:hAnsiTheme="minorHAnsi" w:cs="Arial"/>
                <w:sz w:val="24"/>
                <w:szCs w:val="24"/>
                <w:u w:val="single"/>
              </w:rPr>
              <w:lastRenderedPageBreak/>
              <w:t>CASE STUDY 3</w:t>
            </w:r>
            <w:r w:rsidR="00F7134B" w:rsidRPr="00680B76">
              <w:rPr>
                <w:rFonts w:asciiTheme="minorHAnsi" w:hAnsiTheme="minorHAnsi" w:cs="Arial"/>
                <w:sz w:val="24"/>
                <w:szCs w:val="24"/>
                <w:u w:val="single"/>
              </w:rPr>
              <w:t>: Eagle Suite Implementation – ARM / SRM / Pricing / PACE</w:t>
            </w:r>
            <w:bookmarkEnd w:id="6"/>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Customer Profile</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 Large Investment firm located in the US having multi-manager strategies with approx. US$ 171 billion worth of assets under its management for over 2900 clients.</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Background</w:t>
            </w:r>
          </w:p>
          <w:p w:rsidR="00F7134B" w:rsidRPr="00B711DC" w:rsidRDefault="00F7134B" w:rsidP="00B711DC">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has implemented all the modules of Eagle (ARM, SRM, Pricing and PACE) and further provides Maintenance Services of the same. This implementation would bring improvement by allowing the organization to validate and store data in a more consistent way. The implementation was done for the following asset classes FI (Bonds, TBA, Mortgage, Government Bonds,  T-Bills, Municipals Bonds, TIPS), Commodities,   Equities, Preferred, Index,  Derivatives – SWAPS / Options.</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Business Challenge</w:t>
            </w:r>
          </w:p>
          <w:p w:rsidR="00F7134B" w:rsidRPr="00B711DC" w:rsidRDefault="00F7134B" w:rsidP="00B711DC">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The customer has a number of homegrown applications for different business lines with their own individual disjoint reference and transaction data. Some of the challenges due to multiple disparate applications were: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Lack of data transparency</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Duplication of work</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Data integrity issues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Inadequate reporting</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Solution</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The Eagle application receives reference data from different vendors like Bloomberg, IDC, WM, Vestek and Upstream, then processes and stores it, before publishing it to downstream Portfolio Management, CRD and Finance Applications.</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Transaction and position data is received from Fund Accountants, the outsourced Investment Accounting vendor, CRD &amp; through manual certified positions. This is stored and published to downstream Portfolio Management Sys. &amp; CRD.</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Scope</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Scope of Hexaware’s services is to customize, develop and implement Eagle Pace, ARM, SRM and Pricing Center products to meet the business specific needs of the customer. This being a green field project, Hexaware has been involved in and is fully responsible for Planning, Requirements Gathering, Envisioning, Design, Construction, System Integration Testing, User Acceptance Testing Support, Go Live Support and Warranty Support.</w:t>
            </w:r>
          </w:p>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lastRenderedPageBreak/>
              <w:t>Activities include: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Implementation of Eagle PACE / ARM / SRM and Pricing</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Uploaders for accepting the feeds from data sources such as: Bloomberg, IDC, WM &amp; Vestek</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Publishing the processed data it to downstream systems such as: in-house Portfolio Management Systems, CRD and other Finance Applications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Application Support and Maintenance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Assessment Study of Front Office applications</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Domain Supported-</w:t>
            </w:r>
            <w:r w:rsidRPr="00B711DC">
              <w:rPr>
                <w:rFonts w:asciiTheme="minorHAnsi" w:hAnsiTheme="minorHAnsi" w:cs="Times New Roman"/>
                <w:color w:val="3F3F3F"/>
                <w:szCs w:val="22"/>
                <w:lang w:val="en-US" w:bidi="en-US"/>
              </w:rPr>
              <w:t xml:space="preserve"> The implementation was done for the following asset classes FI (Bonds, TBA, Mortgage, Government Bonds,  T-Bills, Municipals Bonds, TIPS), Commodities,   Equities, Preferred, Index,  Derivatives – SWAPS / Options, etc.</w:t>
            </w:r>
          </w:p>
          <w:p w:rsidR="00F7134B" w:rsidRPr="00B711DC" w:rsidRDefault="00F7134B" w:rsidP="00477B35">
            <w:pPr>
              <w:pStyle w:val="BodyPara1"/>
              <w:rPr>
                <w:rFonts w:asciiTheme="minorHAnsi" w:hAnsiTheme="minorHAnsi" w:cs="Times New Roman"/>
                <w:color w:val="3F3F3F"/>
                <w:szCs w:val="22"/>
                <w:lang w:val="en-US" w:bidi="en-US"/>
              </w:rPr>
            </w:pPr>
            <w:r w:rsidRPr="00B711DC">
              <w:rPr>
                <w:rFonts w:asciiTheme="minorHAnsi" w:hAnsiTheme="minorHAnsi" w:cs="Times New Roman"/>
                <w:b/>
                <w:color w:val="3F3F3F"/>
                <w:szCs w:val="22"/>
                <w:lang w:val="en-US" w:bidi="en-US"/>
              </w:rPr>
              <w:t>Technologies Covered-</w:t>
            </w:r>
            <w:r w:rsidRPr="00B711DC">
              <w:rPr>
                <w:rFonts w:asciiTheme="minorHAnsi" w:hAnsiTheme="minorHAnsi" w:cs="Times New Roman"/>
                <w:color w:val="3F3F3F"/>
                <w:szCs w:val="22"/>
                <w:lang w:val="en-US" w:bidi="en-US"/>
              </w:rPr>
              <w:t xml:space="preserve"> </w:t>
            </w:r>
            <w:r w:rsidR="00FD1585" w:rsidRPr="00B711DC">
              <w:rPr>
                <w:rFonts w:asciiTheme="minorHAnsi" w:hAnsiTheme="minorHAnsi" w:cs="Times New Roman"/>
                <w:color w:val="3F3F3F"/>
                <w:szCs w:val="22"/>
                <w:lang w:val="en-US" w:bidi="en-US"/>
              </w:rPr>
              <w:t>Eagle PACE / STAR, MS 2000 Server, CISCO VPN Client 4.8, PERL 5, TFS (Team Foundation Server)</w:t>
            </w:r>
            <w:r w:rsidRPr="00B711DC">
              <w:rPr>
                <w:rFonts w:asciiTheme="minorHAnsi" w:hAnsiTheme="minorHAnsi" w:cs="Times New Roman"/>
                <w:color w:val="3F3F3F"/>
                <w:szCs w:val="22"/>
                <w:lang w:val="en-US" w:bidi="en-US"/>
              </w:rPr>
              <w:t xml:space="preserve"> </w:t>
            </w:r>
          </w:p>
          <w:tbl>
            <w:tblPr>
              <w:tblW w:w="0" w:type="auto"/>
              <w:tblLook w:val="04A0"/>
            </w:tblPr>
            <w:tblGrid>
              <w:gridCol w:w="3387"/>
              <w:gridCol w:w="6045"/>
            </w:tblGrid>
            <w:tr w:rsidR="00F7134B" w:rsidRPr="00873938" w:rsidTr="00370C9A">
              <w:tc>
                <w:tcPr>
                  <w:tcW w:w="3387" w:type="dxa"/>
                  <w:shd w:val="clear" w:color="auto" w:fill="auto"/>
                  <w:tcMar>
                    <w:top w:w="43" w:type="dxa"/>
                    <w:left w:w="43" w:type="dxa"/>
                    <w:bottom w:w="43" w:type="dxa"/>
                    <w:right w:w="43" w:type="dxa"/>
                  </w:tcMar>
                </w:tcPr>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ARM Implementation</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Building custom panels to support the account opening process, including workflow processes.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End-to-end solution including data scrubbing, translation and validation for uploading.</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Various exporters to downstream systems processing as End of the Day (Batch) process.</w:t>
                  </w:r>
                </w:p>
                <w:p w:rsidR="00F7134B" w:rsidRPr="00873938" w:rsidRDefault="00F7134B" w:rsidP="003453B3">
                  <w:pPr>
                    <w:pStyle w:val="BulletList0"/>
                    <w:numPr>
                      <w:ilvl w:val="0"/>
                      <w:numId w:val="13"/>
                    </w:numPr>
                    <w:spacing w:line="276" w:lineRule="auto"/>
                    <w:ind w:hanging="288"/>
                    <w:jc w:val="both"/>
                    <w:rPr>
                      <w:rFonts w:asciiTheme="minorHAnsi" w:hAnsiTheme="minorHAnsi" w:cs="Arial"/>
                      <w:szCs w:val="22"/>
                    </w:rPr>
                  </w:pPr>
                  <w:r w:rsidRPr="00B711DC">
                    <w:rPr>
                      <w:rFonts w:asciiTheme="minorHAnsi" w:hAnsiTheme="minorHAnsi" w:cs="Times New Roman"/>
                      <w:color w:val="3F3F3F"/>
                      <w:szCs w:val="22"/>
                      <w:lang w:val="en-US" w:bidi="en-US"/>
                    </w:rPr>
                    <w:t>ARM establishes and maintains the below generic structure or Fund structure for funds across all business lines and product offerings.</w:t>
                  </w:r>
                </w:p>
              </w:tc>
              <w:tc>
                <w:tcPr>
                  <w:tcW w:w="6045" w:type="dxa"/>
                  <w:shd w:val="clear" w:color="auto" w:fill="auto"/>
                  <w:tcMar>
                    <w:top w:w="43" w:type="dxa"/>
                    <w:left w:w="43" w:type="dxa"/>
                    <w:bottom w:w="43" w:type="dxa"/>
                    <w:right w:w="43" w:type="dxa"/>
                  </w:tcMar>
                </w:tcPr>
                <w:p w:rsidR="00F7134B" w:rsidRPr="00873938" w:rsidRDefault="00F7134B" w:rsidP="000D49EE">
                  <w:pPr>
                    <w:pStyle w:val="BodyPara1"/>
                    <w:jc w:val="right"/>
                    <w:rPr>
                      <w:rFonts w:asciiTheme="minorHAnsi" w:hAnsiTheme="minorHAnsi" w:cs="Arial"/>
                      <w:b/>
                      <w:szCs w:val="22"/>
                    </w:rPr>
                  </w:pPr>
                  <w:r w:rsidRPr="00873938">
                    <w:rPr>
                      <w:rFonts w:asciiTheme="minorHAnsi" w:hAnsiTheme="minorHAnsi" w:cs="Arial"/>
                      <w:b/>
                      <w:noProof/>
                      <w:szCs w:val="22"/>
                      <w:lang w:val="en-US"/>
                    </w:rPr>
                    <w:drawing>
                      <wp:inline distT="0" distB="0" distL="0" distR="0">
                        <wp:extent cx="3371850" cy="3095625"/>
                        <wp:effectExtent l="1905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r="-34" b="-270"/>
                                <a:stretch>
                                  <a:fillRect/>
                                </a:stretch>
                              </pic:blipFill>
                              <pic:spPr bwMode="auto">
                                <a:xfrm>
                                  <a:off x="0" y="0"/>
                                  <a:ext cx="3371850" cy="3095625"/>
                                </a:xfrm>
                                <a:prstGeom prst="rect">
                                  <a:avLst/>
                                </a:prstGeom>
                                <a:noFill/>
                                <a:ln w="9525">
                                  <a:noFill/>
                                  <a:miter lim="800000"/>
                                  <a:headEnd/>
                                  <a:tailEnd/>
                                </a:ln>
                              </pic:spPr>
                            </pic:pic>
                          </a:graphicData>
                        </a:graphic>
                      </wp:inline>
                    </w:drawing>
                  </w:r>
                </w:p>
              </w:tc>
            </w:tr>
            <w:tr w:rsidR="00F7134B" w:rsidRPr="00873938" w:rsidTr="00370C9A">
              <w:tc>
                <w:tcPr>
                  <w:tcW w:w="3387" w:type="dxa"/>
                  <w:tcMar>
                    <w:top w:w="43" w:type="dxa"/>
                    <w:left w:w="43" w:type="dxa"/>
                    <w:bottom w:w="43" w:type="dxa"/>
                    <w:right w:w="43" w:type="dxa"/>
                  </w:tcMar>
                </w:tcPr>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lastRenderedPageBreak/>
                    <w:t>SRM Implementation</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Accept and process security feeds from multiple Security Data Vendors</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Processing of securities of all asset types (Fixed Income, Equities, Derivatives – SWAPS, Index, Currency, Preferred, etc.).</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SRM implementation w.r.t. Uploaders, Composite Security Engine, Validation Engine, Panels (for maintenance of asset classes), Exporters, Message Centre and Data Exchanger.</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Composite Security Engine is triggered after each upload of Bloomberg Back Office files for a region. </w:t>
                  </w:r>
                </w:p>
                <w:p w:rsidR="00F7134B" w:rsidRPr="00873938" w:rsidRDefault="00F7134B" w:rsidP="003453B3">
                  <w:pPr>
                    <w:pStyle w:val="BulletList0"/>
                    <w:numPr>
                      <w:ilvl w:val="0"/>
                      <w:numId w:val="13"/>
                    </w:numPr>
                    <w:spacing w:line="276" w:lineRule="auto"/>
                    <w:ind w:hanging="288"/>
                    <w:jc w:val="both"/>
                    <w:rPr>
                      <w:rFonts w:asciiTheme="minorHAnsi" w:hAnsiTheme="minorHAnsi" w:cs="Arial"/>
                      <w:szCs w:val="22"/>
                    </w:rPr>
                  </w:pPr>
                  <w:r w:rsidRPr="00B711DC">
                    <w:rPr>
                      <w:rFonts w:asciiTheme="minorHAnsi" w:hAnsiTheme="minorHAnsi" w:cs="Times New Roman"/>
                      <w:color w:val="3F3F3F"/>
                      <w:szCs w:val="22"/>
                      <w:lang w:val="en-US" w:bidi="en-US"/>
                    </w:rPr>
                    <w:t>Composite Security Engine is triggered every 15 minutes for Bloomberg front office security request and securities created manually using Message Centre.</w:t>
                  </w:r>
                </w:p>
              </w:tc>
              <w:tc>
                <w:tcPr>
                  <w:tcW w:w="6045" w:type="dxa"/>
                  <w:tcMar>
                    <w:top w:w="43" w:type="dxa"/>
                    <w:left w:w="43" w:type="dxa"/>
                    <w:bottom w:w="43" w:type="dxa"/>
                    <w:right w:w="43" w:type="dxa"/>
                  </w:tcMar>
                </w:tcPr>
                <w:p w:rsidR="00F7134B" w:rsidRPr="00873938" w:rsidRDefault="00F7134B" w:rsidP="000D49EE">
                  <w:pPr>
                    <w:pStyle w:val="BodyPara1"/>
                    <w:jc w:val="right"/>
                    <w:rPr>
                      <w:rFonts w:asciiTheme="minorHAnsi" w:hAnsiTheme="minorHAnsi" w:cs="Arial"/>
                      <w:szCs w:val="22"/>
                    </w:rPr>
                  </w:pPr>
                  <w:r w:rsidRPr="00873938">
                    <w:rPr>
                      <w:rFonts w:asciiTheme="minorHAnsi" w:hAnsiTheme="minorHAnsi" w:cs="Arial"/>
                      <w:noProof/>
                      <w:szCs w:val="22"/>
                      <w:lang w:val="en-US"/>
                    </w:rPr>
                    <w:drawing>
                      <wp:inline distT="0" distB="0" distL="0" distR="0">
                        <wp:extent cx="3438525" cy="3343275"/>
                        <wp:effectExtent l="0" t="0" r="0" b="0"/>
                        <wp:docPr id="5" name="Object 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10250" cy="4733778"/>
                                  <a:chOff x="3257550" y="1371600"/>
                                  <a:chExt cx="5810250" cy="4733778"/>
                                </a:xfrm>
                              </a:grpSpPr>
                              <a:grpSp>
                                <a:nvGrpSpPr>
                                  <a:cNvPr id="45057" name="Group 1"/>
                                  <a:cNvGrpSpPr>
                                    <a:grpSpLocks noChangeAspect="1"/>
                                  </a:cNvGrpSpPr>
                                </a:nvGrpSpPr>
                                <a:grpSpPr bwMode="auto">
                                  <a:xfrm>
                                    <a:off x="3257550" y="1371600"/>
                                    <a:ext cx="5810250" cy="4733778"/>
                                    <a:chOff x="1800" y="5132"/>
                                    <a:chExt cx="9749" cy="7560"/>
                                  </a:xfrm>
                                </a:grpSpPr>
                                <a:sp>
                                  <a:nvSpPr>
                                    <a:cNvPr id="45081" name="AutoShape 25"/>
                                    <a:cNvSpPr>
                                      <a:spLocks noChangeAspect="1" noChangeArrowheads="1" noTextEdit="1"/>
                                    </a:cNvSpPr>
                                  </a:nvSpPr>
                                  <a:spPr bwMode="auto">
                                    <a:xfrm>
                                      <a:off x="1800" y="5132"/>
                                      <a:ext cx="9749" cy="7560"/>
                                    </a:xfrm>
                                    <a:prstGeom prst="rect">
                                      <a:avLst/>
                                    </a:prstGeom>
                                    <a:noFill/>
                                  </a:spPr>
                                  <a:txSp>
                                    <a:txBody>
                                      <a:bodyPr vert="horz" wrap="square" lIns="91440" tIns="45720" rIns="91440" bIns="45720" numCol="1" anchor="t"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80" name="AutoShape 24"/>
                                    <a:cNvSpPr>
                                      <a:spLocks noChangeArrowheads="1"/>
                                    </a:cNvSpPr>
                                  </a:nvSpPr>
                                  <a:spPr bwMode="auto">
                                    <a:xfrm>
                                      <a:off x="7200" y="6932"/>
                                      <a:ext cx="2134" cy="432"/>
                                    </a:xfrm>
                                    <a:prstGeom prst="hexagon">
                                      <a:avLst>
                                        <a:gd name="adj" fmla="val 52486"/>
                                        <a:gd name="vf" fmla="val 115470"/>
                                      </a:avLst>
                                    </a:prstGeom>
                                    <a:solidFill>
                                      <a:srgbClr val="365F91"/>
                                    </a:solidFill>
                                    <a:ln w="9525">
                                      <a:solidFill>
                                        <a:srgbClr val="698E00"/>
                                      </a:solid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FFFFFF"/>
                                            </a:solidFill>
                                            <a:effectLst/>
                                            <a:latin typeface="Calibri" pitchFamily="34" charset="0"/>
                                            <a:ea typeface="Times New Roman" pitchFamily="18" charset="0"/>
                                            <a:cs typeface="Arial" pitchFamily="34" charset="0"/>
                                          </a:rPr>
                                          <a:t>Central Repository</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9" name="AutoShape 23"/>
                                    <a:cNvSpPr>
                                      <a:spLocks noChangeArrowheads="1"/>
                                    </a:cNvSpPr>
                                  </a:nvSpPr>
                                  <a:spPr bwMode="auto">
                                    <a:xfrm>
                                      <a:off x="5506" y="5672"/>
                                      <a:ext cx="1514" cy="1080"/>
                                    </a:xfrm>
                                    <a:prstGeom prst="can">
                                      <a:avLst>
                                        <a:gd name="adj" fmla="val 17426"/>
                                      </a:avLst>
                                    </a:prstGeom>
                                    <a:solidFill>
                                      <a:srgbClr val="F7DA93"/>
                                    </a:solidFill>
                                    <a:ln w="9525">
                                      <a:solidFill>
                                        <a:srgbClr val="8A8A8A"/>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Vestek Index Security Data</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8" name="Text Box 22"/>
                                    <a:cNvSpPr txBox="1">
                                      <a:spLocks noChangeArrowheads="1"/>
                                    </a:cNvSpPr>
                                  </a:nvSpPr>
                                  <a:spPr bwMode="auto">
                                    <a:xfrm>
                                      <a:off x="9720" y="9482"/>
                                      <a:ext cx="1800" cy="1125"/>
                                    </a:xfrm>
                                    <a:prstGeom prst="rect">
                                      <a:avLst/>
                                    </a:prstGeom>
                                    <a:noFill/>
                                    <a:ln w="9525">
                                      <a:no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smtClean="0">
                                            <a:ln>
                                              <a:noFill/>
                                            </a:ln>
                                            <a:solidFill>
                                              <a:schemeClr val="tx1"/>
                                            </a:solidFill>
                                            <a:effectLst/>
                                            <a:latin typeface="Calibri" pitchFamily="34" charset="0"/>
                                            <a:ea typeface="Times New Roman" pitchFamily="18" charset="0"/>
                                            <a:cs typeface="Arial" pitchFamily="34" charset="0"/>
                                          </a:rPr>
                                          <a:t>Manual Feed</a:t>
                                        </a:r>
                                        <a:endParaRPr kumimoji="0" lang="en-US" sz="1000" b="0" i="0" u="none" strike="noStrike" cap="none" normalizeH="0" baseline="0" smtClean="0">
                                          <a:ln>
                                            <a:noFill/>
                                          </a:ln>
                                          <a:solidFill>
                                            <a:schemeClr val="tx1"/>
                                          </a:solidFill>
                                          <a:effectLst/>
                                          <a:latin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en-US" sz="900" b="0" i="0" u="none" strike="noStrike" cap="none" normalizeH="0" baseline="0" smtClean="0">
                                            <a:ln>
                                              <a:noFill/>
                                            </a:ln>
                                            <a:solidFill>
                                              <a:schemeClr val="tx1"/>
                                            </a:solidFill>
                                            <a:effectLst/>
                                            <a:latin typeface="Calibri" pitchFamily="34" charset="0"/>
                                            <a:ea typeface="Times New Roman" pitchFamily="18" charset="0"/>
                                            <a:cs typeface="Arial" pitchFamily="34" charset="0"/>
                                          </a:rPr>
                                          <a:t>Upload Security Data using Excel files (CSV Format)</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7" name="Text Box 21"/>
                                    <a:cNvSpPr txBox="1">
                                      <a:spLocks noChangeArrowheads="1"/>
                                    </a:cNvSpPr>
                                  </a:nvSpPr>
                                  <a:spPr bwMode="auto">
                                    <a:xfrm>
                                      <a:off x="10095" y="6932"/>
                                      <a:ext cx="1440" cy="1515"/>
                                    </a:xfrm>
                                    <a:prstGeom prst="rect">
                                      <a:avLst/>
                                    </a:prstGeom>
                                    <a:noFill/>
                                    <a:ln w="9525">
                                      <a:no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0" i="0" u="none" strike="noStrike" cap="none" normalizeH="0" baseline="0" smtClean="0">
                                            <a:ln>
                                              <a:noFill/>
                                            </a:ln>
                                            <a:solidFill>
                                              <a:schemeClr val="tx1"/>
                                            </a:solidFill>
                                            <a:effectLst/>
                                            <a:latin typeface="Calibri" pitchFamily="34" charset="0"/>
                                            <a:ea typeface="Times New Roman" pitchFamily="18" charset="0"/>
                                            <a:cs typeface="Arial" pitchFamily="34" charset="0"/>
                                          </a:rPr>
                                          <a:t>Manual creating new security and modifying existing securities using Panels</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6" name="Text Box 20"/>
                                    <a:cNvSpPr txBox="1">
                                      <a:spLocks noChangeArrowheads="1"/>
                                    </a:cNvSpPr>
                                  </a:nvSpPr>
                                  <a:spPr bwMode="auto">
                                    <a:xfrm>
                                      <a:off x="6270" y="8882"/>
                                      <a:ext cx="1260" cy="360"/>
                                    </a:xfrm>
                                    <a:prstGeom prst="rect">
                                      <a:avLst/>
                                    </a:prstGeom>
                                    <a:noFill/>
                                    <a:ln w="9525">
                                      <a:no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chemeClr val="tx1"/>
                                            </a:solidFill>
                                            <a:effectLst/>
                                            <a:latin typeface="Calibri" pitchFamily="34" charset="0"/>
                                            <a:ea typeface="Times New Roman" pitchFamily="18" charset="0"/>
                                            <a:cs typeface="Arial" pitchFamily="34" charset="0"/>
                                          </a:rPr>
                                          <a:t>Security</a:t>
                                        </a:r>
                                        <a:r>
                                          <a:rPr kumimoji="0" lang="en-US" sz="1000" b="1" i="0" u="none" strike="noStrike" cap="none" normalizeH="0" baseline="0" smtClean="0">
                                            <a:ln>
                                              <a:noFill/>
                                            </a:ln>
                                            <a:solidFill>
                                              <a:schemeClr val="tx1"/>
                                            </a:solidFill>
                                            <a:effectLst/>
                                            <a:latin typeface="Calibri" pitchFamily="34" charset="0"/>
                                            <a:ea typeface="Times New Roman" pitchFamily="18" charset="0"/>
                                            <a:cs typeface="Arial" pitchFamily="34" charset="0"/>
                                          </a:rPr>
                                          <a:t> </a:t>
                                        </a:r>
                                        <a:r>
                                          <a:rPr kumimoji="0" lang="en-US" sz="800" b="1" i="0" u="none" strike="noStrike" cap="none" normalizeH="0" baseline="0" smtClean="0">
                                            <a:ln>
                                              <a:noFill/>
                                            </a:ln>
                                            <a:solidFill>
                                              <a:schemeClr val="tx1"/>
                                            </a:solidFill>
                                            <a:effectLst/>
                                            <a:latin typeface="Calibri" pitchFamily="34" charset="0"/>
                                            <a:ea typeface="Times New Roman" pitchFamily="18" charset="0"/>
                                            <a:cs typeface="Arial" pitchFamily="34" charset="0"/>
                                          </a:rPr>
                                          <a:t>Data</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5" name="Line 19"/>
                                    <a:cNvSpPr>
                                      <a:spLocks noChangeShapeType="1"/>
                                    </a:cNvSpPr>
                                  </a:nvSpPr>
                                  <a:spPr bwMode="auto">
                                    <a:xfrm>
                                      <a:off x="3390" y="6752"/>
                                      <a:ext cx="825" cy="540"/>
                                    </a:xfrm>
                                    <a:prstGeom prst="line">
                                      <a:avLst/>
                                    </a:prstGeom>
                                    <a:noFill/>
                                    <a:ln w="9525">
                                      <a:solidFill>
                                        <a:srgbClr val="000000"/>
                                      </a:solidFill>
                                      <a:round/>
                                      <a:headEnd/>
                                      <a:tailEnd type="triangle" w="sm"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74" name="AutoShape 18"/>
                                    <a:cNvSpPr>
                                      <a:spLocks noChangeArrowheads="1"/>
                                    </a:cNvSpPr>
                                  </a:nvSpPr>
                                  <a:spPr bwMode="auto">
                                    <a:xfrm>
                                      <a:off x="3334" y="8418"/>
                                      <a:ext cx="2685" cy="730"/>
                                    </a:xfrm>
                                    <a:prstGeom prst="roundRect">
                                      <a:avLst>
                                        <a:gd name="adj" fmla="val 16667"/>
                                      </a:avLst>
                                    </a:prstGeom>
                                    <a:solidFill>
                                      <a:srgbClr val="FDE9D9"/>
                                    </a:solidFill>
                                    <a:ln w="9525">
                                      <a:solidFill>
                                        <a:srgbClr val="FABF8F"/>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PACE Uploader uses </a:t>
                                        </a:r>
                                        <a:endParaRPr kumimoji="0" lang="en-US" sz="1000" b="0" i="0" u="none" strike="noStrike" cap="none" normalizeH="0" baseline="0" dirty="0" smtClean="0">
                                          <a:ln>
                                            <a:noFill/>
                                          </a:ln>
                                          <a:solidFill>
                                            <a:schemeClr val="tx1"/>
                                          </a:solidFill>
                                          <a:effectLst/>
                                          <a:latin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en-US" sz="9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Pre processed file</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45073" name="Line 17"/>
                                    <a:cNvSpPr>
                                      <a:spLocks noChangeShapeType="1"/>
                                    </a:cNvSpPr>
                                  </a:nvSpPr>
                                  <a:spPr bwMode="auto">
                                    <a:xfrm flipH="1">
                                      <a:off x="4635" y="6572"/>
                                      <a:ext cx="15" cy="720"/>
                                    </a:xfrm>
                                    <a:prstGeom prst="line">
                                      <a:avLst/>
                                    </a:prstGeom>
                                    <a:noFill/>
                                    <a:ln w="9525">
                                      <a:solidFill>
                                        <a:srgbClr val="000000"/>
                                      </a:solidFill>
                                      <a:round/>
                                      <a:headEnd/>
                                      <a:tailEnd type="triangle" w="sm"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72" name="AutoShape 16"/>
                                    <a:cNvSpPr>
                                      <a:spLocks noChangeArrowheads="1"/>
                                    </a:cNvSpPr>
                                  </a:nvSpPr>
                                  <a:spPr bwMode="auto">
                                    <a:xfrm>
                                      <a:off x="3886" y="5672"/>
                                      <a:ext cx="1514" cy="1080"/>
                                    </a:xfrm>
                                    <a:prstGeom prst="can">
                                      <a:avLst>
                                        <a:gd name="adj" fmla="val 17426"/>
                                      </a:avLst>
                                    </a:prstGeom>
                                    <a:solidFill>
                                      <a:srgbClr val="F7DA93"/>
                                    </a:solidFill>
                                    <a:ln w="9525">
                                      <a:solidFill>
                                        <a:srgbClr val="8A8A8A"/>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Security data from SMF file</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71" name="Line 15"/>
                                    <a:cNvSpPr>
                                      <a:spLocks noChangeShapeType="1"/>
                                    </a:cNvSpPr>
                                  </a:nvSpPr>
                                  <a:spPr bwMode="auto">
                                    <a:xfrm flipH="1">
                                      <a:off x="5010" y="6752"/>
                                      <a:ext cx="720" cy="540"/>
                                    </a:xfrm>
                                    <a:prstGeom prst="line">
                                      <a:avLst/>
                                    </a:prstGeom>
                                    <a:noFill/>
                                    <a:ln w="9525">
                                      <a:solidFill>
                                        <a:srgbClr val="000000"/>
                                      </a:solidFill>
                                      <a:round/>
                                      <a:headEnd/>
                                      <a:tailEnd type="triangle" w="sm"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70" name="AutoShape 14"/>
                                    <a:cNvSpPr>
                                      <a:spLocks noChangeArrowheads="1"/>
                                    </a:cNvSpPr>
                                  </a:nvSpPr>
                                  <a:spPr bwMode="auto">
                                    <a:xfrm>
                                      <a:off x="8085" y="9437"/>
                                      <a:ext cx="492" cy="555"/>
                                    </a:xfrm>
                                    <a:prstGeom prst="downArrow">
                                      <a:avLst>
                                        <a:gd name="adj1" fmla="val 50000"/>
                                        <a:gd name="adj2" fmla="val 28201"/>
                                      </a:avLst>
                                    </a:prstGeom>
                                    <a:solidFill>
                                      <a:srgbClr val="C4BC96"/>
                                    </a:solidFill>
                                    <a:ln w="9525">
                                      <a:solidFill>
                                        <a:srgbClr val="808000"/>
                                      </a:solid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69" name="AutoShape 13"/>
                                    <a:cNvSpPr>
                                      <a:spLocks noChangeArrowheads="1"/>
                                    </a:cNvSpPr>
                                  </a:nvSpPr>
                                  <a:spPr bwMode="auto">
                                    <a:xfrm>
                                      <a:off x="7560" y="7556"/>
                                      <a:ext cx="1560" cy="1896"/>
                                    </a:xfrm>
                                    <a:prstGeom prst="can">
                                      <a:avLst>
                                        <a:gd name="adj" fmla="val 13425"/>
                                      </a:avLst>
                                    </a:prstGeom>
                                    <a:solidFill>
                                      <a:srgbClr val="DDD8C2"/>
                                    </a:solidFill>
                                    <a:ln w="9525">
                                      <a:solidFill>
                                        <a:srgbClr val="808080"/>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     </a:t>
                                        </a: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Eagle PACE</a:t>
                                        </a:r>
                                        <a:endParaRPr kumimoji="0" lang="en-US" sz="1000" b="0" i="0" u="none" strike="noStrike" cap="none" normalizeH="0" baseline="0" smtClean="0">
                                          <a:ln>
                                            <a:noFill/>
                                          </a:ln>
                                          <a:solidFill>
                                            <a:schemeClr val="tx1"/>
                                          </a:solidFill>
                                          <a:effectLst/>
                                          <a:latin typeface="Arial" pitchFamily="34" charset="0"/>
                                        </a:endParaRPr>
                                      </a:p>
                                      <a:p>
                                        <a:pPr marL="0" marR="0" lvl="0" indent="0" algn="ctr" defTabSz="914400" rtl="0" eaLnBrk="0" fontAlgn="base" latinLnBrk="0" hangingPunct="0">
                                          <a:lnSpc>
                                            <a:spcPct val="100000"/>
                                          </a:lnSpc>
                                          <a:spcBef>
                                            <a:spcPct val="0"/>
                                          </a:spcBef>
                                          <a:spcAft>
                                            <a:spcPct val="0"/>
                                          </a:spcAft>
                                          <a:buClrTx/>
                                          <a:buSzTx/>
                                          <a:buFontTx/>
                                          <a:buNone/>
                                          <a:tabLst/>
                                        </a:pP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Database</a:t>
                                        </a:r>
                                        <a:endParaRPr kumimoji="0" lang="en-US" sz="1000" b="0" i="0" u="none" strike="noStrike" cap="none" normalizeH="0" baseline="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68" name="AutoShape 12"/>
                                    <a:cNvSpPr>
                                      <a:spLocks noChangeArrowheads="1"/>
                                    </a:cNvSpPr>
                                  </a:nvSpPr>
                                  <a:spPr bwMode="auto">
                                    <a:xfrm>
                                      <a:off x="3274" y="7322"/>
                                      <a:ext cx="2725" cy="608"/>
                                    </a:xfrm>
                                    <a:prstGeom prst="roundRect">
                                      <a:avLst>
                                        <a:gd name="adj" fmla="val 16667"/>
                                      </a:avLst>
                                    </a:prstGeom>
                                    <a:solidFill>
                                      <a:srgbClr val="FDE9D9"/>
                                    </a:solidFill>
                                    <a:ln w="9525">
                                      <a:solidFill>
                                        <a:srgbClr val="FABF8F"/>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9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Pre processing data files using Perl scripts</a:t>
                                        </a: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45067" name="AutoShape 11"/>
                                    <a:cNvSpPr>
                                      <a:spLocks noChangeArrowheads="1"/>
                                    </a:cNvSpPr>
                                  </a:nvSpPr>
                                  <a:spPr bwMode="auto">
                                    <a:xfrm>
                                      <a:off x="6300" y="8733"/>
                                      <a:ext cx="1260" cy="179"/>
                                    </a:xfrm>
                                    <a:prstGeom prst="rightArrow">
                                      <a:avLst>
                                        <a:gd name="adj1" fmla="val 50000"/>
                                        <a:gd name="adj2" fmla="val 175978"/>
                                      </a:avLst>
                                    </a:prstGeom>
                                    <a:solidFill>
                                      <a:srgbClr val="FFFFFF"/>
                                    </a:solidFill>
                                    <a:ln w="9525">
                                      <a:solidFill>
                                        <a:srgbClr val="000000"/>
                                      </a:solidFill>
                                      <a:miter lim="800000"/>
                                      <a:headEnd/>
                                      <a:tailEnd/>
                                    </a:ln>
                                  </a:spPr>
                                  <a:txSp>
                                    <a:txBody>
                                      <a:bodyPr vert="horz" wrap="square" lIns="91440" tIns="45720" rIns="91440" bIns="45720" numCol="1" anchor="t"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66" name="Line 10"/>
                                    <a:cNvSpPr>
                                      <a:spLocks noChangeShapeType="1"/>
                                    </a:cNvSpPr>
                                  </a:nvSpPr>
                                  <a:spPr bwMode="auto">
                                    <a:xfrm>
                                      <a:off x="4680" y="8012"/>
                                      <a:ext cx="1" cy="360"/>
                                    </a:xfrm>
                                    <a:prstGeom prst="line">
                                      <a:avLst/>
                                    </a:prstGeom>
                                    <a:noFill/>
                                    <a:ln w="9525">
                                      <a:solidFill>
                                        <a:srgbClr val="000000"/>
                                      </a:solidFill>
                                      <a:round/>
                                      <a:headEnd/>
                                      <a:tailEnd type="triangle" w="med" len="med"/>
                                    </a:ln>
                                  </a:spPr>
                                  <a:txSp>
                                    <a:txBody>
                                      <a:bodyPr vert="horz" wrap="square" lIns="91440" tIns="45720" rIns="91440" bIns="45720" numCol="1" anchor="t"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pic>
                                  <a:nvPicPr>
                                    <a:cNvPr id="45065" name="Picture 9" descr="j0292020"/>
                                    <a:cNvPicPr>
                                      <a:picLocks noChangeAspect="1" noChangeArrowheads="1"/>
                                    </a:cNvPicPr>
                                  </a:nvPicPr>
                                  <a:blipFill>
                                    <a:blip r:embed="rId20">
                                      <a:lum bright="6000" contrast="-18000"/>
                                      <a:grayscl/>
                                    </a:blip>
                                    <a:srcRect/>
                                    <a:stretch>
                                      <a:fillRect/>
                                    </a:stretch>
                                  </a:blipFill>
                                  <a:spPr bwMode="auto">
                                    <a:xfrm flipH="1">
                                      <a:off x="10260" y="6107"/>
                                      <a:ext cx="960" cy="840"/>
                                    </a:xfrm>
                                    <a:prstGeom prst="rect">
                                      <a:avLst/>
                                    </a:prstGeom>
                                    <a:noFill/>
                                  </a:spPr>
                                </a:pic>
                                <a:sp>
                                  <a:nvSpPr>
                                    <a:cNvPr id="45064" name="Line 8"/>
                                    <a:cNvSpPr>
                                      <a:spLocks noChangeShapeType="1"/>
                                    </a:cNvSpPr>
                                  </a:nvSpPr>
                                  <a:spPr bwMode="auto">
                                    <a:xfrm flipH="1">
                                      <a:off x="9180" y="8912"/>
                                      <a:ext cx="900" cy="1"/>
                                    </a:xfrm>
                                    <a:prstGeom prst="line">
                                      <a:avLst/>
                                    </a:prstGeom>
                                    <a:noFill/>
                                    <a:ln w="9525">
                                      <a:solidFill>
                                        <a:srgbClr val="000000"/>
                                      </a:solidFill>
                                      <a:round/>
                                      <a:headEnd/>
                                      <a:tailEnd type="triangle" w="med"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pic>
                                  <a:nvPicPr>
                                    <a:cNvPr id="45063" name="Picture 7" descr="j0292020"/>
                                    <a:cNvPicPr>
                                      <a:picLocks noChangeAspect="1" noChangeArrowheads="1"/>
                                    </a:cNvPicPr>
                                  </a:nvPicPr>
                                  <a:blipFill>
                                    <a:blip r:embed="rId20">
                                      <a:lum bright="6000" contrast="-18000"/>
                                      <a:grayscl/>
                                    </a:blip>
                                    <a:srcRect/>
                                    <a:stretch>
                                      <a:fillRect/>
                                    </a:stretch>
                                  </a:blipFill>
                                  <a:spPr bwMode="auto">
                                    <a:xfrm>
                                      <a:off x="10260" y="8763"/>
                                      <a:ext cx="809" cy="809"/>
                                    </a:xfrm>
                                    <a:prstGeom prst="rect">
                                      <a:avLst/>
                                    </a:prstGeom>
                                    <a:noFill/>
                                  </a:spPr>
                                </a:pic>
                                <a:sp>
                                  <a:nvSpPr>
                                    <a:cNvPr id="45062" name="AutoShape 6"/>
                                    <a:cNvSpPr>
                                      <a:spLocks noChangeArrowheads="1"/>
                                    </a:cNvSpPr>
                                  </a:nvSpPr>
                                  <a:spPr bwMode="auto">
                                    <a:xfrm>
                                      <a:off x="2266" y="5672"/>
                                      <a:ext cx="1514" cy="1080"/>
                                    </a:xfrm>
                                    <a:prstGeom prst="can">
                                      <a:avLst>
                                        <a:gd name="adj" fmla="val 17426"/>
                                      </a:avLst>
                                    </a:prstGeom>
                                    <a:solidFill>
                                      <a:srgbClr val="F7DA93"/>
                                    </a:solidFill>
                                    <a:ln w="9525">
                                      <a:solidFill>
                                        <a:srgbClr val="8A8A8A"/>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endParaRPr kumimoji="0" lang="en-US" sz="8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endParaRPr>
                                      </a:p>
                                      <a:p>
                                        <a:pPr marL="0" marR="0" lvl="0" indent="0" algn="ctr" defTabSz="914400" rtl="0" eaLnBrk="1" fontAlgn="base" latinLnBrk="0" hangingPunct="1">
                                          <a:lnSpc>
                                            <a:spcPct val="100000"/>
                                          </a:lnSpc>
                                          <a:spcBef>
                                            <a:spcPct val="0"/>
                                          </a:spcBef>
                                          <a:spcAft>
                                            <a:spcPct val="0"/>
                                          </a:spcAft>
                                          <a:buClrTx/>
                                          <a:buSzTx/>
                                          <a:buFontTx/>
                                          <a:buNone/>
                                          <a:tabLst/>
                                        </a:pPr>
                                        <a:endParaRPr lang="en-US" sz="800" b="1" dirty="0" smtClean="0">
                                          <a:solidFill>
                                            <a:srgbClr val="000000"/>
                                          </a:solidFill>
                                          <a:latin typeface="Calibri" pitchFamily="34" charset="0"/>
                                          <a:ea typeface="Times New Roman" pitchFamily="18" charset="0"/>
                                          <a:cs typeface="Arial" pitchFamily="34" charset="0"/>
                                        </a:endParaRPr>
                                      </a:p>
                                      <a:p>
                                        <a:pPr marL="0" marR="0" lvl="0" indent="0" algn="ctr" defTabSz="914400" rtl="0" eaLnBrk="1" fontAlgn="base" latinLnBrk="0" hangingPunct="1">
                                          <a:lnSpc>
                                            <a:spcPct val="100000"/>
                                          </a:lnSpc>
                                          <a:spcBef>
                                            <a:spcPct val="0"/>
                                          </a:spcBef>
                                          <a:spcAft>
                                            <a:spcPct val="0"/>
                                          </a:spcAft>
                                          <a:buClrTx/>
                                          <a:buSzTx/>
                                          <a:buFontTx/>
                                          <a:buNone/>
                                          <a:tabLst/>
                                        </a:pPr>
                                        <a:r>
                                          <a:rPr kumimoji="0" lang="en-US" sz="800" b="1" i="0" u="none" strike="noStrike" cap="none" normalizeH="0" baseline="0" dirty="0" smtClean="0">
                                            <a:ln>
                                              <a:noFill/>
                                            </a:ln>
                                            <a:solidFill>
                                              <a:srgbClr val="000000"/>
                                            </a:solidFill>
                                            <a:effectLst/>
                                            <a:latin typeface="Calibri" pitchFamily="34" charset="0"/>
                                            <a:ea typeface="Times New Roman" pitchFamily="18" charset="0"/>
                                            <a:cs typeface="Arial" pitchFamily="34" charset="0"/>
                                          </a:rPr>
                                          <a:t>Bloomberg back office and per security data</a:t>
                                        </a:r>
                                        <a:endParaRPr kumimoji="0" lang="en-US" sz="1000" b="0" i="0" u="none" strike="noStrike" cap="none" normalizeH="0" baseline="0" dirty="0" smtClean="0">
                                          <a:ln>
                                            <a:noFill/>
                                          </a:ln>
                                          <a:solidFill>
                                            <a:schemeClr val="tx1"/>
                                          </a:solidFill>
                                          <a:effectLst/>
                                          <a:latin typeface="Arial" pitchFamily="34" charset="0"/>
                                        </a:endParaRPr>
                                      </a:p>
                                      <a:p>
                                        <a:pPr marL="0" marR="0" lvl="0" indent="0" algn="l" defTabSz="914400" rtl="0" eaLnBrk="0" fontAlgn="base" latinLnBrk="0" hangingPunct="0">
                                          <a:lnSpc>
                                            <a:spcPct val="100000"/>
                                          </a:lnSpc>
                                          <a:spcBef>
                                            <a:spcPct val="0"/>
                                          </a:spcBef>
                                          <a:spcAft>
                                            <a:spcPct val="0"/>
                                          </a:spcAft>
                                          <a:buClrTx/>
                                          <a:buSzTx/>
                                          <a:buFontTx/>
                                          <a:buNone/>
                                          <a:tabLst/>
                                        </a:pPr>
                                        <a:endParaRPr kumimoji="0" lang="en-US" sz="1800" b="0" i="0" u="none" strike="noStrike" cap="none" normalizeH="0" baseline="0" dirty="0" smtClean="0">
                                          <a:ln>
                                            <a:noFill/>
                                          </a:ln>
                                          <a:solidFill>
                                            <a:schemeClr val="tx1"/>
                                          </a:solidFill>
                                          <a:effectLst/>
                                          <a:latin typeface="Arial" pitchFamily="34" charset="0"/>
                                        </a:endParaRPr>
                                      </a:p>
                                    </a:txBody>
                                    <a:useSpRect/>
                                  </a:txSp>
                                </a:sp>
                                <a:sp>
                                  <a:nvSpPr>
                                    <a:cNvPr id="45061" name="Line 5"/>
                                    <a:cNvSpPr>
                                      <a:spLocks noChangeShapeType="1"/>
                                    </a:cNvSpPr>
                                  </a:nvSpPr>
                                  <a:spPr bwMode="auto">
                                    <a:xfrm flipH="1">
                                      <a:off x="9180" y="8012"/>
                                      <a:ext cx="900" cy="1"/>
                                    </a:xfrm>
                                    <a:prstGeom prst="line">
                                      <a:avLst/>
                                    </a:prstGeom>
                                    <a:noFill/>
                                    <a:ln w="9525">
                                      <a:solidFill>
                                        <a:srgbClr val="000000"/>
                                      </a:solidFill>
                                      <a:round/>
                                      <a:headEnd/>
                                      <a:tailEnd type="triangle" w="med" len="med"/>
                                    </a:ln>
                                  </a:spPr>
                                  <a:txSp>
                                    <a:txBody>
                                      <a:bodyPr vert="horz" wrap="square" lIns="91440" tIns="45720" rIns="91440" bIns="45720"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sp>
                                  <a:nvSpPr>
                                    <a:cNvPr id="45060" name="AutoShape 4"/>
                                    <a:cNvSpPr>
                                      <a:spLocks noChangeArrowheads="1"/>
                                    </a:cNvSpPr>
                                  </a:nvSpPr>
                                  <a:spPr bwMode="auto">
                                    <a:xfrm>
                                      <a:off x="7620" y="9992"/>
                                      <a:ext cx="1560" cy="1080"/>
                                    </a:xfrm>
                                    <a:prstGeom prst="can">
                                      <a:avLst>
                                        <a:gd name="adj" fmla="val 11046"/>
                                      </a:avLst>
                                    </a:prstGeom>
                                    <a:solidFill>
                                      <a:srgbClr val="DDD8C2"/>
                                    </a:solidFill>
                                    <a:ln w="9525">
                                      <a:solidFill>
                                        <a:srgbClr val="808080"/>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Best of Breed Engine </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59" name="AutoShape 3"/>
                                    <a:cNvSpPr>
                                      <a:spLocks noChangeArrowheads="1"/>
                                    </a:cNvSpPr>
                                  </a:nvSpPr>
                                  <a:spPr bwMode="auto">
                                    <a:xfrm>
                                      <a:off x="7620" y="11612"/>
                                      <a:ext cx="1560" cy="1080"/>
                                    </a:xfrm>
                                    <a:prstGeom prst="can">
                                      <a:avLst>
                                        <a:gd name="adj" fmla="val 11046"/>
                                      </a:avLst>
                                    </a:prstGeom>
                                    <a:solidFill>
                                      <a:srgbClr val="DDD8C2"/>
                                    </a:solidFill>
                                    <a:ln w="9525">
                                      <a:solidFill>
                                        <a:srgbClr val="808080"/>
                                      </a:solidFill>
                                      <a:round/>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rtl="0" eaLnBrk="1" fontAlgn="base" latinLnBrk="0" hangingPunct="1">
                                          <a:lnSpc>
                                            <a:spcPct val="100000"/>
                                          </a:lnSpc>
                                          <a:spcBef>
                                            <a:spcPct val="0"/>
                                          </a:spcBef>
                                          <a:spcAft>
                                            <a:spcPct val="0"/>
                                          </a:spcAft>
                                          <a:buClrTx/>
                                          <a:buSzTx/>
                                          <a:buFontTx/>
                                          <a:buNone/>
                                          <a:tabLst/>
                                        </a:pPr>
                                        <a:r>
                                          <a:rPr kumimoji="0" lang="en-US" sz="1000" b="1" i="0" u="none" strike="noStrike" cap="none" normalizeH="0" baseline="0" smtClean="0">
                                            <a:ln>
                                              <a:noFill/>
                                            </a:ln>
                                            <a:solidFill>
                                              <a:srgbClr val="000000"/>
                                            </a:solidFill>
                                            <a:effectLst/>
                                            <a:latin typeface="Calibri" pitchFamily="34" charset="0"/>
                                            <a:ea typeface="Times New Roman" pitchFamily="18" charset="0"/>
                                            <a:cs typeface="Arial" pitchFamily="34" charset="0"/>
                                          </a:rPr>
                                          <a:t>Validation Engine process </a:t>
                                        </a:r>
                                        <a:endParaRPr kumimoji="0" lang="en-US" sz="1800" b="0" i="0" u="none" strike="noStrike" cap="none" normalizeH="0" baseline="0" smtClean="0">
                                          <a:ln>
                                            <a:noFill/>
                                          </a:ln>
                                          <a:solidFill>
                                            <a:schemeClr val="tx1"/>
                                          </a:solidFill>
                                          <a:effectLst/>
                                          <a:latin typeface="Arial" pitchFamily="34" charset="0"/>
                                        </a:endParaRPr>
                                      </a:p>
                                    </a:txBody>
                                    <a:useSpRect/>
                                  </a:txSp>
                                </a:sp>
                                <a:sp>
                                  <a:nvSpPr>
                                    <a:cNvPr id="45058" name="AutoShape 2"/>
                                    <a:cNvSpPr>
                                      <a:spLocks noChangeArrowheads="1"/>
                                    </a:cNvSpPr>
                                  </a:nvSpPr>
                                  <a:spPr bwMode="auto">
                                    <a:xfrm>
                                      <a:off x="8070" y="11072"/>
                                      <a:ext cx="492" cy="555"/>
                                    </a:xfrm>
                                    <a:prstGeom prst="downArrow">
                                      <a:avLst>
                                        <a:gd name="adj1" fmla="val 50000"/>
                                        <a:gd name="adj2" fmla="val 28201"/>
                                      </a:avLst>
                                    </a:prstGeom>
                                    <a:solidFill>
                                      <a:srgbClr val="C4BC96"/>
                                    </a:solidFill>
                                    <a:ln w="9525">
                                      <a:solidFill>
                                        <a:srgbClr val="808000"/>
                                      </a:solidFill>
                                      <a:miter lim="800000"/>
                                      <a:headEnd/>
                                      <a:tailEnd/>
                                    </a:ln>
                                  </a:spPr>
                                  <a:txSp>
                                    <a:txBody>
                                      <a:bodyPr vert="horz" wrap="square" lIns="55961" tIns="27981" rIns="55961" bIns="27981" numCol="1" anchor="ctr" anchorCtr="0" compatLnSpc="1">
                                        <a:prstTxWarp prst="textNoShape">
                                          <a:avLst/>
                                        </a:prstTxWarp>
                                      </a:bodyPr>
                                      <a:lstStyle>
                                        <a:defPPr>
                                          <a:defRPr lang="en-US"/>
                                        </a:defPPr>
                                        <a:lvl1pPr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eaLnBrk="0" fontAlgn="base" hangingPunct="0">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endParaRPr lang="en-US"/>
                                      </a:p>
                                    </a:txBody>
                                    <a:useSpRect/>
                                  </a:txSp>
                                </a:sp>
                              </a:grpSp>
                            </lc:lockedCanvas>
                          </a:graphicData>
                        </a:graphic>
                      </wp:inline>
                    </w:drawing>
                  </w:r>
                </w:p>
              </w:tc>
            </w:tr>
            <w:tr w:rsidR="00F7134B" w:rsidRPr="00873938" w:rsidTr="00370C9A">
              <w:tc>
                <w:tcPr>
                  <w:tcW w:w="9432" w:type="dxa"/>
                  <w:gridSpan w:val="2"/>
                  <w:tcMar>
                    <w:top w:w="43" w:type="dxa"/>
                    <w:left w:w="43" w:type="dxa"/>
                    <w:bottom w:w="43" w:type="dxa"/>
                    <w:right w:w="43" w:type="dxa"/>
                  </w:tcMar>
                </w:tcPr>
                <w:p w:rsidR="00F7134B" w:rsidRPr="00B711DC" w:rsidRDefault="00F7134B" w:rsidP="00B711DC">
                  <w:pPr>
                    <w:pStyle w:val="BodyPara1"/>
                    <w:spacing w:after="0"/>
                    <w:rPr>
                      <w:rFonts w:asciiTheme="minorHAnsi" w:hAnsiTheme="minorHAnsi" w:cs="Arial"/>
                      <w:b/>
                      <w:color w:val="000080"/>
                      <w:sz w:val="24"/>
                      <w:u w:val="single"/>
                      <w:lang w:val="en-GB"/>
                    </w:rPr>
                  </w:pPr>
                  <w:r w:rsidRPr="00B711DC">
                    <w:rPr>
                      <w:rFonts w:asciiTheme="minorHAnsi" w:hAnsiTheme="minorHAnsi" w:cs="Arial"/>
                      <w:b/>
                      <w:color w:val="000080"/>
                      <w:sz w:val="24"/>
                      <w:u w:val="single"/>
                      <w:lang w:val="en-GB"/>
                    </w:rPr>
                    <w:t>Pricing Implementation</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Region based data from Bloomberg back office </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Historical data through per security request</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NAV data from Fund site</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Manual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Uploaders for Bloomberg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Message Center/Panels for Manual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Create Security List</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Validations of price data</w:t>
                  </w:r>
                </w:p>
                <w:p w:rsidR="00F7134B" w:rsidRPr="00B711DC" w:rsidRDefault="00F7134B"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Best Price record generated for downstream systems</w:t>
                  </w:r>
                </w:p>
                <w:p w:rsidR="00F7134B" w:rsidRPr="00873938" w:rsidRDefault="00F7134B" w:rsidP="00F7134B">
                  <w:pPr>
                    <w:pStyle w:val="BodyPara1"/>
                    <w:rPr>
                      <w:rFonts w:asciiTheme="minorHAnsi" w:hAnsiTheme="minorHAnsi" w:cs="Arial"/>
                      <w:noProof/>
                      <w:szCs w:val="22"/>
                    </w:rPr>
                  </w:pPr>
                </w:p>
              </w:tc>
            </w:tr>
          </w:tbl>
          <w:p w:rsidR="00F7134B" w:rsidRPr="00873938" w:rsidRDefault="00F7134B" w:rsidP="00401DEE">
            <w:pPr>
              <w:pStyle w:val="DisplayHeading"/>
              <w:rPr>
                <w:rFonts w:asciiTheme="minorHAnsi" w:hAnsiTheme="minorHAnsi" w:cs="Arial"/>
                <w:noProof/>
                <w:szCs w:val="22"/>
              </w:rPr>
            </w:pPr>
            <w:r w:rsidRPr="00873938">
              <w:rPr>
                <w:rFonts w:asciiTheme="minorHAnsi" w:hAnsiTheme="minorHAnsi" w:cs="Arial"/>
                <w:noProof/>
                <w:szCs w:val="22"/>
                <w:lang w:val="en-US" w:bidi="ar-SA"/>
              </w:rPr>
              <w:lastRenderedPageBreak/>
              <w:drawing>
                <wp:inline distT="0" distB="0" distL="0" distR="0">
                  <wp:extent cx="5734050" cy="2486025"/>
                  <wp:effectExtent l="1905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734050" cy="2486025"/>
                          </a:xfrm>
                          <a:prstGeom prst="rect">
                            <a:avLst/>
                          </a:prstGeom>
                          <a:noFill/>
                          <a:ln w="9525">
                            <a:noFill/>
                            <a:miter lim="800000"/>
                            <a:headEnd/>
                            <a:tailEnd/>
                          </a:ln>
                        </pic:spPr>
                      </pic:pic>
                    </a:graphicData>
                  </a:graphic>
                </wp:inline>
              </w:drawing>
            </w:r>
          </w:p>
          <w:p w:rsidR="00F7134B" w:rsidRPr="00873938" w:rsidRDefault="00F7134B" w:rsidP="00401DEE">
            <w:pPr>
              <w:pStyle w:val="DisplayHeading"/>
              <w:rPr>
                <w:rFonts w:asciiTheme="minorHAnsi" w:hAnsiTheme="minorHAnsi" w:cs="Arial"/>
                <w:noProof/>
                <w:szCs w:val="22"/>
              </w:rPr>
            </w:pPr>
          </w:p>
          <w:p w:rsidR="00F7134B" w:rsidRPr="00873938" w:rsidRDefault="00F7134B" w:rsidP="00F7134B">
            <w:pPr>
              <w:pStyle w:val="BodyPara1"/>
              <w:rPr>
                <w:rFonts w:asciiTheme="minorHAnsi" w:hAnsiTheme="minorHAnsi" w:cs="Arial"/>
                <w:b/>
                <w:szCs w:val="22"/>
              </w:rPr>
            </w:pPr>
          </w:p>
        </w:tc>
      </w:tr>
    </w:tbl>
    <w:p w:rsidR="00390787" w:rsidRPr="00873938" w:rsidRDefault="00390787" w:rsidP="00390787">
      <w:pPr>
        <w:rPr>
          <w:rFonts w:asciiTheme="minorHAnsi" w:hAnsiTheme="minorHAnsi" w:cs="Arial"/>
          <w:sz w:val="22"/>
        </w:rPr>
      </w:pPr>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EC2C77" w:rsidRPr="00873938" w:rsidTr="00EC2C77">
        <w:trPr>
          <w:trHeight w:val="737"/>
        </w:trPr>
        <w:tc>
          <w:tcPr>
            <w:tcW w:w="9540" w:type="dxa"/>
            <w:shd w:val="clear" w:color="auto" w:fill="002060"/>
          </w:tcPr>
          <w:p w:rsidR="00EC2C77" w:rsidRPr="00873938" w:rsidRDefault="00EC2C77" w:rsidP="005962AB">
            <w:pPr>
              <w:pStyle w:val="Heading3"/>
              <w:ind w:left="864"/>
              <w:rPr>
                <w:rFonts w:asciiTheme="minorHAnsi" w:hAnsiTheme="minorHAnsi" w:cs="Arial"/>
                <w:sz w:val="22"/>
              </w:rPr>
            </w:pPr>
            <w:r w:rsidRPr="00873938">
              <w:rPr>
                <w:rFonts w:asciiTheme="minorHAnsi" w:hAnsiTheme="minorHAnsi" w:cs="Arial"/>
                <w:color w:val="FFFFFF" w:themeColor="background1"/>
                <w:sz w:val="22"/>
              </w:rPr>
              <w:t>DS-3. Who owns the Intellectual Property to the end product of the engagement, you or your client?</w:t>
            </w:r>
          </w:p>
        </w:tc>
      </w:tr>
      <w:tr w:rsidR="00EC2C77" w:rsidRPr="00873938" w:rsidTr="007373DD">
        <w:trPr>
          <w:trHeight w:val="737"/>
        </w:trPr>
        <w:tc>
          <w:tcPr>
            <w:tcW w:w="9540" w:type="dxa"/>
            <w:shd w:val="clear" w:color="auto" w:fill="auto"/>
          </w:tcPr>
          <w:p w:rsidR="00EC2C77" w:rsidRPr="00873938" w:rsidRDefault="00EC2C77" w:rsidP="00401DEE">
            <w:pPr>
              <w:pStyle w:val="DisplayHeading"/>
              <w:rPr>
                <w:rFonts w:asciiTheme="minorHAnsi" w:hAnsiTheme="minorHAnsi" w:cs="Arial"/>
                <w:szCs w:val="22"/>
              </w:rPr>
            </w:pPr>
            <w:r w:rsidRPr="00873938">
              <w:rPr>
                <w:rFonts w:asciiTheme="minorHAnsi" w:hAnsiTheme="minorHAnsi" w:cs="Arial"/>
                <w:szCs w:val="22"/>
              </w:rPr>
              <w:t>Response:</w:t>
            </w:r>
          </w:p>
          <w:p w:rsidR="000D49EE" w:rsidRPr="00B711DC" w:rsidRDefault="000D49EE"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has been working with Global Inve</w:t>
            </w:r>
            <w:r w:rsidR="00853ED7">
              <w:rPr>
                <w:rFonts w:asciiTheme="minorHAnsi" w:hAnsiTheme="minorHAnsi" w:cs="Times New Roman"/>
                <w:color w:val="3F3F3F"/>
                <w:szCs w:val="22"/>
                <w:lang w:val="en-US" w:bidi="en-US"/>
              </w:rPr>
              <w:t>st</w:t>
            </w:r>
            <w:r w:rsidRPr="00B711DC">
              <w:rPr>
                <w:rFonts w:asciiTheme="minorHAnsi" w:hAnsiTheme="minorHAnsi" w:cs="Times New Roman"/>
                <w:color w:val="3F3F3F"/>
                <w:szCs w:val="22"/>
                <w:lang w:val="en-US" w:bidi="en-US"/>
              </w:rPr>
              <w:t>ment management firms and I</w:t>
            </w:r>
            <w:r w:rsidR="007373DD" w:rsidRPr="00B711DC">
              <w:rPr>
                <w:rFonts w:asciiTheme="minorHAnsi" w:hAnsiTheme="minorHAnsi" w:cs="Times New Roman"/>
                <w:color w:val="3F3F3F"/>
                <w:szCs w:val="22"/>
                <w:lang w:val="en-US" w:bidi="en-US"/>
              </w:rPr>
              <w:t>ntellectual Property (I</w:t>
            </w:r>
            <w:r w:rsidRPr="00B711DC">
              <w:rPr>
                <w:rFonts w:asciiTheme="minorHAnsi" w:hAnsiTheme="minorHAnsi" w:cs="Times New Roman"/>
                <w:color w:val="3F3F3F"/>
                <w:szCs w:val="22"/>
                <w:lang w:val="en-US" w:bidi="en-US"/>
              </w:rPr>
              <w:t>P</w:t>
            </w:r>
            <w:r w:rsidR="007373DD" w:rsidRPr="00B711DC">
              <w:rPr>
                <w:rFonts w:asciiTheme="minorHAnsi" w:hAnsiTheme="minorHAnsi" w:cs="Times New Roman"/>
                <w:color w:val="3F3F3F"/>
                <w:szCs w:val="22"/>
                <w:lang w:val="en-US" w:bidi="en-US"/>
              </w:rPr>
              <w:t>)</w:t>
            </w:r>
            <w:r w:rsidRPr="00B711DC">
              <w:rPr>
                <w:rFonts w:asciiTheme="minorHAnsi" w:hAnsiTheme="minorHAnsi" w:cs="Times New Roman"/>
                <w:color w:val="3F3F3F"/>
                <w:szCs w:val="22"/>
                <w:lang w:val="en-US" w:bidi="en-US"/>
              </w:rPr>
              <w:t xml:space="preserve"> Developed in this area can be </w:t>
            </w:r>
            <w:r w:rsidR="001529AA" w:rsidRPr="00B711DC">
              <w:rPr>
                <w:rFonts w:asciiTheme="minorHAnsi" w:hAnsiTheme="minorHAnsi" w:cs="Times New Roman"/>
                <w:color w:val="3F3F3F"/>
                <w:szCs w:val="22"/>
                <w:lang w:val="en-US" w:bidi="en-US"/>
              </w:rPr>
              <w:t>categorized</w:t>
            </w:r>
            <w:r w:rsidRPr="00B711DC">
              <w:rPr>
                <w:rFonts w:asciiTheme="minorHAnsi" w:hAnsiTheme="minorHAnsi" w:cs="Times New Roman"/>
                <w:color w:val="3F3F3F"/>
                <w:szCs w:val="22"/>
                <w:lang w:val="en-US" w:bidi="en-US"/>
              </w:rPr>
              <w:t xml:space="preserve"> as follows.</w:t>
            </w:r>
          </w:p>
          <w:p w:rsidR="00EC2C77" w:rsidRPr="00B711DC" w:rsidRDefault="000D49EE" w:rsidP="00B711DC">
            <w:pPr>
              <w:pStyle w:val="DisplayHeading"/>
              <w:rPr>
                <w:rFonts w:asciiTheme="minorHAnsi" w:hAnsiTheme="minorHAnsi" w:cs="Arial"/>
                <w:szCs w:val="22"/>
              </w:rPr>
            </w:pPr>
            <w:r w:rsidRPr="00B711DC">
              <w:rPr>
                <w:rFonts w:asciiTheme="minorHAnsi" w:hAnsiTheme="minorHAnsi" w:cs="Arial"/>
                <w:szCs w:val="22"/>
              </w:rPr>
              <w:t>Custom Development IP</w:t>
            </w:r>
            <w:r w:rsidR="007373DD" w:rsidRPr="00B711DC">
              <w:rPr>
                <w:rFonts w:asciiTheme="minorHAnsi" w:hAnsiTheme="minorHAnsi" w:cs="Arial"/>
                <w:szCs w:val="22"/>
              </w:rPr>
              <w:t xml:space="preserve"> </w:t>
            </w:r>
          </w:p>
          <w:p w:rsidR="000D49EE" w:rsidRPr="00B711DC" w:rsidRDefault="000D49EE"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Development of </w:t>
            </w:r>
            <w:r w:rsidR="007373DD" w:rsidRPr="00B711DC">
              <w:rPr>
                <w:rFonts w:asciiTheme="minorHAnsi" w:hAnsiTheme="minorHAnsi" w:cs="Times New Roman"/>
                <w:color w:val="3F3F3F"/>
                <w:szCs w:val="22"/>
                <w:lang w:val="en-US" w:bidi="en-US"/>
              </w:rPr>
              <w:t>IP during</w:t>
            </w:r>
            <w:r w:rsidRPr="00B711DC">
              <w:rPr>
                <w:rFonts w:asciiTheme="minorHAnsi" w:hAnsiTheme="minorHAnsi" w:cs="Times New Roman"/>
                <w:color w:val="3F3F3F"/>
                <w:szCs w:val="22"/>
                <w:lang w:val="en-US" w:bidi="en-US"/>
              </w:rPr>
              <w:t xml:space="preserve"> the implementation of </w:t>
            </w:r>
            <w:r w:rsidR="007373DD" w:rsidRPr="00B711DC">
              <w:rPr>
                <w:rFonts w:asciiTheme="minorHAnsi" w:hAnsiTheme="minorHAnsi" w:cs="Times New Roman"/>
                <w:color w:val="3F3F3F"/>
                <w:szCs w:val="22"/>
                <w:lang w:val="en-US" w:bidi="en-US"/>
              </w:rPr>
              <w:t>the product for</w:t>
            </w:r>
            <w:r w:rsidRPr="00B711DC">
              <w:rPr>
                <w:rFonts w:asciiTheme="minorHAnsi" w:hAnsiTheme="minorHAnsi" w:cs="Times New Roman"/>
                <w:color w:val="3F3F3F"/>
                <w:szCs w:val="22"/>
                <w:lang w:val="en-US" w:bidi="en-US"/>
              </w:rPr>
              <w:t xml:space="preserve"> the customized solution</w:t>
            </w:r>
            <w:r w:rsidR="007373DD" w:rsidRPr="00B711DC">
              <w:rPr>
                <w:rFonts w:asciiTheme="minorHAnsi" w:hAnsiTheme="minorHAnsi" w:cs="Times New Roman"/>
                <w:color w:val="3F3F3F"/>
                <w:szCs w:val="22"/>
                <w:lang w:val="en-US" w:bidi="en-US"/>
              </w:rPr>
              <w:t xml:space="preserve"> and these Intellectual Property rights will be with Clients.</w:t>
            </w:r>
          </w:p>
          <w:p w:rsidR="000D49EE" w:rsidRPr="00B711DC" w:rsidRDefault="000D49EE" w:rsidP="00B711DC">
            <w:pPr>
              <w:pStyle w:val="DisplayHeading"/>
              <w:rPr>
                <w:rFonts w:asciiTheme="minorHAnsi" w:hAnsiTheme="minorHAnsi" w:cs="Arial"/>
                <w:szCs w:val="22"/>
              </w:rPr>
            </w:pPr>
            <w:r w:rsidRPr="00B711DC">
              <w:rPr>
                <w:rFonts w:asciiTheme="minorHAnsi" w:hAnsiTheme="minorHAnsi" w:cs="Arial"/>
                <w:szCs w:val="22"/>
              </w:rPr>
              <w:t>Joint Development IP</w:t>
            </w:r>
            <w:r w:rsidR="007373DD" w:rsidRPr="00B711DC">
              <w:rPr>
                <w:rFonts w:asciiTheme="minorHAnsi" w:hAnsiTheme="minorHAnsi" w:cs="Arial"/>
                <w:szCs w:val="22"/>
              </w:rPr>
              <w:t xml:space="preserve">  ( Nitor, Verzoenen)</w:t>
            </w:r>
          </w:p>
          <w:p w:rsidR="007373DD" w:rsidRPr="00B711DC" w:rsidRDefault="007373DD"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Hexaware also jointly worked with Investment Management Firms by bringing their Domain Experience and jointly with Hexaware Technology experience.</w:t>
            </w:r>
          </w:p>
          <w:p w:rsidR="007373DD" w:rsidRPr="00B711DC" w:rsidRDefault="007373DD" w:rsidP="00A83727">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t xml:space="preserve">Through this  we developed  Intellectual property which helps for joint marketing and the source code  will be with client  and the  framework and IP will be with Hexaware  </w:t>
            </w:r>
          </w:p>
          <w:p w:rsidR="000D49EE" w:rsidRPr="00B711DC" w:rsidRDefault="000D49EE" w:rsidP="00B711DC">
            <w:pPr>
              <w:pStyle w:val="DisplayHeading"/>
              <w:rPr>
                <w:rFonts w:asciiTheme="minorHAnsi" w:hAnsiTheme="minorHAnsi" w:cs="Arial"/>
                <w:szCs w:val="22"/>
              </w:rPr>
            </w:pPr>
            <w:r w:rsidRPr="00B711DC">
              <w:rPr>
                <w:rFonts w:asciiTheme="minorHAnsi" w:hAnsiTheme="minorHAnsi" w:cs="Arial"/>
                <w:szCs w:val="22"/>
              </w:rPr>
              <w:t xml:space="preserve"> Propreitary IP</w:t>
            </w:r>
            <w:r w:rsidR="007373DD" w:rsidRPr="00B711DC">
              <w:rPr>
                <w:rFonts w:asciiTheme="minorHAnsi" w:hAnsiTheme="minorHAnsi" w:cs="Arial"/>
                <w:szCs w:val="22"/>
              </w:rPr>
              <w:t xml:space="preserve"> ( Wealth Director, Profra, BMS, Belva)</w:t>
            </w:r>
          </w:p>
          <w:p w:rsidR="007373DD" w:rsidRPr="00B711DC" w:rsidRDefault="007373DD" w:rsidP="00B711DC">
            <w:pPr>
              <w:pStyle w:val="BodyPara1"/>
              <w:spacing w:line="276" w:lineRule="auto"/>
              <w:rPr>
                <w:rFonts w:asciiTheme="minorHAnsi" w:hAnsiTheme="minorHAnsi" w:cs="Times New Roman"/>
                <w:color w:val="3F3F3F"/>
                <w:szCs w:val="22"/>
                <w:lang w:val="en-US" w:bidi="en-US"/>
              </w:rPr>
            </w:pPr>
            <w:r w:rsidRPr="00B711DC">
              <w:rPr>
                <w:rFonts w:asciiTheme="minorHAnsi" w:hAnsiTheme="minorHAnsi" w:cs="Times New Roman"/>
                <w:color w:val="3F3F3F"/>
                <w:szCs w:val="22"/>
                <w:lang w:val="en-US" w:bidi="en-US"/>
              </w:rPr>
              <w:lastRenderedPageBreak/>
              <w:t xml:space="preserve">Hexaware also developed Framework based on  the experience in working with </w:t>
            </w:r>
            <w:r w:rsidR="001529AA" w:rsidRPr="00B711DC">
              <w:rPr>
                <w:rFonts w:asciiTheme="minorHAnsi" w:hAnsiTheme="minorHAnsi" w:cs="Times New Roman"/>
                <w:color w:val="3F3F3F"/>
                <w:szCs w:val="22"/>
                <w:lang w:val="en-US" w:bidi="en-US"/>
              </w:rPr>
              <w:t>Multiple</w:t>
            </w:r>
            <w:r w:rsidRPr="00B711DC">
              <w:rPr>
                <w:rFonts w:asciiTheme="minorHAnsi" w:hAnsiTheme="minorHAnsi" w:cs="Times New Roman"/>
                <w:color w:val="3F3F3F"/>
                <w:szCs w:val="22"/>
                <w:lang w:val="en-US" w:bidi="en-US"/>
              </w:rPr>
              <w:t xml:space="preserve"> engagements and developed  Intellectual Property and the source code and IP will be with Hexaware</w:t>
            </w:r>
          </w:p>
          <w:p w:rsidR="00EC2C77" w:rsidRPr="00873938" w:rsidRDefault="007373DD" w:rsidP="00B711DC">
            <w:pPr>
              <w:pStyle w:val="BodyPara1"/>
              <w:spacing w:line="276" w:lineRule="auto"/>
              <w:rPr>
                <w:rFonts w:asciiTheme="minorHAnsi" w:hAnsiTheme="minorHAnsi" w:cs="Arial"/>
                <w:szCs w:val="22"/>
              </w:rPr>
            </w:pPr>
            <w:r w:rsidRPr="00B711DC">
              <w:rPr>
                <w:rFonts w:asciiTheme="minorHAnsi" w:hAnsiTheme="minorHAnsi" w:cs="Times New Roman"/>
                <w:color w:val="3F3F3F"/>
                <w:szCs w:val="22"/>
                <w:lang w:val="en-US" w:bidi="en-US"/>
              </w:rPr>
              <w:t>When Hexaware use this IP, Hexaware will share the source code with client on the base framework and customize this product to specific client.</w:t>
            </w:r>
          </w:p>
        </w:tc>
      </w:tr>
    </w:tbl>
    <w:p w:rsidR="00054787" w:rsidRPr="00873938" w:rsidRDefault="00054787" w:rsidP="00390787">
      <w:pPr>
        <w:rPr>
          <w:rFonts w:asciiTheme="minorHAnsi" w:hAnsiTheme="minorHAnsi" w:cs="Arial"/>
          <w:sz w:val="22"/>
        </w:rPr>
      </w:pPr>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C07848" w:rsidRPr="00873938" w:rsidTr="00506A30">
        <w:trPr>
          <w:trHeight w:val="737"/>
        </w:trPr>
        <w:tc>
          <w:tcPr>
            <w:tcW w:w="9540" w:type="dxa"/>
            <w:shd w:val="clear" w:color="auto" w:fill="002060"/>
          </w:tcPr>
          <w:p w:rsidR="00C07848" w:rsidRPr="00873938" w:rsidRDefault="00C07848" w:rsidP="000E249F">
            <w:pPr>
              <w:pStyle w:val="Heading3"/>
              <w:ind w:left="864"/>
              <w:rPr>
                <w:rFonts w:asciiTheme="minorHAnsi" w:hAnsiTheme="minorHAnsi" w:cs="Arial"/>
                <w:sz w:val="22"/>
              </w:rPr>
            </w:pPr>
            <w:r w:rsidRPr="00873938">
              <w:rPr>
                <w:rFonts w:asciiTheme="minorHAnsi" w:hAnsiTheme="minorHAnsi" w:cs="Arial"/>
                <w:color w:val="FFFFFF" w:themeColor="background1"/>
                <w:sz w:val="22"/>
              </w:rPr>
              <w:t>DS-4. Please provide duration and total actual size in person months and date (mm/yyyy) when the engagement was completed.</w:t>
            </w:r>
          </w:p>
        </w:tc>
      </w:tr>
      <w:tr w:rsidR="00C07848" w:rsidRPr="00873938" w:rsidTr="00506A30">
        <w:trPr>
          <w:trHeight w:val="737"/>
        </w:trPr>
        <w:tc>
          <w:tcPr>
            <w:tcW w:w="9540" w:type="dxa"/>
            <w:tcBorders>
              <w:bottom w:val="dashed" w:sz="4" w:space="0" w:color="auto"/>
            </w:tcBorders>
            <w:shd w:val="clear" w:color="auto" w:fill="auto"/>
          </w:tcPr>
          <w:p w:rsidR="00C07848" w:rsidRPr="00E17E18" w:rsidRDefault="00C07848" w:rsidP="00401DEE">
            <w:pPr>
              <w:pStyle w:val="DisplayHeading"/>
              <w:rPr>
                <w:rFonts w:asciiTheme="minorHAnsi" w:hAnsiTheme="minorHAnsi" w:cs="Arial"/>
                <w:sz w:val="24"/>
              </w:rPr>
            </w:pPr>
            <w:r w:rsidRPr="00E17E18">
              <w:rPr>
                <w:rFonts w:asciiTheme="minorHAnsi" w:hAnsiTheme="minorHAnsi" w:cs="Arial"/>
                <w:sz w:val="24"/>
              </w:rPr>
              <w:t>Response:</w:t>
            </w:r>
          </w:p>
          <w:p w:rsidR="00DD5DE9" w:rsidRPr="00E17E18" w:rsidRDefault="007373DD"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Hexaware has been working with Global Investment management firms </w:t>
            </w:r>
            <w:r w:rsidR="00DD5DE9" w:rsidRPr="00E17E18">
              <w:rPr>
                <w:rFonts w:asciiTheme="minorHAnsi" w:hAnsiTheme="minorHAnsi" w:cs="Times New Roman"/>
                <w:color w:val="3F3F3F"/>
                <w:szCs w:val="22"/>
                <w:lang w:val="en-US" w:bidi="en-US"/>
              </w:rPr>
              <w:t>and below 3 are Key clients in this are as follows.</w:t>
            </w:r>
          </w:p>
          <w:tbl>
            <w:tblPr>
              <w:tblStyle w:val="Hexawar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27"/>
              <w:gridCol w:w="2327"/>
              <w:gridCol w:w="2327"/>
              <w:gridCol w:w="2328"/>
            </w:tblGrid>
            <w:tr w:rsidR="00DD5DE9" w:rsidRPr="00873938" w:rsidTr="0062744D">
              <w:trPr>
                <w:cnfStyle w:val="100000000000"/>
                <w:trHeight w:val="235"/>
              </w:trPr>
              <w:tc>
                <w:tcPr>
                  <w:tcW w:w="2327" w:type="dxa"/>
                </w:tcPr>
                <w:p w:rsidR="00DD5DE9" w:rsidRPr="00873938" w:rsidRDefault="00DD5DE9" w:rsidP="00A83727">
                  <w:pPr>
                    <w:pStyle w:val="DisplayHeading"/>
                    <w:jc w:val="left"/>
                    <w:rPr>
                      <w:rFonts w:asciiTheme="minorHAnsi" w:hAnsiTheme="minorHAnsi" w:cs="Arial"/>
                      <w:color w:val="FFFFFF" w:themeColor="background1"/>
                      <w:szCs w:val="22"/>
                    </w:rPr>
                  </w:pPr>
                  <w:r w:rsidRPr="00873938">
                    <w:rPr>
                      <w:rFonts w:asciiTheme="minorHAnsi" w:hAnsiTheme="minorHAnsi" w:cs="Arial"/>
                      <w:color w:val="FFFFFF" w:themeColor="background1"/>
                      <w:szCs w:val="22"/>
                    </w:rPr>
                    <w:t>Duration</w:t>
                  </w:r>
                </w:p>
              </w:tc>
              <w:tc>
                <w:tcPr>
                  <w:tcW w:w="2327" w:type="dxa"/>
                </w:tcPr>
                <w:p w:rsidR="00DD5DE9" w:rsidRPr="00873938" w:rsidRDefault="00DD5DE9" w:rsidP="00A83727">
                  <w:pPr>
                    <w:pStyle w:val="DisplayHeading"/>
                    <w:jc w:val="center"/>
                    <w:rPr>
                      <w:rFonts w:asciiTheme="minorHAnsi" w:hAnsiTheme="minorHAnsi" w:cs="Arial"/>
                      <w:color w:val="FFFFFF" w:themeColor="background1"/>
                      <w:szCs w:val="22"/>
                    </w:rPr>
                  </w:pPr>
                  <w:r w:rsidRPr="00873938">
                    <w:rPr>
                      <w:rFonts w:asciiTheme="minorHAnsi" w:hAnsiTheme="minorHAnsi" w:cs="Arial"/>
                      <w:color w:val="FFFFFF" w:themeColor="background1"/>
                      <w:szCs w:val="22"/>
                    </w:rPr>
                    <w:t>Start Date</w:t>
                  </w:r>
                </w:p>
              </w:tc>
              <w:tc>
                <w:tcPr>
                  <w:tcW w:w="2327" w:type="dxa"/>
                </w:tcPr>
                <w:p w:rsidR="00DD5DE9" w:rsidRPr="00873938" w:rsidRDefault="00DD5DE9" w:rsidP="00A83727">
                  <w:pPr>
                    <w:pStyle w:val="DisplayHeading"/>
                    <w:jc w:val="center"/>
                    <w:rPr>
                      <w:rFonts w:asciiTheme="minorHAnsi" w:hAnsiTheme="minorHAnsi" w:cs="Arial"/>
                      <w:color w:val="FFFFFF" w:themeColor="background1"/>
                      <w:szCs w:val="22"/>
                    </w:rPr>
                  </w:pPr>
                  <w:r w:rsidRPr="00873938">
                    <w:rPr>
                      <w:rFonts w:asciiTheme="minorHAnsi" w:hAnsiTheme="minorHAnsi" w:cs="Arial"/>
                      <w:color w:val="FFFFFF" w:themeColor="background1"/>
                      <w:szCs w:val="22"/>
                    </w:rPr>
                    <w:t xml:space="preserve">Person </w:t>
                  </w:r>
                  <w:r w:rsidR="0062744D" w:rsidRPr="00873938">
                    <w:rPr>
                      <w:rFonts w:asciiTheme="minorHAnsi" w:hAnsiTheme="minorHAnsi" w:cs="Arial"/>
                      <w:color w:val="FFFFFF" w:themeColor="background1"/>
                      <w:szCs w:val="22"/>
                    </w:rPr>
                    <w:t>Months</w:t>
                  </w:r>
                </w:p>
              </w:tc>
              <w:tc>
                <w:tcPr>
                  <w:tcW w:w="2328" w:type="dxa"/>
                </w:tcPr>
                <w:p w:rsidR="00DD5DE9" w:rsidRPr="00873938" w:rsidRDefault="00DD5DE9" w:rsidP="00A83727">
                  <w:pPr>
                    <w:pStyle w:val="DisplayHeading"/>
                    <w:jc w:val="center"/>
                    <w:rPr>
                      <w:rFonts w:asciiTheme="minorHAnsi" w:hAnsiTheme="minorHAnsi" w:cs="Arial"/>
                      <w:color w:val="FFFFFF" w:themeColor="background1"/>
                      <w:szCs w:val="22"/>
                    </w:rPr>
                  </w:pPr>
                  <w:r w:rsidRPr="00873938">
                    <w:rPr>
                      <w:rFonts w:asciiTheme="minorHAnsi" w:hAnsiTheme="minorHAnsi" w:cs="Arial"/>
                      <w:color w:val="FFFFFF" w:themeColor="background1"/>
                      <w:szCs w:val="22"/>
                    </w:rPr>
                    <w:t>Current Status</w:t>
                  </w:r>
                </w:p>
              </w:tc>
            </w:tr>
            <w:tr w:rsidR="00DD5DE9" w:rsidRPr="00873938" w:rsidTr="00394CA5">
              <w:tc>
                <w:tcPr>
                  <w:tcW w:w="2327" w:type="dxa"/>
                </w:tcPr>
                <w:p w:rsidR="00DD5DE9" w:rsidRPr="00E17E18" w:rsidRDefault="00DD5DE9" w:rsidP="00394CA5">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Engagement with Leading Global Custodian</w:t>
                  </w:r>
                </w:p>
              </w:tc>
              <w:tc>
                <w:tcPr>
                  <w:tcW w:w="2327" w:type="dxa"/>
                </w:tcPr>
                <w:p w:rsidR="00DD5DE9" w:rsidRPr="00E17E18" w:rsidRDefault="00423A65"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May, </w:t>
                  </w:r>
                  <w:r w:rsidR="0033074E" w:rsidRPr="00E17E18">
                    <w:rPr>
                      <w:rFonts w:asciiTheme="minorHAnsi" w:hAnsiTheme="minorHAnsi" w:cs="Times New Roman"/>
                      <w:b w:val="0"/>
                      <w:color w:val="3F3F3F"/>
                      <w:szCs w:val="22"/>
                      <w:lang w:val="en-US"/>
                    </w:rPr>
                    <w:t>2005</w:t>
                  </w:r>
                </w:p>
              </w:tc>
              <w:tc>
                <w:tcPr>
                  <w:tcW w:w="2327" w:type="dxa"/>
                </w:tcPr>
                <w:p w:rsidR="00DD5DE9" w:rsidRPr="00E17E18" w:rsidRDefault="00DE6230"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7500</w:t>
                  </w:r>
                  <w:r w:rsidR="00DD5DE9" w:rsidRPr="00E17E18">
                    <w:rPr>
                      <w:rFonts w:asciiTheme="minorHAnsi" w:hAnsiTheme="minorHAnsi" w:cs="Times New Roman"/>
                      <w:b w:val="0"/>
                      <w:color w:val="3F3F3F"/>
                      <w:szCs w:val="22"/>
                      <w:lang w:val="en-US"/>
                    </w:rPr>
                    <w:t xml:space="preserve"> Person Months</w:t>
                  </w:r>
                </w:p>
              </w:tc>
              <w:tc>
                <w:tcPr>
                  <w:tcW w:w="2328" w:type="dxa"/>
                </w:tcPr>
                <w:p w:rsidR="00DD5DE9" w:rsidRPr="00E17E18" w:rsidRDefault="00A406DE" w:rsidP="00A83727">
                  <w:pPr>
                    <w:pStyle w:val="DisplayHeading"/>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Active Client </w:t>
                  </w:r>
                  <w:r w:rsidR="001529AA" w:rsidRPr="00E17E18">
                    <w:rPr>
                      <w:rFonts w:asciiTheme="minorHAnsi" w:hAnsiTheme="minorHAnsi" w:cs="Times New Roman"/>
                      <w:b w:val="0"/>
                      <w:color w:val="3F3F3F"/>
                      <w:szCs w:val="22"/>
                      <w:lang w:val="en-US"/>
                    </w:rPr>
                    <w:t>and multiple</w:t>
                  </w:r>
                  <w:r w:rsidRPr="00E17E18">
                    <w:rPr>
                      <w:rFonts w:asciiTheme="minorHAnsi" w:hAnsiTheme="minorHAnsi" w:cs="Times New Roman"/>
                      <w:b w:val="0"/>
                      <w:color w:val="3F3F3F"/>
                      <w:szCs w:val="22"/>
                      <w:lang w:val="en-US"/>
                    </w:rPr>
                    <w:t xml:space="preserve"> projects are in progress.</w:t>
                  </w:r>
                </w:p>
              </w:tc>
            </w:tr>
            <w:tr w:rsidR="00DD5DE9" w:rsidRPr="00873938" w:rsidTr="00394CA5">
              <w:tc>
                <w:tcPr>
                  <w:tcW w:w="2327" w:type="dxa"/>
                </w:tcPr>
                <w:p w:rsidR="00DD5DE9" w:rsidRPr="00E17E18" w:rsidRDefault="00DD5DE9" w:rsidP="00394CA5">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Oldest &amp; Largest Partnership Bank</w:t>
                  </w:r>
                </w:p>
              </w:tc>
              <w:tc>
                <w:tcPr>
                  <w:tcW w:w="2327" w:type="dxa"/>
                </w:tcPr>
                <w:p w:rsidR="00DD5DE9" w:rsidRPr="00E17E18" w:rsidRDefault="00FD016B"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May, </w:t>
                  </w:r>
                  <w:r w:rsidR="00DD5DE9" w:rsidRPr="00E17E18">
                    <w:rPr>
                      <w:rFonts w:asciiTheme="minorHAnsi" w:hAnsiTheme="minorHAnsi" w:cs="Times New Roman"/>
                      <w:b w:val="0"/>
                      <w:color w:val="3F3F3F"/>
                      <w:szCs w:val="22"/>
                      <w:lang w:val="en-US"/>
                    </w:rPr>
                    <w:t>2004</w:t>
                  </w:r>
                </w:p>
              </w:tc>
              <w:tc>
                <w:tcPr>
                  <w:tcW w:w="2327" w:type="dxa"/>
                </w:tcPr>
                <w:p w:rsidR="00DD5DE9" w:rsidRPr="00E17E18" w:rsidRDefault="00DE6230"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335</w:t>
                  </w:r>
                  <w:r w:rsidR="00DD5DE9" w:rsidRPr="00E17E18">
                    <w:rPr>
                      <w:rFonts w:asciiTheme="minorHAnsi" w:hAnsiTheme="minorHAnsi" w:cs="Times New Roman"/>
                      <w:b w:val="0"/>
                      <w:color w:val="3F3F3F"/>
                      <w:szCs w:val="22"/>
                      <w:lang w:val="en-US"/>
                    </w:rPr>
                    <w:t xml:space="preserve"> Person Months</w:t>
                  </w:r>
                </w:p>
              </w:tc>
              <w:tc>
                <w:tcPr>
                  <w:tcW w:w="2328" w:type="dxa"/>
                </w:tcPr>
                <w:p w:rsidR="00DD5DE9" w:rsidRPr="00E17E18" w:rsidRDefault="00DD5DE9" w:rsidP="00A406DE">
                  <w:pPr>
                    <w:pStyle w:val="DisplayHeading"/>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Active Client </w:t>
                  </w:r>
                  <w:r w:rsidR="001529AA" w:rsidRPr="00E17E18">
                    <w:rPr>
                      <w:rFonts w:asciiTheme="minorHAnsi" w:hAnsiTheme="minorHAnsi" w:cs="Times New Roman"/>
                      <w:b w:val="0"/>
                      <w:color w:val="3F3F3F"/>
                      <w:szCs w:val="22"/>
                      <w:lang w:val="en-US"/>
                    </w:rPr>
                    <w:t>and multiple</w:t>
                  </w:r>
                  <w:r w:rsidRPr="00E17E18">
                    <w:rPr>
                      <w:rFonts w:asciiTheme="minorHAnsi" w:hAnsiTheme="minorHAnsi" w:cs="Times New Roman"/>
                      <w:b w:val="0"/>
                      <w:color w:val="3F3F3F"/>
                      <w:szCs w:val="22"/>
                      <w:lang w:val="en-US"/>
                    </w:rPr>
                    <w:t xml:space="preserve"> projects are </w:t>
                  </w:r>
                  <w:r w:rsidR="00A406DE" w:rsidRPr="00E17E18">
                    <w:rPr>
                      <w:rFonts w:asciiTheme="minorHAnsi" w:hAnsiTheme="minorHAnsi" w:cs="Times New Roman"/>
                      <w:b w:val="0"/>
                      <w:color w:val="3F3F3F"/>
                      <w:szCs w:val="22"/>
                      <w:lang w:val="en-US"/>
                    </w:rPr>
                    <w:t>in progress.</w:t>
                  </w:r>
                </w:p>
              </w:tc>
            </w:tr>
            <w:tr w:rsidR="00DD5DE9" w:rsidRPr="00873938" w:rsidTr="00394CA5">
              <w:tc>
                <w:tcPr>
                  <w:tcW w:w="2327" w:type="dxa"/>
                </w:tcPr>
                <w:p w:rsidR="00DD5DE9" w:rsidRPr="00E17E18" w:rsidRDefault="00DD5DE9" w:rsidP="00394CA5">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A Large Investment firm located in the US</w:t>
                  </w:r>
                </w:p>
              </w:tc>
              <w:tc>
                <w:tcPr>
                  <w:tcW w:w="2327" w:type="dxa"/>
                </w:tcPr>
                <w:p w:rsidR="00DD5DE9" w:rsidRPr="00E17E18" w:rsidRDefault="00DD5DE9"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October, 2006</w:t>
                  </w:r>
                </w:p>
              </w:tc>
              <w:tc>
                <w:tcPr>
                  <w:tcW w:w="2327" w:type="dxa"/>
                </w:tcPr>
                <w:p w:rsidR="00DD5DE9" w:rsidRPr="00E17E18" w:rsidRDefault="00DE6230" w:rsidP="00A83727">
                  <w:pPr>
                    <w:pStyle w:val="DisplayHeading"/>
                    <w:jc w:val="center"/>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30</w:t>
                  </w:r>
                  <w:r w:rsidR="00DD5DE9" w:rsidRPr="00E17E18">
                    <w:rPr>
                      <w:rFonts w:asciiTheme="minorHAnsi" w:hAnsiTheme="minorHAnsi" w:cs="Times New Roman"/>
                      <w:b w:val="0"/>
                      <w:color w:val="3F3F3F"/>
                      <w:szCs w:val="22"/>
                      <w:lang w:val="en-US"/>
                    </w:rPr>
                    <w:t>0 Person Months</w:t>
                  </w:r>
                </w:p>
              </w:tc>
              <w:tc>
                <w:tcPr>
                  <w:tcW w:w="2328" w:type="dxa"/>
                </w:tcPr>
                <w:p w:rsidR="00DD5DE9" w:rsidRPr="00E17E18" w:rsidRDefault="00A406DE" w:rsidP="00A83727">
                  <w:pPr>
                    <w:pStyle w:val="DisplayHeading"/>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 xml:space="preserve">Active Client </w:t>
                  </w:r>
                  <w:r w:rsidR="001529AA" w:rsidRPr="00E17E18">
                    <w:rPr>
                      <w:rFonts w:asciiTheme="minorHAnsi" w:hAnsiTheme="minorHAnsi" w:cs="Times New Roman"/>
                      <w:b w:val="0"/>
                      <w:color w:val="3F3F3F"/>
                      <w:szCs w:val="22"/>
                      <w:lang w:val="en-US"/>
                    </w:rPr>
                    <w:t>and multiple</w:t>
                  </w:r>
                  <w:r w:rsidRPr="00E17E18">
                    <w:rPr>
                      <w:rFonts w:asciiTheme="minorHAnsi" w:hAnsiTheme="minorHAnsi" w:cs="Times New Roman"/>
                      <w:b w:val="0"/>
                      <w:color w:val="3F3F3F"/>
                      <w:szCs w:val="22"/>
                      <w:lang w:val="en-US"/>
                    </w:rPr>
                    <w:t xml:space="preserve"> projects are in progress.</w:t>
                  </w:r>
                </w:p>
              </w:tc>
            </w:tr>
          </w:tbl>
          <w:p w:rsidR="00965DC7" w:rsidRPr="00873938" w:rsidRDefault="00965DC7" w:rsidP="00401DEE">
            <w:pPr>
              <w:pStyle w:val="DisplayHeading"/>
              <w:rPr>
                <w:rFonts w:asciiTheme="minorHAnsi" w:hAnsiTheme="minorHAnsi" w:cs="Arial"/>
                <w:szCs w:val="22"/>
              </w:rPr>
            </w:pPr>
          </w:p>
          <w:p w:rsidR="00C07848" w:rsidRPr="00873938" w:rsidRDefault="00C07848" w:rsidP="00401DEE">
            <w:pPr>
              <w:pStyle w:val="DisplayHeading"/>
              <w:rPr>
                <w:rFonts w:asciiTheme="minorHAnsi" w:hAnsiTheme="minorHAnsi" w:cs="Arial"/>
                <w:szCs w:val="22"/>
              </w:rPr>
            </w:pPr>
          </w:p>
        </w:tc>
      </w:tr>
    </w:tbl>
    <w:p w:rsidR="00370C9A" w:rsidRDefault="00370C9A" w:rsidP="00370C9A"/>
    <w:p w:rsidR="00370C9A" w:rsidRDefault="00370C9A" w:rsidP="00370C9A"/>
    <w:p w:rsidR="00370C9A" w:rsidRDefault="00370C9A" w:rsidP="00370C9A"/>
    <w:p w:rsidR="00370C9A" w:rsidRDefault="00370C9A" w:rsidP="00370C9A"/>
    <w:p w:rsidR="008842C6" w:rsidRPr="002D743B" w:rsidRDefault="00695E34" w:rsidP="00A378BE">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7" w:name="_Toc259453498"/>
      <w:r w:rsidRPr="002D743B">
        <w:rPr>
          <w:rFonts w:asciiTheme="minorHAnsi" w:hAnsiTheme="minorHAnsi" w:cs="Arial"/>
          <w:szCs w:val="32"/>
        </w:rPr>
        <w:lastRenderedPageBreak/>
        <w:t>C</w:t>
      </w:r>
      <w:r w:rsidR="00A378BE" w:rsidRPr="002D743B">
        <w:rPr>
          <w:rFonts w:asciiTheme="minorHAnsi" w:hAnsiTheme="minorHAnsi" w:cs="Arial"/>
          <w:szCs w:val="32"/>
        </w:rPr>
        <w:t>lient Reference</w:t>
      </w:r>
      <w:bookmarkEnd w:id="7"/>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Look w:val="04A0"/>
      </w:tblPr>
      <w:tblGrid>
        <w:gridCol w:w="9540"/>
      </w:tblGrid>
      <w:tr w:rsidR="0087720D" w:rsidRPr="00873938" w:rsidTr="0087720D">
        <w:trPr>
          <w:trHeight w:val="737"/>
        </w:trPr>
        <w:tc>
          <w:tcPr>
            <w:tcW w:w="9540" w:type="dxa"/>
            <w:shd w:val="clear" w:color="auto" w:fill="002060"/>
          </w:tcPr>
          <w:p w:rsidR="0087720D" w:rsidRPr="00873938" w:rsidRDefault="0087720D" w:rsidP="004F78B7">
            <w:pPr>
              <w:pStyle w:val="Heading3"/>
              <w:ind w:left="864"/>
              <w:rPr>
                <w:rFonts w:asciiTheme="minorHAnsi" w:hAnsiTheme="minorHAnsi" w:cs="Arial"/>
                <w:sz w:val="22"/>
              </w:rPr>
            </w:pPr>
            <w:r w:rsidRPr="00873938">
              <w:rPr>
                <w:rFonts w:asciiTheme="minorHAnsi" w:hAnsiTheme="minorHAnsi" w:cs="Arial"/>
                <w:color w:val="FFFFFF" w:themeColor="background1"/>
                <w:sz w:val="22"/>
              </w:rPr>
              <w:t>DS -5. Provide up to THREE (3) Client or Industry References whom Citi may call, at its discretion.</w:t>
            </w:r>
          </w:p>
        </w:tc>
      </w:tr>
      <w:tr w:rsidR="0087720D" w:rsidRPr="00873938" w:rsidTr="0087720D">
        <w:trPr>
          <w:trHeight w:val="737"/>
        </w:trPr>
        <w:tc>
          <w:tcPr>
            <w:tcW w:w="9540" w:type="dxa"/>
            <w:tcBorders>
              <w:bottom w:val="dashed" w:sz="4" w:space="0" w:color="auto"/>
            </w:tcBorders>
            <w:shd w:val="clear" w:color="auto" w:fill="auto"/>
          </w:tcPr>
          <w:p w:rsidR="0087720D" w:rsidRPr="00E17E18" w:rsidRDefault="0087720D" w:rsidP="00401DEE">
            <w:pPr>
              <w:pStyle w:val="DisplayHeading"/>
              <w:rPr>
                <w:rFonts w:asciiTheme="minorHAnsi" w:hAnsiTheme="minorHAnsi" w:cs="Arial"/>
                <w:sz w:val="24"/>
              </w:rPr>
            </w:pPr>
            <w:r w:rsidRPr="00E17E18">
              <w:rPr>
                <w:rFonts w:asciiTheme="minorHAnsi" w:hAnsiTheme="minorHAnsi" w:cs="Arial"/>
                <w:sz w:val="24"/>
              </w:rPr>
              <w:t>Response: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35"/>
              <w:gridCol w:w="1530"/>
              <w:gridCol w:w="1530"/>
              <w:gridCol w:w="1890"/>
              <w:gridCol w:w="3600"/>
            </w:tblGrid>
            <w:tr w:rsidR="0087720D" w:rsidRPr="00873938" w:rsidTr="00394CA5">
              <w:tc>
                <w:tcPr>
                  <w:tcW w:w="535"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153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Client</w:t>
                  </w:r>
                </w:p>
              </w:tc>
              <w:tc>
                <w:tcPr>
                  <w:tcW w:w="153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Contact</w:t>
                  </w:r>
                </w:p>
              </w:tc>
              <w:tc>
                <w:tcPr>
                  <w:tcW w:w="189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Designation</w:t>
                  </w:r>
                </w:p>
              </w:tc>
              <w:tc>
                <w:tcPr>
                  <w:tcW w:w="3600" w:type="dxa"/>
                  <w:shd w:val="clear" w:color="auto" w:fill="1A325E"/>
                  <w:tcMar>
                    <w:top w:w="43" w:type="dxa"/>
                    <w:left w:w="43" w:type="dxa"/>
                    <w:bottom w:w="43" w:type="dxa"/>
                    <w:right w:w="43" w:type="dxa"/>
                  </w:tcMar>
                </w:tcPr>
                <w:p w:rsidR="0087720D" w:rsidRPr="00873938" w:rsidRDefault="0087720D"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Email</w:t>
                  </w:r>
                </w:p>
              </w:tc>
            </w:tr>
            <w:tr w:rsidR="0087720D" w:rsidRPr="00873938" w:rsidTr="00394CA5">
              <w:tc>
                <w:tcPr>
                  <w:tcW w:w="535"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1</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Alliance Bernstein Investments</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O'Suilleabhain, Cian J</w:t>
                  </w:r>
                </w:p>
              </w:tc>
              <w:tc>
                <w:tcPr>
                  <w:tcW w:w="189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VP – Operations MIS</w:t>
                  </w:r>
                </w:p>
              </w:tc>
              <w:tc>
                <w:tcPr>
                  <w:tcW w:w="3600" w:type="dxa"/>
                  <w:tcMar>
                    <w:top w:w="43" w:type="dxa"/>
                    <w:left w:w="43" w:type="dxa"/>
                    <w:bottom w:w="43" w:type="dxa"/>
                    <w:right w:w="43" w:type="dxa"/>
                  </w:tcMar>
                </w:tcPr>
                <w:p w:rsidR="0087720D" w:rsidRPr="00E17E18" w:rsidRDefault="00083745" w:rsidP="00506A30">
                  <w:pPr>
                    <w:rPr>
                      <w:rFonts w:asciiTheme="minorHAnsi" w:eastAsia="Times New Roman" w:hAnsiTheme="minorHAnsi"/>
                      <w:color w:val="3F3F3F"/>
                      <w:sz w:val="22"/>
                      <w:lang w:bidi="en-US"/>
                    </w:rPr>
                  </w:pPr>
                  <w:hyperlink r:id="rId22" w:history="1">
                    <w:r w:rsidR="00A33DAC" w:rsidRPr="00E17E18">
                      <w:rPr>
                        <w:rFonts w:eastAsia="Times New Roman"/>
                        <w:color w:val="3F3F3F"/>
                        <w:lang w:bidi="en-US"/>
                      </w:rPr>
                      <w:t>cian.osuilleabhain@alliancebernstein.com</w:t>
                    </w:r>
                  </w:hyperlink>
                </w:p>
              </w:tc>
            </w:tr>
            <w:tr w:rsidR="0087720D" w:rsidRPr="00873938" w:rsidTr="00394CA5">
              <w:tc>
                <w:tcPr>
                  <w:tcW w:w="535"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2</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Northern Trust</w:t>
                  </w:r>
                </w:p>
              </w:tc>
              <w:tc>
                <w:tcPr>
                  <w:tcW w:w="153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Jay Desai</w:t>
                  </w:r>
                </w:p>
              </w:tc>
              <w:tc>
                <w:tcPr>
                  <w:tcW w:w="1890"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VP - Global Sourcing</w:t>
                  </w:r>
                </w:p>
              </w:tc>
              <w:tc>
                <w:tcPr>
                  <w:tcW w:w="3600" w:type="dxa"/>
                  <w:tcMar>
                    <w:top w:w="43" w:type="dxa"/>
                    <w:left w:w="43" w:type="dxa"/>
                    <w:bottom w:w="43" w:type="dxa"/>
                    <w:right w:w="43" w:type="dxa"/>
                  </w:tcMar>
                </w:tcPr>
                <w:p w:rsidR="0087720D" w:rsidRPr="00E17E18" w:rsidRDefault="00083745" w:rsidP="00E17E18">
                  <w:pPr>
                    <w:pStyle w:val="DisplayHeading"/>
                    <w:jc w:val="left"/>
                    <w:rPr>
                      <w:rFonts w:asciiTheme="minorHAnsi" w:hAnsiTheme="minorHAnsi" w:cs="Times New Roman"/>
                      <w:b w:val="0"/>
                      <w:color w:val="3F3F3F"/>
                      <w:szCs w:val="22"/>
                      <w:lang w:val="en-US"/>
                    </w:rPr>
                  </w:pPr>
                  <w:hyperlink r:id="rId23" w:history="1">
                    <w:r w:rsidR="0087720D" w:rsidRPr="00E17E18">
                      <w:rPr>
                        <w:rFonts w:cs="Times New Roman"/>
                        <w:b w:val="0"/>
                        <w:color w:val="3F3F3F"/>
                        <w:szCs w:val="22"/>
                        <w:lang w:val="en-US"/>
                      </w:rPr>
                      <w:t>jsd4@ntrs.com</w:t>
                    </w:r>
                  </w:hyperlink>
                </w:p>
              </w:tc>
            </w:tr>
            <w:tr w:rsidR="0087720D" w:rsidRPr="00873938" w:rsidTr="00394CA5">
              <w:tc>
                <w:tcPr>
                  <w:tcW w:w="535" w:type="dxa"/>
                  <w:tcMar>
                    <w:top w:w="43" w:type="dxa"/>
                    <w:left w:w="43" w:type="dxa"/>
                    <w:bottom w:w="43" w:type="dxa"/>
                    <w:right w:w="43" w:type="dxa"/>
                  </w:tcMar>
                </w:tcPr>
                <w:p w:rsidR="0087720D" w:rsidRPr="00E17E18" w:rsidRDefault="0087720D"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3</w:t>
                  </w:r>
                </w:p>
              </w:tc>
              <w:tc>
                <w:tcPr>
                  <w:tcW w:w="1530" w:type="dxa"/>
                  <w:tcMar>
                    <w:top w:w="43" w:type="dxa"/>
                    <w:left w:w="43" w:type="dxa"/>
                    <w:bottom w:w="43" w:type="dxa"/>
                    <w:right w:w="43" w:type="dxa"/>
                  </w:tcMar>
                </w:tcPr>
                <w:p w:rsidR="0087720D" w:rsidRPr="00E17E18" w:rsidRDefault="00321153"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ING Investment Management</w:t>
                  </w:r>
                </w:p>
              </w:tc>
              <w:tc>
                <w:tcPr>
                  <w:tcW w:w="1530" w:type="dxa"/>
                  <w:tcMar>
                    <w:top w:w="43" w:type="dxa"/>
                    <w:left w:w="43" w:type="dxa"/>
                    <w:bottom w:w="43" w:type="dxa"/>
                    <w:right w:w="43" w:type="dxa"/>
                  </w:tcMar>
                </w:tcPr>
                <w:p w:rsidR="0087720D" w:rsidRPr="00E17E18" w:rsidRDefault="00FD1585"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Suresh Krishnamoorthy</w:t>
                  </w:r>
                </w:p>
              </w:tc>
              <w:tc>
                <w:tcPr>
                  <w:tcW w:w="1890" w:type="dxa"/>
                  <w:tcMar>
                    <w:top w:w="43" w:type="dxa"/>
                    <w:left w:w="43" w:type="dxa"/>
                    <w:bottom w:w="43" w:type="dxa"/>
                    <w:right w:w="43" w:type="dxa"/>
                  </w:tcMar>
                </w:tcPr>
                <w:p w:rsidR="0087720D" w:rsidRPr="00E17E18" w:rsidRDefault="00321153"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Chief Risk Officer – Fixed Income</w:t>
                  </w:r>
                </w:p>
              </w:tc>
              <w:tc>
                <w:tcPr>
                  <w:tcW w:w="3600" w:type="dxa"/>
                  <w:tcMar>
                    <w:top w:w="43" w:type="dxa"/>
                    <w:left w:w="43" w:type="dxa"/>
                    <w:bottom w:w="43" w:type="dxa"/>
                    <w:right w:w="43" w:type="dxa"/>
                  </w:tcMar>
                </w:tcPr>
                <w:p w:rsidR="0087720D" w:rsidRPr="00E17E18" w:rsidRDefault="00321153" w:rsidP="00E17E18">
                  <w:pPr>
                    <w:pStyle w:val="DisplayHeading"/>
                    <w:jc w:val="left"/>
                    <w:rPr>
                      <w:rFonts w:asciiTheme="minorHAnsi" w:hAnsiTheme="minorHAnsi" w:cs="Times New Roman"/>
                      <w:b w:val="0"/>
                      <w:color w:val="3F3F3F"/>
                      <w:szCs w:val="22"/>
                      <w:lang w:val="en-US"/>
                    </w:rPr>
                  </w:pPr>
                  <w:r w:rsidRPr="00E17E18">
                    <w:rPr>
                      <w:rFonts w:asciiTheme="minorHAnsi" w:hAnsiTheme="minorHAnsi" w:cs="Times New Roman"/>
                      <w:b w:val="0"/>
                      <w:color w:val="3F3F3F"/>
                      <w:szCs w:val="22"/>
                      <w:lang w:val="en-US"/>
                    </w:rPr>
                    <w:t>Suresh.Krishnamoorthy@inginvestment.com</w:t>
                  </w:r>
                </w:p>
              </w:tc>
            </w:tr>
          </w:tbl>
          <w:p w:rsidR="0087720D" w:rsidRPr="00873938" w:rsidRDefault="0087720D" w:rsidP="00401DEE">
            <w:pPr>
              <w:pStyle w:val="DisplayHeading"/>
              <w:rPr>
                <w:rFonts w:asciiTheme="minorHAnsi" w:hAnsiTheme="minorHAnsi" w:cs="Arial"/>
                <w:szCs w:val="22"/>
              </w:rPr>
            </w:pPr>
          </w:p>
        </w:tc>
      </w:tr>
    </w:tbl>
    <w:p w:rsidR="006F4098" w:rsidRPr="00214BC9" w:rsidRDefault="006F4098" w:rsidP="006F4098">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8" w:name="_Toc259453499"/>
      <w:r w:rsidRPr="00214BC9">
        <w:rPr>
          <w:rFonts w:asciiTheme="minorHAnsi" w:hAnsiTheme="minorHAnsi" w:cs="Arial"/>
          <w:szCs w:val="32"/>
        </w:rPr>
        <w:t>Resource Count based on Domain Skills</w:t>
      </w:r>
      <w:bookmarkEnd w:id="8"/>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87720D" w:rsidRPr="00873938" w:rsidTr="00506A30">
        <w:trPr>
          <w:trHeight w:val="737"/>
        </w:trPr>
        <w:tc>
          <w:tcPr>
            <w:tcW w:w="9540" w:type="dxa"/>
            <w:shd w:val="clear" w:color="auto" w:fill="002060"/>
          </w:tcPr>
          <w:p w:rsidR="0087720D" w:rsidRPr="00873938" w:rsidRDefault="0087720D" w:rsidP="009F6FD5">
            <w:pPr>
              <w:pStyle w:val="Heading3"/>
              <w:ind w:left="864"/>
              <w:rPr>
                <w:rFonts w:asciiTheme="minorHAnsi" w:hAnsiTheme="minorHAnsi" w:cs="Arial"/>
                <w:color w:val="FFFFFF" w:themeColor="background1"/>
                <w:sz w:val="22"/>
              </w:rPr>
            </w:pPr>
            <w:r w:rsidRPr="00873938">
              <w:rPr>
                <w:rFonts w:asciiTheme="minorHAnsi" w:hAnsiTheme="minorHAnsi" w:cs="Arial"/>
                <w:color w:val="FFFFFF" w:themeColor="background1"/>
                <w:sz w:val="22"/>
              </w:rPr>
              <w:t>DS-6. How many people within your organization currently possess such domain skills? List number of people by:</w:t>
            </w:r>
          </w:p>
          <w:p w:rsidR="0087720D" w:rsidRPr="00873938" w:rsidRDefault="0087720D" w:rsidP="003453B3">
            <w:pPr>
              <w:pStyle w:val="ListParagraph"/>
              <w:numPr>
                <w:ilvl w:val="0"/>
                <w:numId w:val="8"/>
              </w:numPr>
              <w:rPr>
                <w:rFonts w:asciiTheme="minorHAnsi" w:eastAsia="Times New Roman" w:hAnsiTheme="minorHAnsi" w:cs="Arial"/>
                <w:b/>
                <w:bCs/>
                <w:color w:val="FFFFFF" w:themeColor="background1"/>
                <w:sz w:val="22"/>
              </w:rPr>
            </w:pPr>
            <w:r w:rsidRPr="00873938">
              <w:rPr>
                <w:rFonts w:asciiTheme="minorHAnsi" w:eastAsia="Times New Roman" w:hAnsiTheme="minorHAnsi" w:cs="Arial"/>
                <w:b/>
                <w:bCs/>
                <w:color w:val="FFFFFF" w:themeColor="background1"/>
                <w:sz w:val="22"/>
              </w:rPr>
              <w:t>Management – project managers and team leads or</w:t>
            </w:r>
          </w:p>
          <w:p w:rsidR="0087720D" w:rsidRPr="00873938" w:rsidRDefault="0087720D" w:rsidP="003453B3">
            <w:pPr>
              <w:pStyle w:val="ListParagraph"/>
              <w:numPr>
                <w:ilvl w:val="0"/>
                <w:numId w:val="8"/>
              </w:numPr>
              <w:rPr>
                <w:rFonts w:asciiTheme="minorHAnsi" w:eastAsia="Times New Roman" w:hAnsiTheme="minorHAnsi" w:cs="Arial"/>
                <w:b/>
                <w:bCs/>
                <w:color w:val="FFFFFF" w:themeColor="background1"/>
                <w:sz w:val="22"/>
              </w:rPr>
            </w:pPr>
            <w:r w:rsidRPr="00873938">
              <w:rPr>
                <w:rFonts w:asciiTheme="minorHAnsi" w:eastAsia="Times New Roman" w:hAnsiTheme="minorHAnsi" w:cs="Arial"/>
                <w:b/>
                <w:bCs/>
                <w:color w:val="FFFFFF" w:themeColor="background1"/>
                <w:sz w:val="22"/>
              </w:rPr>
              <w:t>ii. Staff – programmers and analysts, and average years of experience for said people.</w:t>
            </w:r>
          </w:p>
        </w:tc>
      </w:tr>
      <w:tr w:rsidR="0087720D" w:rsidRPr="00873938" w:rsidTr="00506A30">
        <w:trPr>
          <w:trHeight w:val="737"/>
        </w:trPr>
        <w:tc>
          <w:tcPr>
            <w:tcW w:w="9540" w:type="dxa"/>
            <w:tcBorders>
              <w:bottom w:val="dashed" w:sz="4" w:space="0" w:color="auto"/>
            </w:tcBorders>
            <w:shd w:val="clear" w:color="auto" w:fill="auto"/>
          </w:tcPr>
          <w:p w:rsidR="0087720D" w:rsidRPr="00873938" w:rsidRDefault="0087720D" w:rsidP="00A33DAC">
            <w:pPr>
              <w:pStyle w:val="DisplayHeading"/>
              <w:tabs>
                <w:tab w:val="left" w:pos="1695"/>
              </w:tabs>
              <w:rPr>
                <w:rFonts w:asciiTheme="minorHAnsi" w:hAnsiTheme="minorHAnsi" w:cs="Arial"/>
                <w:szCs w:val="22"/>
              </w:rPr>
            </w:pPr>
            <w:r w:rsidRPr="00873938">
              <w:rPr>
                <w:rFonts w:asciiTheme="minorHAnsi" w:hAnsiTheme="minorHAnsi" w:cs="Arial"/>
                <w:szCs w:val="22"/>
              </w:rPr>
              <w:t>Response:</w:t>
            </w:r>
          </w:p>
          <w:tbl>
            <w:tblPr>
              <w:tblW w:w="0" w:type="auto"/>
              <w:tblInd w:w="3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0"/>
              <w:gridCol w:w="2584"/>
              <w:gridCol w:w="2585"/>
              <w:gridCol w:w="2585"/>
            </w:tblGrid>
            <w:tr w:rsidR="005353F9" w:rsidRPr="00873938" w:rsidTr="00011C94">
              <w:trPr>
                <w:trHeight w:val="600"/>
              </w:trPr>
              <w:tc>
                <w:tcPr>
                  <w:tcW w:w="490" w:type="dxa"/>
                  <w:shd w:val="clear" w:color="auto" w:fill="1A325E"/>
                  <w:tcMar>
                    <w:top w:w="43" w:type="dxa"/>
                    <w:left w:w="43" w:type="dxa"/>
                    <w:bottom w:w="43" w:type="dxa"/>
                    <w:right w:w="43" w:type="dxa"/>
                  </w:tcMar>
                </w:tcPr>
                <w:p w:rsidR="005353F9" w:rsidRPr="00873938" w:rsidRDefault="005353F9"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2584" w:type="dxa"/>
                  <w:shd w:val="clear" w:color="auto" w:fill="1A325E"/>
                  <w:tcMar>
                    <w:top w:w="43" w:type="dxa"/>
                    <w:left w:w="43" w:type="dxa"/>
                    <w:bottom w:w="43" w:type="dxa"/>
                    <w:right w:w="43" w:type="dxa"/>
                  </w:tcMar>
                </w:tcPr>
                <w:p w:rsidR="005353F9" w:rsidRPr="00873938" w:rsidRDefault="005353F9" w:rsidP="00011C94">
                  <w:pPr>
                    <w:jc w:val="left"/>
                    <w:rPr>
                      <w:rFonts w:asciiTheme="minorHAnsi" w:hAnsiTheme="minorHAnsi" w:cs="Arial"/>
                      <w:b/>
                      <w:color w:val="FFFFFF"/>
                      <w:sz w:val="22"/>
                      <w:lang w:val="pt-BR"/>
                    </w:rPr>
                  </w:pPr>
                  <w:r w:rsidRPr="00873938">
                    <w:rPr>
                      <w:rFonts w:asciiTheme="minorHAnsi" w:hAnsiTheme="minorHAnsi" w:cs="Arial"/>
                      <w:b/>
                      <w:color w:val="FFFFFF"/>
                      <w:sz w:val="22"/>
                      <w:lang w:val="pt-BR"/>
                    </w:rPr>
                    <w:t>Role</w:t>
                  </w:r>
                </w:p>
              </w:tc>
              <w:tc>
                <w:tcPr>
                  <w:tcW w:w="2585" w:type="dxa"/>
                  <w:shd w:val="clear" w:color="auto" w:fill="1A325E"/>
                  <w:tcMar>
                    <w:top w:w="43" w:type="dxa"/>
                    <w:left w:w="43" w:type="dxa"/>
                    <w:bottom w:w="43" w:type="dxa"/>
                    <w:right w:w="43" w:type="dxa"/>
                  </w:tcMar>
                </w:tcPr>
                <w:p w:rsidR="005353F9" w:rsidRPr="00873938" w:rsidRDefault="005353F9"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Avg. Years of Experience</w:t>
                  </w:r>
                </w:p>
              </w:tc>
              <w:tc>
                <w:tcPr>
                  <w:tcW w:w="2585" w:type="dxa"/>
                  <w:shd w:val="clear" w:color="auto" w:fill="1A325E"/>
                  <w:tcMar>
                    <w:top w:w="43" w:type="dxa"/>
                    <w:left w:w="43" w:type="dxa"/>
                    <w:bottom w:w="43" w:type="dxa"/>
                    <w:right w:w="43" w:type="dxa"/>
                  </w:tcMar>
                </w:tcPr>
                <w:p w:rsidR="005353F9" w:rsidRPr="00873938" w:rsidRDefault="005353F9" w:rsidP="00394CA5">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Resource Count</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w:t>
                  </w:r>
                </w:p>
              </w:tc>
              <w:tc>
                <w:tcPr>
                  <w:tcW w:w="2584" w:type="dxa"/>
                  <w:tcMar>
                    <w:top w:w="43" w:type="dxa"/>
                    <w:left w:w="43" w:type="dxa"/>
                    <w:bottom w:w="43" w:type="dxa"/>
                    <w:right w:w="43" w:type="dxa"/>
                  </w:tcMar>
                </w:tcPr>
                <w:p w:rsidR="005353F9" w:rsidRPr="00E17E18" w:rsidRDefault="005353F9"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Manager</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10</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50</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2</w:t>
                  </w:r>
                </w:p>
              </w:tc>
              <w:tc>
                <w:tcPr>
                  <w:tcW w:w="2584" w:type="dxa"/>
                  <w:tcMar>
                    <w:top w:w="43" w:type="dxa"/>
                    <w:left w:w="43" w:type="dxa"/>
                    <w:bottom w:w="43" w:type="dxa"/>
                    <w:right w:w="43" w:type="dxa"/>
                  </w:tcMar>
                </w:tcPr>
                <w:p w:rsidR="005353F9" w:rsidRPr="00E17E18" w:rsidRDefault="005353F9"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Team Lead</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7</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85</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3</w:t>
                  </w:r>
                </w:p>
              </w:tc>
              <w:tc>
                <w:tcPr>
                  <w:tcW w:w="2584" w:type="dxa"/>
                  <w:tcMar>
                    <w:top w:w="43" w:type="dxa"/>
                    <w:left w:w="43" w:type="dxa"/>
                    <w:bottom w:w="43" w:type="dxa"/>
                    <w:right w:w="43" w:type="dxa"/>
                  </w:tcMar>
                </w:tcPr>
                <w:p w:rsidR="005353F9" w:rsidRPr="00E17E18" w:rsidRDefault="001529AA"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Business</w:t>
                  </w:r>
                  <w:r w:rsidR="005353F9" w:rsidRPr="00E17E18">
                    <w:rPr>
                      <w:rFonts w:asciiTheme="minorHAnsi" w:eastAsia="Times New Roman" w:hAnsiTheme="minorHAnsi"/>
                      <w:color w:val="3F3F3F"/>
                      <w:sz w:val="22"/>
                      <w:lang w:bidi="en-US"/>
                    </w:rPr>
                    <w:t xml:space="preserve"> Analyst</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5</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62</w:t>
                  </w:r>
                </w:p>
              </w:tc>
            </w:tr>
            <w:tr w:rsidR="005353F9" w:rsidRPr="00873938" w:rsidTr="00011C94">
              <w:trPr>
                <w:trHeight w:val="307"/>
              </w:trPr>
              <w:tc>
                <w:tcPr>
                  <w:tcW w:w="490" w:type="dxa"/>
                  <w:tcMar>
                    <w:top w:w="43" w:type="dxa"/>
                    <w:left w:w="43" w:type="dxa"/>
                    <w:bottom w:w="43" w:type="dxa"/>
                    <w:right w:w="43" w:type="dxa"/>
                  </w:tcMar>
                  <w:vAlign w:val="center"/>
                </w:tcPr>
                <w:p w:rsidR="005353F9" w:rsidRPr="00E17E18" w:rsidRDefault="005353F9" w:rsidP="005353F9">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4</w:t>
                  </w:r>
                </w:p>
              </w:tc>
              <w:tc>
                <w:tcPr>
                  <w:tcW w:w="2584" w:type="dxa"/>
                  <w:tcMar>
                    <w:top w:w="43" w:type="dxa"/>
                    <w:left w:w="43" w:type="dxa"/>
                    <w:bottom w:w="43" w:type="dxa"/>
                    <w:right w:w="43" w:type="dxa"/>
                  </w:tcMar>
                </w:tcPr>
                <w:p w:rsidR="005353F9" w:rsidRPr="00E17E18" w:rsidRDefault="005353F9" w:rsidP="00011C94">
                  <w:pPr>
                    <w:jc w:val="left"/>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Programmers</w:t>
                  </w:r>
                  <w:r w:rsidR="002A5392">
                    <w:rPr>
                      <w:rFonts w:asciiTheme="minorHAnsi" w:eastAsia="Times New Roman" w:hAnsiTheme="minorHAnsi"/>
                      <w:color w:val="3F3F3F"/>
                      <w:sz w:val="22"/>
                      <w:lang w:bidi="en-US"/>
                    </w:rPr>
                    <w:t xml:space="preserve"> / Test Analyst</w:t>
                  </w:r>
                </w:p>
              </w:tc>
              <w:tc>
                <w:tcPr>
                  <w:tcW w:w="2585" w:type="dxa"/>
                  <w:tcMar>
                    <w:top w:w="43" w:type="dxa"/>
                    <w:left w:w="43" w:type="dxa"/>
                    <w:bottom w:w="43" w:type="dxa"/>
                    <w:right w:w="43" w:type="dxa"/>
                  </w:tcMar>
                </w:tcPr>
                <w:p w:rsidR="005353F9" w:rsidRPr="00E17E18" w:rsidRDefault="005353F9"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4</w:t>
                  </w:r>
                </w:p>
              </w:tc>
              <w:tc>
                <w:tcPr>
                  <w:tcW w:w="2585" w:type="dxa"/>
                  <w:tcMar>
                    <w:top w:w="43" w:type="dxa"/>
                    <w:left w:w="43" w:type="dxa"/>
                    <w:bottom w:w="43" w:type="dxa"/>
                    <w:right w:w="43" w:type="dxa"/>
                  </w:tcMar>
                </w:tcPr>
                <w:p w:rsidR="005353F9" w:rsidRPr="00E17E18" w:rsidRDefault="00643BAF"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248</w:t>
                  </w:r>
                </w:p>
              </w:tc>
            </w:tr>
          </w:tbl>
          <w:p w:rsidR="0087720D" w:rsidRPr="00873938" w:rsidRDefault="0087720D" w:rsidP="00401DEE">
            <w:pPr>
              <w:pStyle w:val="DisplayHeading"/>
              <w:rPr>
                <w:rFonts w:asciiTheme="minorHAnsi" w:hAnsiTheme="minorHAnsi" w:cs="Arial"/>
                <w:szCs w:val="22"/>
              </w:rPr>
            </w:pPr>
          </w:p>
        </w:tc>
      </w:tr>
    </w:tbl>
    <w:p w:rsidR="0087720D" w:rsidRPr="00873938" w:rsidRDefault="0087720D" w:rsidP="0087720D">
      <w:pPr>
        <w:rPr>
          <w:rFonts w:asciiTheme="minorHAnsi" w:hAnsiTheme="minorHAnsi" w:cs="Arial"/>
          <w:sz w:val="22"/>
        </w:rPr>
      </w:pPr>
    </w:p>
    <w:p w:rsidR="005353F9" w:rsidRPr="00873938" w:rsidRDefault="005353F9">
      <w:pPr>
        <w:spacing w:after="0" w:afterAutospacing="0" w:line="240" w:lineRule="auto"/>
        <w:jc w:val="left"/>
        <w:rPr>
          <w:rFonts w:asciiTheme="minorHAnsi" w:hAnsiTheme="minorHAnsi" w:cs="Arial"/>
          <w:sz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22"/>
        <w:gridCol w:w="4274"/>
        <w:gridCol w:w="1817"/>
        <w:gridCol w:w="2833"/>
      </w:tblGrid>
      <w:tr w:rsidR="000E655E" w:rsidRPr="00873938" w:rsidTr="000E655E">
        <w:trPr>
          <w:trHeight w:val="596"/>
        </w:trPr>
        <w:tc>
          <w:tcPr>
            <w:tcW w:w="522" w:type="dxa"/>
            <w:shd w:val="clear" w:color="auto" w:fill="1A325E"/>
            <w:tcMar>
              <w:top w:w="43" w:type="dxa"/>
              <w:left w:w="43" w:type="dxa"/>
              <w:bottom w:w="43" w:type="dxa"/>
              <w:right w:w="43" w:type="dxa"/>
            </w:tcMar>
          </w:tcPr>
          <w:p w:rsidR="000E655E" w:rsidRPr="00873938" w:rsidRDefault="000E655E" w:rsidP="00E25654">
            <w:pP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4274" w:type="dxa"/>
            <w:shd w:val="clear" w:color="auto" w:fill="1A325E"/>
            <w:tcMar>
              <w:top w:w="43" w:type="dxa"/>
              <w:left w:w="43" w:type="dxa"/>
              <w:bottom w:w="43" w:type="dxa"/>
              <w:right w:w="43" w:type="dxa"/>
            </w:tcMar>
          </w:tcPr>
          <w:p w:rsidR="000E655E" w:rsidRPr="00873938" w:rsidRDefault="000E655E" w:rsidP="00E25654">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Certification Details</w:t>
            </w:r>
          </w:p>
        </w:tc>
        <w:tc>
          <w:tcPr>
            <w:tcW w:w="1817" w:type="dxa"/>
            <w:shd w:val="clear" w:color="auto" w:fill="1A325E"/>
            <w:tcMar>
              <w:top w:w="43" w:type="dxa"/>
              <w:left w:w="43" w:type="dxa"/>
              <w:bottom w:w="43" w:type="dxa"/>
              <w:right w:w="43" w:type="dxa"/>
            </w:tcMar>
          </w:tcPr>
          <w:p w:rsidR="000E655E" w:rsidRPr="00873938" w:rsidRDefault="000E655E" w:rsidP="00E25654">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Resource Count</w:t>
            </w:r>
          </w:p>
        </w:tc>
        <w:tc>
          <w:tcPr>
            <w:tcW w:w="2833" w:type="dxa"/>
            <w:shd w:val="clear" w:color="auto" w:fill="1A325E"/>
          </w:tcPr>
          <w:p w:rsidR="000E655E" w:rsidRPr="00873938" w:rsidRDefault="000E655E" w:rsidP="00E25654">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Avg. Years of Domain Experience</w:t>
            </w:r>
          </w:p>
        </w:tc>
      </w:tr>
      <w:tr w:rsidR="000E655E" w:rsidRPr="00873938" w:rsidTr="000E655E">
        <w:trPr>
          <w:trHeight w:val="305"/>
        </w:trPr>
        <w:tc>
          <w:tcPr>
            <w:tcW w:w="522" w:type="dxa"/>
            <w:tcMar>
              <w:top w:w="43" w:type="dxa"/>
              <w:left w:w="43" w:type="dxa"/>
              <w:bottom w:w="43" w:type="dxa"/>
              <w:right w:w="43" w:type="dxa"/>
            </w:tcMar>
            <w:vAlign w:val="center"/>
          </w:tcPr>
          <w:p w:rsidR="000E655E" w:rsidRPr="00E17E18" w:rsidRDefault="000E655E"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w:t>
            </w:r>
          </w:p>
        </w:tc>
        <w:tc>
          <w:tcPr>
            <w:tcW w:w="4274"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sidRPr="00730D9D">
              <w:rPr>
                <w:rFonts w:asciiTheme="minorHAnsi" w:eastAsia="Times New Roman" w:hAnsiTheme="minorHAnsi"/>
                <w:color w:val="3F3F3F"/>
                <w:sz w:val="22"/>
                <w:lang w:bidi="en-US"/>
              </w:rPr>
              <w:t>NSE</w:t>
            </w:r>
            <w:r>
              <w:rPr>
                <w:rFonts w:asciiTheme="minorHAnsi" w:eastAsia="Times New Roman" w:hAnsiTheme="minorHAnsi"/>
                <w:color w:val="3F3F3F"/>
                <w:sz w:val="22"/>
                <w:lang w:bidi="en-US"/>
              </w:rPr>
              <w:t xml:space="preserve"> (National Sto</w:t>
            </w:r>
            <w:r w:rsidRPr="00E17E18">
              <w:rPr>
                <w:rFonts w:asciiTheme="minorHAnsi" w:eastAsia="Times New Roman" w:hAnsiTheme="minorHAnsi"/>
                <w:color w:val="3F3F3F"/>
                <w:sz w:val="22"/>
                <w:lang w:bidi="en-US"/>
              </w:rPr>
              <w:t>ck Exchange of India</w:t>
            </w:r>
            <w:r>
              <w:rPr>
                <w:rFonts w:asciiTheme="minorHAnsi" w:eastAsia="Times New Roman" w:hAnsiTheme="minorHAnsi"/>
                <w:color w:val="3F3F3F"/>
                <w:sz w:val="22"/>
                <w:lang w:bidi="en-US"/>
              </w:rPr>
              <w:t>)</w:t>
            </w:r>
            <w:r w:rsidRPr="00730D9D">
              <w:rPr>
                <w:rFonts w:asciiTheme="minorHAnsi" w:eastAsia="Times New Roman" w:hAnsiTheme="minorHAnsi"/>
                <w:color w:val="3F3F3F"/>
                <w:sz w:val="22"/>
                <w:lang w:bidi="en-US"/>
              </w:rPr>
              <w:t xml:space="preserve"> Certification on various financial modules</w:t>
            </w:r>
          </w:p>
        </w:tc>
        <w:tc>
          <w:tcPr>
            <w:tcW w:w="1817"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85</w:t>
            </w:r>
          </w:p>
        </w:tc>
        <w:tc>
          <w:tcPr>
            <w:tcW w:w="2833" w:type="dxa"/>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4</w:t>
            </w:r>
          </w:p>
        </w:tc>
      </w:tr>
      <w:tr w:rsidR="000E655E" w:rsidRPr="00873938" w:rsidTr="000E655E">
        <w:trPr>
          <w:trHeight w:val="305"/>
        </w:trPr>
        <w:tc>
          <w:tcPr>
            <w:tcW w:w="522" w:type="dxa"/>
            <w:tcMar>
              <w:top w:w="43" w:type="dxa"/>
              <w:left w:w="43" w:type="dxa"/>
              <w:bottom w:w="43" w:type="dxa"/>
              <w:right w:w="43" w:type="dxa"/>
            </w:tcMar>
            <w:vAlign w:val="center"/>
          </w:tcPr>
          <w:p w:rsidR="000E655E" w:rsidRPr="00E17E18" w:rsidRDefault="000E655E" w:rsidP="00E25654">
            <w:pPr>
              <w:jc w:val="cente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2</w:t>
            </w:r>
          </w:p>
        </w:tc>
        <w:tc>
          <w:tcPr>
            <w:tcW w:w="4274"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sidRPr="00730D9D">
              <w:rPr>
                <w:rFonts w:asciiTheme="minorHAnsi" w:eastAsia="Times New Roman" w:hAnsiTheme="minorHAnsi"/>
                <w:color w:val="3F3F3F"/>
                <w:sz w:val="22"/>
                <w:lang w:bidi="en-US"/>
              </w:rPr>
              <w:t>Hexaware internal Asset Management Certification</w:t>
            </w:r>
          </w:p>
        </w:tc>
        <w:tc>
          <w:tcPr>
            <w:tcW w:w="1817" w:type="dxa"/>
            <w:tcMar>
              <w:top w:w="43" w:type="dxa"/>
              <w:left w:w="43" w:type="dxa"/>
              <w:bottom w:w="43" w:type="dxa"/>
              <w:right w:w="43" w:type="dxa"/>
            </w:tcMar>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63</w:t>
            </w:r>
          </w:p>
        </w:tc>
        <w:tc>
          <w:tcPr>
            <w:tcW w:w="2833" w:type="dxa"/>
          </w:tcPr>
          <w:p w:rsidR="000E655E" w:rsidRPr="00E17E18" w:rsidRDefault="00730D9D" w:rsidP="00E25654">
            <w:pPr>
              <w:jc w:val="center"/>
              <w:rPr>
                <w:rFonts w:asciiTheme="minorHAnsi" w:eastAsia="Times New Roman" w:hAnsiTheme="minorHAnsi"/>
                <w:color w:val="3F3F3F"/>
                <w:sz w:val="22"/>
                <w:lang w:bidi="en-US"/>
              </w:rPr>
            </w:pPr>
            <w:r>
              <w:rPr>
                <w:rFonts w:asciiTheme="minorHAnsi" w:eastAsia="Times New Roman" w:hAnsiTheme="minorHAnsi"/>
                <w:color w:val="3F3F3F"/>
                <w:sz w:val="22"/>
                <w:lang w:bidi="en-US"/>
              </w:rPr>
              <w:t>4</w:t>
            </w:r>
          </w:p>
        </w:tc>
      </w:tr>
    </w:tbl>
    <w:p w:rsidR="0087720D" w:rsidRPr="00873938" w:rsidRDefault="0087720D">
      <w:pPr>
        <w:spacing w:after="0" w:afterAutospacing="0" w:line="240" w:lineRule="auto"/>
        <w:jc w:val="left"/>
        <w:rPr>
          <w:rFonts w:asciiTheme="minorHAnsi" w:hAnsiTheme="minorHAnsi" w:cs="Arial"/>
          <w:sz w:val="22"/>
        </w:rPr>
      </w:pPr>
    </w:p>
    <w:p w:rsidR="00190731" w:rsidRPr="00B470A0" w:rsidRDefault="00DD0768" w:rsidP="00190731">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9" w:name="_Toc259453500"/>
      <w:r w:rsidRPr="00B470A0">
        <w:rPr>
          <w:rFonts w:asciiTheme="minorHAnsi" w:hAnsiTheme="minorHAnsi" w:cs="Arial"/>
          <w:szCs w:val="32"/>
        </w:rPr>
        <w:t xml:space="preserve">Sample </w:t>
      </w:r>
      <w:r w:rsidR="00190731" w:rsidRPr="00B470A0">
        <w:rPr>
          <w:rFonts w:asciiTheme="minorHAnsi" w:hAnsiTheme="minorHAnsi" w:cs="Arial"/>
          <w:szCs w:val="32"/>
        </w:rPr>
        <w:t>Resumes</w:t>
      </w:r>
      <w:bookmarkEnd w:id="9"/>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87720D" w:rsidRPr="00873938" w:rsidTr="00506A30">
        <w:trPr>
          <w:trHeight w:val="737"/>
        </w:trPr>
        <w:tc>
          <w:tcPr>
            <w:tcW w:w="9540" w:type="dxa"/>
            <w:shd w:val="clear" w:color="auto" w:fill="002060"/>
          </w:tcPr>
          <w:p w:rsidR="0087720D" w:rsidRPr="00873938" w:rsidRDefault="0087720D" w:rsidP="00B470A0">
            <w:pPr>
              <w:pStyle w:val="Heading3"/>
              <w:ind w:left="864"/>
              <w:rPr>
                <w:rFonts w:asciiTheme="minorHAnsi" w:hAnsiTheme="minorHAnsi" w:cs="Arial"/>
                <w:sz w:val="22"/>
              </w:rPr>
            </w:pPr>
            <w:r w:rsidRPr="00873938">
              <w:rPr>
                <w:rFonts w:asciiTheme="minorHAnsi" w:hAnsiTheme="minorHAnsi" w:cs="Arial"/>
                <w:color w:val="FFFFFF" w:themeColor="background1"/>
                <w:sz w:val="22"/>
              </w:rPr>
              <w:t>DS-7. Include up to THREE (3) resumes that represent skills and expertise in this area from current employees – (you need not give us the name and contact details, but resumes must allow you to identify such resource should we have a need to interview them individually prior to work assignments due to subsequent engagements).</w:t>
            </w:r>
          </w:p>
        </w:tc>
      </w:tr>
      <w:tr w:rsidR="0087720D" w:rsidRPr="00873938" w:rsidTr="00506A30">
        <w:trPr>
          <w:trHeight w:val="737"/>
        </w:trPr>
        <w:tc>
          <w:tcPr>
            <w:tcW w:w="9540" w:type="dxa"/>
            <w:tcBorders>
              <w:bottom w:val="dashed" w:sz="4" w:space="0" w:color="auto"/>
            </w:tcBorders>
            <w:shd w:val="clear" w:color="auto" w:fill="auto"/>
          </w:tcPr>
          <w:p w:rsidR="0087720D" w:rsidRPr="00873938" w:rsidRDefault="0087720D" w:rsidP="00401DEE">
            <w:pPr>
              <w:pStyle w:val="DisplayHeading"/>
              <w:rPr>
                <w:rFonts w:asciiTheme="minorHAnsi" w:hAnsiTheme="minorHAnsi" w:cs="Arial"/>
                <w:szCs w:val="22"/>
              </w:rPr>
            </w:pPr>
          </w:p>
          <w:p w:rsidR="0087720D" w:rsidRPr="00873938" w:rsidRDefault="0087720D" w:rsidP="00401DEE">
            <w:pPr>
              <w:pStyle w:val="DisplayHeading"/>
              <w:rPr>
                <w:rFonts w:asciiTheme="minorHAnsi" w:hAnsiTheme="minorHAnsi" w:cs="Arial"/>
                <w:szCs w:val="22"/>
              </w:rPr>
            </w:pPr>
            <w:r w:rsidRPr="00873938">
              <w:rPr>
                <w:rFonts w:asciiTheme="minorHAnsi" w:hAnsiTheme="minorHAnsi" w:cs="Arial"/>
                <w:szCs w:val="22"/>
              </w:rPr>
              <w:t>Response: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8"/>
              <w:gridCol w:w="1751"/>
              <w:gridCol w:w="4650"/>
            </w:tblGrid>
            <w:tr w:rsidR="0087720D" w:rsidRPr="00873938" w:rsidTr="0037746B">
              <w:trPr>
                <w:trHeight w:val="321"/>
                <w:jc w:val="center"/>
              </w:trPr>
              <w:tc>
                <w:tcPr>
                  <w:tcW w:w="198" w:type="dxa"/>
                  <w:shd w:val="clear" w:color="auto" w:fill="1A325E"/>
                  <w:tcMar>
                    <w:top w:w="43" w:type="dxa"/>
                    <w:left w:w="43" w:type="dxa"/>
                    <w:bottom w:w="43" w:type="dxa"/>
                    <w:right w:w="43" w:type="dxa"/>
                  </w:tcMar>
                </w:tcPr>
                <w:p w:rsidR="0087720D" w:rsidRPr="00873938" w:rsidRDefault="0087720D" w:rsidP="00597A5D">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w:t>
                  </w:r>
                </w:p>
              </w:tc>
              <w:tc>
                <w:tcPr>
                  <w:tcW w:w="1751" w:type="dxa"/>
                  <w:shd w:val="clear" w:color="auto" w:fill="1A325E"/>
                  <w:tcMar>
                    <w:top w:w="43" w:type="dxa"/>
                    <w:left w:w="43" w:type="dxa"/>
                    <w:bottom w:w="43" w:type="dxa"/>
                    <w:right w:w="43" w:type="dxa"/>
                  </w:tcMar>
                </w:tcPr>
                <w:p w:rsidR="0087720D" w:rsidRPr="00873938" w:rsidRDefault="0087720D" w:rsidP="00247E01">
                  <w:pPr>
                    <w:jc w:val="left"/>
                    <w:rPr>
                      <w:rFonts w:asciiTheme="minorHAnsi" w:hAnsiTheme="minorHAnsi" w:cs="Arial"/>
                      <w:b/>
                      <w:color w:val="FFFFFF"/>
                      <w:sz w:val="22"/>
                      <w:lang w:val="pt-BR"/>
                    </w:rPr>
                  </w:pPr>
                  <w:r w:rsidRPr="00873938">
                    <w:rPr>
                      <w:rFonts w:asciiTheme="minorHAnsi" w:hAnsiTheme="minorHAnsi" w:cs="Arial"/>
                      <w:b/>
                      <w:color w:val="FFFFFF"/>
                      <w:sz w:val="22"/>
                      <w:lang w:val="pt-BR"/>
                    </w:rPr>
                    <w:t>Role</w:t>
                  </w:r>
                </w:p>
              </w:tc>
              <w:tc>
                <w:tcPr>
                  <w:tcW w:w="4650" w:type="dxa"/>
                  <w:shd w:val="clear" w:color="auto" w:fill="1A325E"/>
                  <w:tcMar>
                    <w:top w:w="43" w:type="dxa"/>
                    <w:left w:w="43" w:type="dxa"/>
                    <w:bottom w:w="43" w:type="dxa"/>
                    <w:right w:w="43" w:type="dxa"/>
                  </w:tcMar>
                </w:tcPr>
                <w:p w:rsidR="0087720D" w:rsidRPr="00873938" w:rsidRDefault="0087720D" w:rsidP="00597A5D">
                  <w:pPr>
                    <w:jc w:val="center"/>
                    <w:rPr>
                      <w:rFonts w:asciiTheme="minorHAnsi" w:hAnsiTheme="minorHAnsi" w:cs="Arial"/>
                      <w:b/>
                      <w:color w:val="FFFFFF"/>
                      <w:sz w:val="22"/>
                      <w:lang w:val="pt-BR"/>
                    </w:rPr>
                  </w:pPr>
                  <w:r w:rsidRPr="00873938">
                    <w:rPr>
                      <w:rFonts w:asciiTheme="minorHAnsi" w:hAnsiTheme="minorHAnsi" w:cs="Arial"/>
                      <w:b/>
                      <w:color w:val="FFFFFF"/>
                      <w:sz w:val="22"/>
                      <w:lang w:val="pt-BR"/>
                    </w:rPr>
                    <w:t>File Name</w:t>
                  </w:r>
                </w:p>
              </w:tc>
            </w:tr>
            <w:tr w:rsidR="0087720D" w:rsidRPr="00873938" w:rsidTr="0037746B">
              <w:trPr>
                <w:trHeight w:val="321"/>
                <w:jc w:val="center"/>
              </w:trPr>
              <w:tc>
                <w:tcPr>
                  <w:tcW w:w="198"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1</w:t>
                  </w:r>
                </w:p>
              </w:tc>
              <w:tc>
                <w:tcPr>
                  <w:tcW w:w="1751"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Business Analyst</w:t>
                  </w:r>
                </w:p>
              </w:tc>
              <w:tc>
                <w:tcPr>
                  <w:tcW w:w="4650" w:type="dxa"/>
                  <w:tcMar>
                    <w:top w:w="43" w:type="dxa"/>
                    <w:left w:w="43" w:type="dxa"/>
                    <w:bottom w:w="43" w:type="dxa"/>
                    <w:right w:w="43" w:type="dxa"/>
                  </w:tcMar>
                </w:tcPr>
                <w:p w:rsidR="0087720D" w:rsidRPr="00E17E18" w:rsidRDefault="0087720D" w:rsidP="00247E01">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Hexaware_Resume_Business Analyst_1.docx</w:t>
                  </w:r>
                </w:p>
              </w:tc>
            </w:tr>
            <w:tr w:rsidR="0087720D" w:rsidRPr="00873938" w:rsidTr="0037746B">
              <w:trPr>
                <w:trHeight w:val="321"/>
                <w:jc w:val="center"/>
              </w:trPr>
              <w:tc>
                <w:tcPr>
                  <w:tcW w:w="198"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2</w:t>
                  </w:r>
                </w:p>
              </w:tc>
              <w:tc>
                <w:tcPr>
                  <w:tcW w:w="1751"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Business Analyst</w:t>
                  </w:r>
                </w:p>
              </w:tc>
              <w:tc>
                <w:tcPr>
                  <w:tcW w:w="4650" w:type="dxa"/>
                  <w:tcMar>
                    <w:top w:w="43" w:type="dxa"/>
                    <w:left w:w="43" w:type="dxa"/>
                    <w:bottom w:w="43" w:type="dxa"/>
                    <w:right w:w="43" w:type="dxa"/>
                  </w:tcMar>
                </w:tcPr>
                <w:p w:rsidR="0087720D" w:rsidRPr="00E17E18" w:rsidRDefault="0087720D" w:rsidP="00247E01">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Hexaware_Resume_Business Analyst_2.docx</w:t>
                  </w:r>
                </w:p>
              </w:tc>
            </w:tr>
            <w:tr w:rsidR="0087720D" w:rsidRPr="00873938" w:rsidTr="0037746B">
              <w:trPr>
                <w:trHeight w:val="321"/>
                <w:jc w:val="center"/>
              </w:trPr>
              <w:tc>
                <w:tcPr>
                  <w:tcW w:w="198"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3</w:t>
                  </w:r>
                </w:p>
              </w:tc>
              <w:tc>
                <w:tcPr>
                  <w:tcW w:w="1751" w:type="dxa"/>
                  <w:tcMar>
                    <w:top w:w="43" w:type="dxa"/>
                    <w:left w:w="43" w:type="dxa"/>
                    <w:bottom w:w="43" w:type="dxa"/>
                    <w:right w:w="43" w:type="dxa"/>
                  </w:tcMar>
                </w:tcPr>
                <w:p w:rsidR="0087720D" w:rsidRPr="00E17E18" w:rsidRDefault="0087720D" w:rsidP="00506A30">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Business Analyst</w:t>
                  </w:r>
                </w:p>
              </w:tc>
              <w:tc>
                <w:tcPr>
                  <w:tcW w:w="4650" w:type="dxa"/>
                  <w:tcMar>
                    <w:top w:w="43" w:type="dxa"/>
                    <w:left w:w="43" w:type="dxa"/>
                    <w:bottom w:w="43" w:type="dxa"/>
                    <w:right w:w="43" w:type="dxa"/>
                  </w:tcMar>
                </w:tcPr>
                <w:p w:rsidR="0087720D" w:rsidRPr="00E17E18" w:rsidRDefault="0087720D" w:rsidP="00247E01">
                  <w:pPr>
                    <w:rPr>
                      <w:rFonts w:asciiTheme="minorHAnsi" w:eastAsia="Times New Roman" w:hAnsiTheme="minorHAnsi"/>
                      <w:color w:val="3F3F3F"/>
                      <w:sz w:val="22"/>
                      <w:lang w:bidi="en-US"/>
                    </w:rPr>
                  </w:pPr>
                  <w:r w:rsidRPr="00E17E18">
                    <w:rPr>
                      <w:rFonts w:asciiTheme="minorHAnsi" w:eastAsia="Times New Roman" w:hAnsiTheme="minorHAnsi"/>
                      <w:color w:val="3F3F3F"/>
                      <w:sz w:val="22"/>
                      <w:lang w:bidi="en-US"/>
                    </w:rPr>
                    <w:t>Hexaware_Resume_Business Analyst_3.docx</w:t>
                  </w:r>
                </w:p>
              </w:tc>
            </w:tr>
          </w:tbl>
          <w:p w:rsidR="0087720D" w:rsidRPr="00873938" w:rsidRDefault="0087720D" w:rsidP="00401DEE">
            <w:pPr>
              <w:pStyle w:val="DisplayHeading"/>
              <w:rPr>
                <w:rFonts w:asciiTheme="minorHAnsi" w:hAnsiTheme="minorHAnsi" w:cs="Arial"/>
                <w:szCs w:val="22"/>
              </w:rPr>
            </w:pPr>
          </w:p>
          <w:p w:rsidR="0087720D" w:rsidRPr="00873938" w:rsidRDefault="0087720D" w:rsidP="00401DEE">
            <w:pPr>
              <w:pStyle w:val="DisplayHeading"/>
              <w:rPr>
                <w:rFonts w:asciiTheme="minorHAnsi" w:hAnsiTheme="minorHAnsi" w:cs="Arial"/>
                <w:szCs w:val="22"/>
              </w:rPr>
            </w:pPr>
          </w:p>
          <w:p w:rsidR="0087720D" w:rsidRPr="00873938" w:rsidRDefault="0087720D" w:rsidP="00401DEE">
            <w:pPr>
              <w:pStyle w:val="DisplayHeading"/>
              <w:rPr>
                <w:rFonts w:asciiTheme="minorHAnsi" w:hAnsiTheme="minorHAnsi" w:cs="Arial"/>
                <w:szCs w:val="22"/>
              </w:rPr>
            </w:pPr>
          </w:p>
        </w:tc>
      </w:tr>
    </w:tbl>
    <w:p w:rsidR="0087720D" w:rsidRPr="00873938" w:rsidRDefault="0087720D" w:rsidP="0087720D">
      <w:pPr>
        <w:rPr>
          <w:rFonts w:asciiTheme="minorHAnsi" w:hAnsiTheme="minorHAnsi" w:cs="Arial"/>
          <w:sz w:val="22"/>
        </w:rPr>
      </w:pPr>
    </w:p>
    <w:p w:rsidR="0087720D" w:rsidRPr="00873938" w:rsidRDefault="0087720D" w:rsidP="0087720D">
      <w:pPr>
        <w:rPr>
          <w:rFonts w:asciiTheme="minorHAnsi" w:hAnsiTheme="minorHAnsi" w:cs="Arial"/>
          <w:sz w:val="22"/>
        </w:rPr>
      </w:pPr>
    </w:p>
    <w:p w:rsidR="0087720D" w:rsidRPr="00873938" w:rsidRDefault="0087720D" w:rsidP="0087720D">
      <w:pPr>
        <w:rPr>
          <w:rFonts w:asciiTheme="minorHAnsi" w:hAnsiTheme="minorHAnsi" w:cs="Arial"/>
          <w:sz w:val="22"/>
        </w:rPr>
      </w:pPr>
    </w:p>
    <w:p w:rsidR="007A6339" w:rsidRPr="00873938" w:rsidRDefault="007A6339" w:rsidP="006F4098">
      <w:pPr>
        <w:rPr>
          <w:rFonts w:asciiTheme="minorHAnsi" w:hAnsiTheme="minorHAnsi" w:cs="Arial"/>
          <w:sz w:val="22"/>
        </w:rPr>
      </w:pPr>
    </w:p>
    <w:p w:rsidR="006C26B6" w:rsidRPr="00B470A0" w:rsidRDefault="006C26B6" w:rsidP="006C26B6">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10" w:name="_Toc259453501"/>
      <w:r w:rsidRPr="00B470A0">
        <w:rPr>
          <w:rFonts w:asciiTheme="minorHAnsi" w:hAnsiTheme="minorHAnsi" w:cs="Arial"/>
          <w:szCs w:val="32"/>
        </w:rPr>
        <w:lastRenderedPageBreak/>
        <w:t>Third Party Product Capabilities</w:t>
      </w:r>
      <w:bookmarkEnd w:id="10"/>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76"/>
      </w:tblGrid>
      <w:tr w:rsidR="0087720D" w:rsidRPr="00873938" w:rsidTr="00DD5DE9">
        <w:trPr>
          <w:trHeight w:val="737"/>
        </w:trPr>
        <w:tc>
          <w:tcPr>
            <w:tcW w:w="9576" w:type="dxa"/>
            <w:shd w:val="clear" w:color="auto" w:fill="002060"/>
          </w:tcPr>
          <w:p w:rsidR="0087720D" w:rsidRPr="00873938" w:rsidRDefault="0087720D" w:rsidP="00AB3FCD">
            <w:pPr>
              <w:pStyle w:val="Heading3"/>
              <w:ind w:left="864"/>
              <w:rPr>
                <w:rFonts w:asciiTheme="minorHAnsi" w:hAnsiTheme="minorHAnsi" w:cs="Arial"/>
                <w:color w:val="FFFFFF" w:themeColor="background1"/>
                <w:sz w:val="22"/>
              </w:rPr>
            </w:pPr>
            <w:bookmarkStart w:id="11" w:name="_Toc258955642"/>
            <w:r w:rsidRPr="00873938">
              <w:rPr>
                <w:rFonts w:asciiTheme="minorHAnsi" w:hAnsiTheme="minorHAnsi" w:cs="Arial"/>
                <w:color w:val="FFFFFF" w:themeColor="background1"/>
                <w:sz w:val="22"/>
              </w:rPr>
              <w:t>DS-8. Have you worked with any third party tools in this area? If so, please list tools and providers.</w:t>
            </w:r>
          </w:p>
        </w:tc>
      </w:tr>
      <w:tr w:rsidR="0087720D" w:rsidRPr="00873938" w:rsidTr="00DD5DE9">
        <w:trPr>
          <w:trHeight w:val="737"/>
        </w:trPr>
        <w:tc>
          <w:tcPr>
            <w:tcW w:w="9576" w:type="dxa"/>
            <w:tcBorders>
              <w:bottom w:val="dashed" w:sz="4" w:space="0" w:color="auto"/>
            </w:tcBorders>
            <w:shd w:val="clear" w:color="auto" w:fill="auto"/>
          </w:tcPr>
          <w:p w:rsidR="0087720D" w:rsidRPr="00E17E18" w:rsidRDefault="0087720D" w:rsidP="00401DEE">
            <w:pPr>
              <w:pStyle w:val="DisplayHeading"/>
              <w:rPr>
                <w:rFonts w:asciiTheme="minorHAnsi" w:hAnsiTheme="minorHAnsi" w:cs="Arial"/>
                <w:sz w:val="24"/>
              </w:rPr>
            </w:pPr>
            <w:r w:rsidRPr="00E17E18">
              <w:rPr>
                <w:rFonts w:asciiTheme="minorHAnsi" w:hAnsiTheme="minorHAnsi" w:cs="Arial"/>
                <w:sz w:val="24"/>
              </w:rPr>
              <w:t>Response:</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Hexaware offers a complete range of Asset Management Solutions for global financial institutions, Fund Managers, Investment Managers, Institutional Asset Managers, Mutual fund Managers and Trade Associations. We deliver end-to-end solutions combining technology and a deep understanding of the business and our expertise in Portfolio Accounting, Wealth Management, Mutual Fund Accounting, Securities Reference Data and Hedge Fund Accounting. Our solutions are precisely aligned to our clients’ specific context and requirements to ensure an integrated experience presented from a common front that addresses the business need. </w:t>
            </w:r>
          </w:p>
          <w:p w:rsidR="00B86B51" w:rsidRPr="00E17E18" w:rsidRDefault="00B86B51" w:rsidP="00401DEE">
            <w:pPr>
              <w:pStyle w:val="DisplayHeading"/>
              <w:rPr>
                <w:rFonts w:asciiTheme="minorHAnsi" w:hAnsiTheme="minorHAnsi" w:cs="Arial"/>
                <w:sz w:val="24"/>
              </w:rPr>
            </w:pPr>
            <w:r w:rsidRPr="00E17E18">
              <w:rPr>
                <w:rFonts w:asciiTheme="minorHAnsi" w:hAnsiTheme="minorHAnsi" w:cs="Arial"/>
                <w:sz w:val="24"/>
              </w:rPr>
              <w:t>The Asset Management Focus Areas are</w:t>
            </w:r>
          </w:p>
          <w:p w:rsidR="00B86B51" w:rsidRPr="00873938" w:rsidRDefault="00B86B51" w:rsidP="00B86B51">
            <w:pPr>
              <w:rPr>
                <w:rFonts w:asciiTheme="minorHAnsi" w:hAnsiTheme="minorHAnsi" w:cs="Arial"/>
                <w:sz w:val="22"/>
              </w:rPr>
            </w:pPr>
            <w:r w:rsidRPr="00873938">
              <w:rPr>
                <w:rFonts w:asciiTheme="minorHAnsi" w:hAnsiTheme="minorHAnsi" w:cs="Arial"/>
                <w:noProof/>
                <w:sz w:val="22"/>
              </w:rPr>
              <w:drawing>
                <wp:inline distT="0" distB="0" distL="0" distR="0">
                  <wp:extent cx="5753100" cy="347662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753100" cy="3476625"/>
                          </a:xfrm>
                          <a:prstGeom prst="rect">
                            <a:avLst/>
                          </a:prstGeom>
                          <a:noFill/>
                          <a:ln w="9525">
                            <a:noFill/>
                            <a:miter lim="800000"/>
                            <a:headEnd/>
                            <a:tailEnd/>
                          </a:ln>
                        </pic:spPr>
                      </pic:pic>
                    </a:graphicData>
                  </a:graphic>
                </wp:inline>
              </w:drawing>
            </w:r>
          </w:p>
          <w:p w:rsidR="00B86B51" w:rsidRPr="00873938" w:rsidRDefault="00B86B51" w:rsidP="00401DEE">
            <w:pPr>
              <w:pStyle w:val="DisplayHeading"/>
              <w:rPr>
                <w:rFonts w:asciiTheme="minorHAnsi" w:hAnsiTheme="minorHAnsi" w:cs="Arial"/>
                <w:szCs w:val="22"/>
              </w:rPr>
            </w:pPr>
          </w:p>
          <w:p w:rsidR="00B86B51" w:rsidRPr="00873938" w:rsidRDefault="00B86B51" w:rsidP="00401DEE">
            <w:pPr>
              <w:pStyle w:val="DisplayHeading"/>
              <w:rPr>
                <w:rFonts w:asciiTheme="minorHAnsi" w:hAnsiTheme="minorHAnsi" w:cs="Arial"/>
                <w:szCs w:val="22"/>
              </w:rPr>
            </w:pPr>
          </w:p>
          <w:p w:rsidR="00B86B51" w:rsidRPr="00873938" w:rsidRDefault="00B86B51" w:rsidP="00401DEE">
            <w:pPr>
              <w:pStyle w:val="DisplayHeading"/>
              <w:rPr>
                <w:rFonts w:asciiTheme="minorHAnsi" w:hAnsiTheme="minorHAnsi" w:cs="Arial"/>
                <w:szCs w:val="22"/>
              </w:rPr>
            </w:pPr>
          </w:p>
          <w:p w:rsidR="00B86B51" w:rsidRPr="00E17E18" w:rsidRDefault="00B86B51" w:rsidP="00401DEE">
            <w:pPr>
              <w:pStyle w:val="DisplayHeading"/>
              <w:rPr>
                <w:rFonts w:asciiTheme="minorHAnsi" w:hAnsiTheme="minorHAnsi" w:cs="Arial"/>
                <w:sz w:val="24"/>
              </w:rPr>
            </w:pPr>
            <w:r w:rsidRPr="00E17E18">
              <w:rPr>
                <w:rFonts w:asciiTheme="minorHAnsi" w:hAnsiTheme="minorHAnsi" w:cs="Arial"/>
                <w:sz w:val="24"/>
              </w:rPr>
              <w:lastRenderedPageBreak/>
              <w:t>End-to-End Solution in Capital Markets</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noProof/>
                <w:color w:val="3F3F3F"/>
                <w:szCs w:val="22"/>
                <w:lang w:val="en-US"/>
              </w:rPr>
              <w:drawing>
                <wp:anchor distT="0" distB="0" distL="114300" distR="114300" simplePos="0" relativeHeight="251682304" behindDoc="1" locked="0" layoutInCell="1" allowOverlap="1">
                  <wp:simplePos x="0" y="0"/>
                  <wp:positionH relativeFrom="column">
                    <wp:posOffset>2684145</wp:posOffset>
                  </wp:positionH>
                  <wp:positionV relativeFrom="paragraph">
                    <wp:posOffset>90805</wp:posOffset>
                  </wp:positionV>
                  <wp:extent cx="3336290" cy="3260725"/>
                  <wp:effectExtent l="19050" t="0" r="0" b="0"/>
                  <wp:wrapTight wrapText="bothSides">
                    <wp:wrapPolygon edited="0">
                      <wp:start x="-123" y="0"/>
                      <wp:lineTo x="-123" y="21453"/>
                      <wp:lineTo x="21584" y="21453"/>
                      <wp:lineTo x="21584" y="0"/>
                      <wp:lineTo x="-123" y="0"/>
                    </wp:wrapPolygon>
                  </wp:wrapTight>
                  <wp:docPr id="23" name="Picture 2" descr="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ycle"/>
                          <pic:cNvPicPr>
                            <a:picLocks noChangeAspect="1" noChangeArrowheads="1"/>
                          </pic:cNvPicPr>
                        </pic:nvPicPr>
                        <pic:blipFill>
                          <a:blip r:embed="rId25" cstate="print"/>
                          <a:srcRect/>
                          <a:stretch>
                            <a:fillRect/>
                          </a:stretch>
                        </pic:blipFill>
                        <pic:spPr bwMode="auto">
                          <a:xfrm>
                            <a:off x="0" y="0"/>
                            <a:ext cx="3336290" cy="3260725"/>
                          </a:xfrm>
                          <a:prstGeom prst="rect">
                            <a:avLst/>
                          </a:prstGeom>
                          <a:noFill/>
                          <a:ln w="9525">
                            <a:noFill/>
                            <a:miter lim="800000"/>
                            <a:headEnd/>
                            <a:tailEnd/>
                          </a:ln>
                        </pic:spPr>
                      </pic:pic>
                    </a:graphicData>
                  </a:graphic>
                </wp:anchor>
              </w:drawing>
            </w:r>
            <w:r w:rsidRPr="00E17E18">
              <w:rPr>
                <w:rFonts w:asciiTheme="minorHAnsi" w:hAnsiTheme="minorHAnsi" w:cs="Times New Roman"/>
                <w:color w:val="3F3F3F"/>
                <w:szCs w:val="22"/>
                <w:lang w:val="en-US" w:bidi="en-US"/>
              </w:rPr>
              <w:t>Hexaware offers a complete range of Asset Management Solutions for Global Financial Institutions, Fund Managers, Investment Managers, Institutional Asset Managers, Mutual Fund Managers and Trade Associations. Hexaware has deep and extensive understanding of various Business Lines in Front Office / Middle Office and Back Office in Financial space We deliver end-to-end solutions combining technology and a deep understanding of the business and our expertise in Portfolio Accounting, Wealth Management, Mutual Fund Accounting, Securities Reference Data and Hedge Fund Accounting. Our solutions are precisely aligned to our clients’ specific context and requirements to ensure an integrated experience presented from a common front that addresses the business need.</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Hexaware has expertise across all security types including Equity, Fixed Income, Derivatives, Mutual Funds and Cash Instruments in supporting the front-office, middle office and back office operations. </w:t>
            </w:r>
          </w:p>
          <w:p w:rsidR="00B86B51" w:rsidRPr="00E17E18" w:rsidRDefault="00B86B51"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Hexaware provide solutions in the following areas:</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Reference Data Management</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Market Data Solutions</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Portfolio accounting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Settlement confirmation</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Wealth Management</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Client Reporting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Performance Measurement Attribution</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Compliance</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Fund Accounting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Billing Management</w:t>
            </w:r>
          </w:p>
          <w:p w:rsidR="00B86B51"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Risk Management</w:t>
            </w:r>
          </w:p>
          <w:p w:rsidR="00E17E18" w:rsidRDefault="00E17E18" w:rsidP="00E17E18">
            <w:pPr>
              <w:pStyle w:val="BulletList0"/>
              <w:spacing w:line="276" w:lineRule="auto"/>
              <w:ind w:left="360"/>
              <w:jc w:val="both"/>
              <w:rPr>
                <w:rFonts w:asciiTheme="minorHAnsi" w:hAnsiTheme="minorHAnsi" w:cs="Times New Roman"/>
                <w:color w:val="3F3F3F"/>
                <w:szCs w:val="22"/>
                <w:lang w:val="en-US" w:bidi="en-US"/>
              </w:rPr>
            </w:pPr>
          </w:p>
          <w:p w:rsidR="00E17E18" w:rsidRPr="00E17E18" w:rsidRDefault="00E17E18" w:rsidP="00E17E18">
            <w:pPr>
              <w:pStyle w:val="BulletList0"/>
              <w:spacing w:line="276" w:lineRule="auto"/>
              <w:ind w:left="360"/>
              <w:jc w:val="both"/>
              <w:rPr>
                <w:rFonts w:asciiTheme="minorHAnsi" w:hAnsiTheme="minorHAnsi" w:cs="Times New Roman"/>
                <w:color w:val="3F3F3F"/>
                <w:szCs w:val="22"/>
                <w:lang w:val="en-US" w:bidi="en-US"/>
              </w:rPr>
            </w:pPr>
          </w:p>
          <w:p w:rsidR="00B86B51" w:rsidRPr="00873938" w:rsidRDefault="00B86B51" w:rsidP="005C6493">
            <w:pPr>
              <w:pStyle w:val="BodyPara1"/>
              <w:rPr>
                <w:rFonts w:asciiTheme="minorHAnsi" w:hAnsiTheme="minorHAnsi" w:cs="Arial"/>
                <w:szCs w:val="22"/>
              </w:rPr>
            </w:pPr>
            <w:r w:rsidRPr="00873938">
              <w:rPr>
                <w:rFonts w:asciiTheme="minorHAnsi" w:hAnsiTheme="minorHAnsi" w:cs="Arial"/>
                <w:szCs w:val="22"/>
              </w:rPr>
              <w:br w:type="page"/>
            </w:r>
            <w:r w:rsidRPr="00E17E18">
              <w:rPr>
                <w:rFonts w:asciiTheme="minorHAnsi" w:hAnsiTheme="minorHAnsi" w:cs="Times New Roman"/>
                <w:color w:val="3F3F3F"/>
                <w:szCs w:val="22"/>
                <w:lang w:val="en-US" w:bidi="en-US"/>
              </w:rPr>
              <w:t>The business areas covered under the various domains are as follows:</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Pre-Trade:</w:t>
            </w:r>
            <w:r w:rsidRPr="00E17E18">
              <w:rPr>
                <w:rFonts w:asciiTheme="minorHAnsi" w:hAnsiTheme="minorHAnsi" w:cs="Times New Roman"/>
                <w:color w:val="3F3F3F"/>
                <w:szCs w:val="22"/>
                <w:lang w:val="en-US" w:bidi="en-US"/>
              </w:rPr>
              <w:t xml:space="preserve">  Pre-Trade mainly covers the business areas related to Pricing and Analytics, Static Data and Limit Monitoring.</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Front Office:</w:t>
            </w:r>
            <w:r w:rsidRPr="00E17E18">
              <w:rPr>
                <w:rFonts w:asciiTheme="minorHAnsi" w:hAnsiTheme="minorHAnsi" w:cs="Times New Roman"/>
                <w:color w:val="3F3F3F"/>
                <w:szCs w:val="22"/>
                <w:lang w:val="en-US" w:bidi="en-US"/>
              </w:rPr>
              <w:t xml:space="preserve"> Front-Office concentrates on Trade Capture, Day count issues, User Access Permissions, Product definition, Trade Details Amendment.</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Middle Office:</w:t>
            </w:r>
            <w:r w:rsidRPr="00E17E18">
              <w:rPr>
                <w:rFonts w:asciiTheme="minorHAnsi" w:hAnsiTheme="minorHAnsi" w:cs="Times New Roman"/>
                <w:color w:val="3F3F3F"/>
                <w:szCs w:val="22"/>
                <w:lang w:val="en-US" w:bidi="en-US"/>
              </w:rPr>
              <w:t xml:space="preserve"> Middle-Office covers the areas of Risk Management, Position Management and Portfolio Analytics. </w:t>
            </w:r>
          </w:p>
          <w:p w:rsidR="00B86B51" w:rsidRPr="00E17E18" w:rsidRDefault="00B86B5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b/>
                <w:color w:val="3F3F3F"/>
                <w:szCs w:val="22"/>
                <w:lang w:val="en-US" w:bidi="en-US"/>
              </w:rPr>
              <w:t>Back-Office:</w:t>
            </w:r>
            <w:r w:rsidRPr="00E17E18">
              <w:rPr>
                <w:rFonts w:asciiTheme="minorHAnsi" w:hAnsiTheme="minorHAnsi" w:cs="Times New Roman"/>
                <w:color w:val="3F3F3F"/>
                <w:szCs w:val="22"/>
                <w:lang w:val="en-US" w:bidi="en-US"/>
              </w:rPr>
              <w:t xml:space="preserve"> Back-Office focuses on Reconciliation, Settlement Issues, Reconciliation Issues, Payment Generations, Confirmation Generations and other related areas.</w:t>
            </w:r>
          </w:p>
          <w:p w:rsidR="00B86B51" w:rsidRPr="00873938" w:rsidRDefault="00DD5DE9" w:rsidP="00B86B51">
            <w:pPr>
              <w:pStyle w:val="BodyPara1"/>
              <w:rPr>
                <w:rFonts w:asciiTheme="minorHAnsi" w:hAnsiTheme="minorHAnsi" w:cs="Arial"/>
                <w:szCs w:val="22"/>
              </w:rPr>
            </w:pPr>
            <w:r w:rsidRPr="00873938">
              <w:rPr>
                <w:rFonts w:asciiTheme="minorHAnsi" w:hAnsiTheme="minorHAnsi" w:cs="Arial"/>
                <w:noProof/>
                <w:szCs w:val="22"/>
                <w:lang w:val="en-US"/>
              </w:rPr>
              <w:drawing>
                <wp:inline distT="0" distB="0" distL="0" distR="0">
                  <wp:extent cx="5943600" cy="3454400"/>
                  <wp:effectExtent l="19050" t="0" r="0" b="0"/>
                  <wp:docPr id="7" name="Picture 1"/>
                  <wp:cNvGraphicFramePr/>
                  <a:graphic xmlns:a="http://schemas.openxmlformats.org/drawingml/2006/main">
                    <a:graphicData uri="http://schemas.openxmlformats.org/drawingml/2006/picture">
                      <pic:pic xmlns:pic="http://schemas.openxmlformats.org/drawingml/2006/picture">
                        <pic:nvPicPr>
                          <pic:cNvPr id="16466" name="Picture 82"/>
                          <pic:cNvPicPr>
                            <a:picLocks noChangeAspect="1" noChangeArrowheads="1"/>
                          </pic:cNvPicPr>
                        </pic:nvPicPr>
                        <pic:blipFill>
                          <a:blip r:embed="rId26" cstate="print"/>
                          <a:srcRect/>
                          <a:stretch>
                            <a:fillRect/>
                          </a:stretch>
                        </pic:blipFill>
                        <pic:spPr bwMode="auto">
                          <a:xfrm>
                            <a:off x="0" y="0"/>
                            <a:ext cx="5943600" cy="3454400"/>
                          </a:xfrm>
                          <a:prstGeom prst="rect">
                            <a:avLst/>
                          </a:prstGeom>
                          <a:noFill/>
                          <a:ln w="9525">
                            <a:noFill/>
                            <a:miter lim="800000"/>
                            <a:headEnd/>
                            <a:tailEnd/>
                          </a:ln>
                        </pic:spPr>
                      </pic:pic>
                    </a:graphicData>
                  </a:graphic>
                </wp:inline>
              </w:drawing>
            </w:r>
          </w:p>
          <w:p w:rsidR="0087720D" w:rsidRPr="00E17E18" w:rsidRDefault="0087720D" w:rsidP="009574C3">
            <w:pPr>
              <w:pStyle w:val="BodyPara1"/>
              <w:rPr>
                <w:rFonts w:asciiTheme="minorHAnsi" w:hAnsiTheme="minorHAnsi" w:cs="Arial"/>
                <w:b/>
                <w:color w:val="000080"/>
                <w:sz w:val="24"/>
                <w:u w:val="single"/>
                <w:lang w:val="en-GB"/>
              </w:rPr>
            </w:pPr>
            <w:bookmarkStart w:id="12" w:name="_Toc258955645"/>
            <w:r w:rsidRPr="00E17E18">
              <w:rPr>
                <w:rFonts w:asciiTheme="minorHAnsi" w:hAnsiTheme="minorHAnsi" w:cs="Arial"/>
                <w:b/>
                <w:color w:val="000080"/>
                <w:sz w:val="24"/>
                <w:u w:val="single"/>
                <w:lang w:val="en-GB"/>
              </w:rPr>
              <w:t>Charles River – Investment Management System (IMS)</w:t>
            </w:r>
            <w:bookmarkEnd w:id="12"/>
            <w:r w:rsidRPr="00E17E18">
              <w:rPr>
                <w:rFonts w:asciiTheme="minorHAnsi" w:hAnsiTheme="minorHAnsi" w:cs="Arial"/>
                <w:b/>
                <w:color w:val="000080"/>
                <w:sz w:val="24"/>
                <w:u w:val="single"/>
                <w:lang w:val="en-GB"/>
              </w:rPr>
              <w:t xml:space="preserve"> </w:t>
            </w:r>
          </w:p>
          <w:p w:rsidR="009574C3" w:rsidRPr="00E17E18" w:rsidRDefault="009574C3" w:rsidP="005C6493">
            <w:pPr>
              <w:pStyle w:val="BodyPara1"/>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Hexaware’s capabilities in Trading Applications are as follows: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 xml:space="preserve">Trade / Compliance workflow </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Reference Data Setup</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Trade workflow for Equity, FI, Derivatives, FX, Money Market Instruments</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Compliance Rule Setup (Pre/Post)</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lastRenderedPageBreak/>
              <w:t>Alerts/Warnings/Data Exceptions</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Trouble Shooting on Compliance Breach</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Blotter / Manager Work Bench</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Blotter creation /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Manager Workbench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Modeling / Rebalancing / Targeting / Swap for Order Generation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What-if Analysis / Charting</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Configuration / Parameterization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System Parameters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User / Engines / Import Configuration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Trade / Compliance Engine Setup / Maintenance</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Job Creation / Scheduling / Import Feed Generation</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Engine / Job Monitoring</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Queries / Reports / FIX</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Creation/Customization of Stored Queries / Web Reports</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FIX Framework, FIX Messaging, Broker Configuration        </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Server / Connections Monitoring</w:t>
            </w:r>
          </w:p>
          <w:p w:rsidR="009574C3" w:rsidRPr="00E17E18"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E17E18">
              <w:rPr>
                <w:rFonts w:asciiTheme="minorHAnsi" w:hAnsiTheme="minorHAnsi" w:cs="Times New Roman"/>
                <w:color w:val="3F3F3F"/>
                <w:szCs w:val="22"/>
                <w:lang w:val="en-US" w:bidi="en-US"/>
              </w:rPr>
              <w:t xml:space="preserve">Trade/Compliance database structure, data dependencies </w:t>
            </w:r>
          </w:p>
          <w:p w:rsidR="009574C3" w:rsidRPr="00873938" w:rsidRDefault="009574C3" w:rsidP="009574C3">
            <w:pPr>
              <w:pStyle w:val="NormalWeb"/>
              <w:jc w:val="both"/>
              <w:rPr>
                <w:rFonts w:asciiTheme="minorHAnsi" w:hAnsiTheme="minorHAnsi" w:cs="Arial"/>
                <w:b/>
                <w:sz w:val="22"/>
                <w:szCs w:val="22"/>
              </w:rPr>
            </w:pPr>
          </w:p>
          <w:p w:rsidR="009574C3" w:rsidRPr="00873938" w:rsidRDefault="009574C3" w:rsidP="00401DEE">
            <w:pPr>
              <w:pStyle w:val="DisplayHeading"/>
              <w:rPr>
                <w:rFonts w:asciiTheme="minorHAnsi" w:hAnsiTheme="minorHAnsi" w:cs="Arial"/>
                <w:szCs w:val="22"/>
              </w:rPr>
            </w:pPr>
          </w:p>
          <w:p w:rsidR="009574C3" w:rsidRPr="00873938" w:rsidRDefault="009574C3" w:rsidP="00401DEE">
            <w:pPr>
              <w:pStyle w:val="DisplayHeading"/>
              <w:rPr>
                <w:rFonts w:asciiTheme="minorHAnsi" w:hAnsiTheme="minorHAnsi" w:cs="Arial"/>
                <w:szCs w:val="22"/>
              </w:rPr>
            </w:pPr>
          </w:p>
          <w:p w:rsidR="009574C3" w:rsidRPr="00873938" w:rsidRDefault="009574C3" w:rsidP="009574C3">
            <w:pPr>
              <w:pStyle w:val="BodyPara1"/>
              <w:rPr>
                <w:rFonts w:asciiTheme="minorHAnsi" w:hAnsiTheme="minorHAnsi" w:cs="Arial"/>
                <w:b/>
                <w:color w:val="000080"/>
                <w:szCs w:val="22"/>
                <w:u w:val="single"/>
                <w:lang w:val="en-GB"/>
              </w:rPr>
            </w:pPr>
          </w:p>
          <w:p w:rsidR="00EA1891" w:rsidRPr="00873938" w:rsidRDefault="00EA1891" w:rsidP="009574C3">
            <w:pPr>
              <w:pStyle w:val="BodyPara1"/>
              <w:rPr>
                <w:rFonts w:asciiTheme="minorHAnsi" w:hAnsiTheme="minorHAnsi" w:cs="Arial"/>
                <w:b/>
                <w:color w:val="000080"/>
                <w:szCs w:val="22"/>
                <w:u w:val="single"/>
                <w:lang w:val="en-GB"/>
              </w:rPr>
            </w:pPr>
          </w:p>
          <w:p w:rsidR="00EA1891" w:rsidRPr="00873938" w:rsidRDefault="00EA1891" w:rsidP="009574C3">
            <w:pPr>
              <w:pStyle w:val="BodyPara1"/>
              <w:rPr>
                <w:rFonts w:asciiTheme="minorHAnsi" w:hAnsiTheme="minorHAnsi" w:cs="Arial"/>
                <w:b/>
                <w:color w:val="000080"/>
                <w:szCs w:val="22"/>
                <w:u w:val="single"/>
                <w:lang w:val="en-GB"/>
              </w:rPr>
            </w:pPr>
          </w:p>
          <w:p w:rsidR="00EA1891" w:rsidRPr="00873938" w:rsidRDefault="00EA1891" w:rsidP="00EA1891">
            <w:pPr>
              <w:spacing w:before="60"/>
              <w:ind w:right="288"/>
              <w:rPr>
                <w:rFonts w:asciiTheme="minorHAnsi" w:hAnsiTheme="minorHAnsi" w:cs="Arial"/>
                <w:b/>
                <w:bCs/>
                <w:iCs/>
                <w:sz w:val="22"/>
              </w:rPr>
            </w:pPr>
          </w:p>
          <w:p w:rsidR="00EA1891" w:rsidRPr="00873938" w:rsidRDefault="00BB09B6" w:rsidP="00EA1891">
            <w:pPr>
              <w:spacing w:before="60"/>
              <w:ind w:right="288"/>
              <w:rPr>
                <w:rFonts w:asciiTheme="minorHAnsi" w:hAnsiTheme="minorHAnsi" w:cs="Arial"/>
                <w:b/>
                <w:bCs/>
                <w:iCs/>
                <w:sz w:val="22"/>
              </w:rPr>
            </w:pPr>
            <w:r w:rsidRPr="00873938">
              <w:rPr>
                <w:rFonts w:asciiTheme="minorHAnsi" w:hAnsiTheme="minorHAnsi" w:cs="Arial"/>
                <w:b/>
                <w:bCs/>
                <w:iCs/>
                <w:noProof/>
                <w:sz w:val="22"/>
              </w:rPr>
              <w:drawing>
                <wp:anchor distT="0" distB="0" distL="114300" distR="114300" simplePos="0" relativeHeight="251684352" behindDoc="1" locked="0" layoutInCell="1" allowOverlap="1">
                  <wp:simplePos x="0" y="0"/>
                  <wp:positionH relativeFrom="column">
                    <wp:posOffset>361950</wp:posOffset>
                  </wp:positionH>
                  <wp:positionV relativeFrom="paragraph">
                    <wp:posOffset>-2441575</wp:posOffset>
                  </wp:positionV>
                  <wp:extent cx="5543550" cy="2686050"/>
                  <wp:effectExtent l="19050" t="0" r="0" b="0"/>
                  <wp:wrapTight wrapText="bothSides">
                    <wp:wrapPolygon edited="0">
                      <wp:start x="742" y="0"/>
                      <wp:lineTo x="297" y="460"/>
                      <wp:lineTo x="-74" y="1532"/>
                      <wp:lineTo x="-74" y="11030"/>
                      <wp:lineTo x="2078" y="12255"/>
                      <wp:lineTo x="4008" y="12255"/>
                      <wp:lineTo x="816" y="13174"/>
                      <wp:lineTo x="-74" y="13787"/>
                      <wp:lineTo x="-74" y="20374"/>
                      <wp:lineTo x="223" y="21447"/>
                      <wp:lineTo x="445" y="21447"/>
                      <wp:lineTo x="21155" y="21447"/>
                      <wp:lineTo x="21303" y="21447"/>
                      <wp:lineTo x="21600" y="20221"/>
                      <wp:lineTo x="21600" y="13787"/>
                      <wp:lineTo x="20784" y="13174"/>
                      <wp:lineTo x="17666" y="12255"/>
                      <wp:lineTo x="19596" y="12255"/>
                      <wp:lineTo x="21600" y="11030"/>
                      <wp:lineTo x="21600" y="1379"/>
                      <wp:lineTo x="21303" y="460"/>
                      <wp:lineTo x="20858" y="0"/>
                      <wp:lineTo x="742" y="0"/>
                    </wp:wrapPolygon>
                  </wp:wrapTight>
                  <wp:docPr id="9" name="Object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05800" cy="5137150"/>
                            <a:chOff x="381000" y="1143000"/>
                            <a:chExt cx="8305800" cy="5137150"/>
                          </a:xfrm>
                        </a:grpSpPr>
                        <a:sp>
                          <a:nvSpPr>
                            <a:cNvPr id="20" name="Rounded Rectangle 19"/>
                            <a:cNvSpPr/>
                          </a:nvSpPr>
                          <a:spPr>
                            <a:xfrm>
                              <a:off x="381000" y="1143000"/>
                              <a:ext cx="8305800" cy="2743200"/>
                            </a:xfrm>
                            <a:prstGeom prst="roundRect">
                              <a:avLst/>
                            </a:prstGeom>
                            <a:solidFill>
                              <a:schemeClr val="bg1"/>
                            </a:solidFill>
                            <a:ln>
                              <a:solidFill>
                                <a:schemeClr val="accent5">
                                  <a:lumMod val="20000"/>
                                  <a:lumOff val="80000"/>
                                </a:schemeClr>
                              </a:solidFill>
                            </a:ln>
                            <a:scene3d>
                              <a:camera prst="orthographicFront"/>
                              <a:lightRig rig="threePt" dir="t"/>
                            </a:scene3d>
                            <a:sp3d>
                              <a:bevelT prst="relaxedInset"/>
                            </a:sp3d>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1" name="Rectangle 10"/>
                            <a:cNvSpPr>
                              <a:spLocks noChangeArrowheads="1"/>
                            </a:cNvSpPr>
                          </a:nvSpPr>
                          <a:spPr bwMode="auto">
                            <a:xfrm>
                              <a:off x="609600" y="1295400"/>
                              <a:ext cx="7769225" cy="355600"/>
                            </a:xfrm>
                            <a:prstGeom prst="rect">
                              <a:avLst/>
                            </a:prstGeom>
                            <a:solidFill>
                              <a:schemeClr val="accent6">
                                <a:lumMod val="20000"/>
                                <a:lumOff val="80000"/>
                              </a:schemeClr>
                            </a:solidFill>
                            <a:ln w="9525" algn="ctr">
                              <a:solidFill>
                                <a:schemeClr val="accent5"/>
                              </a:solidFill>
                              <a:miter lim="800000"/>
                              <a:headEnd/>
                              <a:tailEnd/>
                            </a:ln>
                            <a:effectLst>
                              <a:glow rad="63500">
                                <a:schemeClr val="accent1">
                                  <a:satMod val="175000"/>
                                  <a:alpha val="40000"/>
                                </a:schemeClr>
                              </a:glow>
                              <a:prstShdw prst="shdw17" dist="17961" dir="2700000">
                                <a:srgbClr val="133977"/>
                              </a:prstShdw>
                            </a:effectLst>
                            <a:scene3d>
                              <a:camera prst="orthographicFront"/>
                              <a:lightRig rig="threePt" dir="t"/>
                            </a:scene3d>
                            <a:sp3d>
                              <a:bevelT/>
                            </a:sp3d>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defRPr/>
                                </a:pPr>
                                <a:r>
                                  <a:rPr lang="en-US" sz="1600" i="0" dirty="0">
                                    <a:solidFill>
                                      <a:schemeClr val="tx2"/>
                                    </a:solidFill>
                                    <a:latin typeface="Arial Narrow" pitchFamily="34" charset="0"/>
                                    <a:cs typeface="+mn-cs"/>
                                  </a:rPr>
                                  <a:t>Competitive Edge</a:t>
                                </a:r>
                              </a:p>
                            </a:txBody>
                            <a:useSpRect/>
                          </a:txSp>
                        </a:sp>
                        <a:sp>
                          <a:nvSpPr>
                            <a:cNvPr id="22" name="Rectangle 12"/>
                            <a:cNvSpPr>
                              <a:spLocks noChangeArrowheads="1"/>
                            </a:cNvSpPr>
                          </a:nvSpPr>
                          <a:spPr bwMode="auto">
                            <a:xfrm>
                              <a:off x="3505200" y="1752600"/>
                              <a:ext cx="1803400" cy="1981200"/>
                            </a:xfrm>
                            <a:prstGeom prst="rect">
                              <a:avLst/>
                            </a:prstGeom>
                            <a:solidFill>
                              <a:srgbClr val="6EA3BE"/>
                            </a:solidFill>
                            <a:ln w="9525" algn="ctr">
                              <a:noFill/>
                              <a:miter lim="800000"/>
                              <a:headEnd/>
                              <a:tailEnd/>
                            </a:ln>
                            <a:scene3d>
                              <a:camera prst="orthographicFront"/>
                              <a:lightRig rig="threePt" dir="t"/>
                            </a:scene3d>
                            <a:sp3d>
                              <a:bevelT prst="slope"/>
                            </a:sp3d>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30000"/>
                                  </a:lnSpc>
                                  <a:defRPr/>
                                </a:pPr>
                                <a:r>
                                  <a:rPr lang="en-US" sz="1400" i="0" dirty="0">
                                    <a:solidFill>
                                      <a:schemeClr val="bg1"/>
                                    </a:solidFill>
                                    <a:latin typeface="Arial Narrow" pitchFamily="34" charset="0"/>
                                    <a:cs typeface="+mn-cs"/>
                                  </a:rPr>
                                  <a:t>Team of dedicated skilled resources having rich domain and technical expertise</a:t>
                                </a:r>
                              </a:p>
                            </a:txBody>
                            <a:useSpRect/>
                          </a:txSp>
                        </a:sp>
                        <a:sp>
                          <a:nvSpPr>
                            <a:cNvPr id="10255" name="Rectangle 13"/>
                            <a:cNvSpPr>
                              <a:spLocks noChangeArrowheads="1"/>
                            </a:cNvSpPr>
                          </a:nvSpPr>
                          <a:spPr bwMode="auto">
                            <a:xfrm>
                              <a:off x="609600" y="1752600"/>
                              <a:ext cx="2819400" cy="990600"/>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r>
                                  <a:rPr lang="en-US" sz="1200" i="0">
                                    <a:latin typeface="Arial Narrow" pitchFamily="34" charset="0"/>
                                  </a:rPr>
                                  <a:t>Domain Expertise in various Asset Classes like Equities, Derivatives, FI, FX</a:t>
                                </a:r>
                              </a:p>
                            </a:txBody>
                            <a:useSpRect/>
                          </a:txSp>
                        </a:sp>
                        <a:sp>
                          <a:nvSpPr>
                            <a:cNvPr id="10256" name="Rectangle 14"/>
                            <a:cNvSpPr>
                              <a:spLocks noChangeArrowheads="1"/>
                            </a:cNvSpPr>
                          </a:nvSpPr>
                          <a:spPr bwMode="auto">
                            <a:xfrm>
                              <a:off x="5410200" y="1752600"/>
                              <a:ext cx="3030538" cy="938213"/>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10000"/>
                                  </a:lnSpc>
                                </a:pPr>
                                <a:r>
                                  <a:rPr lang="en-US" sz="1200" i="0">
                                    <a:latin typeface="Arial Narrow" pitchFamily="34" charset="0"/>
                                  </a:rPr>
                                  <a:t>Competency in Charles River in understanding Manager Workbench, Compliance Processor and different Trade Workflows</a:t>
                                </a:r>
                              </a:p>
                            </a:txBody>
                            <a:useSpRect/>
                          </a:txSp>
                        </a:sp>
                        <a:sp>
                          <a:nvSpPr>
                            <a:cNvPr id="10257" name="Rectangle 15"/>
                            <a:cNvSpPr>
                              <a:spLocks noChangeArrowheads="1"/>
                            </a:cNvSpPr>
                          </a:nvSpPr>
                          <a:spPr bwMode="auto">
                            <a:xfrm>
                              <a:off x="609600" y="2819400"/>
                              <a:ext cx="2819400" cy="914400"/>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10000"/>
                                  </a:lnSpc>
                                </a:pPr>
                                <a:r>
                                  <a:rPr lang="en-US" sz="1200" i="0">
                                    <a:latin typeface="Arial Narrow" pitchFamily="34" charset="0"/>
                                  </a:rPr>
                                  <a:t>Leveraging Best practices, Methodologies, Frameworks. Continuous Monitoring and Quality Improvement</a:t>
                                </a:r>
                              </a:p>
                            </a:txBody>
                            <a:useSpRect/>
                          </a:txSp>
                        </a:sp>
                        <a:sp>
                          <a:nvSpPr>
                            <a:cNvPr id="10258" name="Rectangle 11"/>
                            <a:cNvSpPr>
                              <a:spLocks noChangeArrowheads="1"/>
                            </a:cNvSpPr>
                          </a:nvSpPr>
                          <a:spPr bwMode="auto">
                            <a:xfrm>
                              <a:off x="5410200" y="2743200"/>
                              <a:ext cx="3048000" cy="938213"/>
                            </a:xfrm>
                            <a:prstGeom prst="rect">
                              <a:avLst/>
                            </a:prstGeom>
                            <a:solidFill>
                              <a:srgbClr val="DDDDDD"/>
                            </a:solidFill>
                            <a:ln w="9525" algn="ctr">
                              <a:noFill/>
                              <a:miter lim="800000"/>
                              <a:headEnd/>
                              <a:tailEnd/>
                            </a:ln>
                          </a:spPr>
                          <a:txSp>
                            <a:txBody>
                              <a:bodyPr anchor="ctr"/>
                              <a:lstStyle>
                                <a:defPPr>
                                  <a:defRPr lang="en-US"/>
                                </a:defPPr>
                                <a:lvl1pPr algn="l" rtl="0" fontAlgn="base">
                                  <a:spcBef>
                                    <a:spcPct val="0"/>
                                  </a:spcBef>
                                  <a:spcAft>
                                    <a:spcPct val="0"/>
                                  </a:spcAft>
                                  <a:defRPr b="1" i="1" kern="1200">
                                    <a:solidFill>
                                      <a:schemeClr val="tx1"/>
                                    </a:solidFill>
                                    <a:latin typeface="Arial" charset="0"/>
                                    <a:ea typeface="+mn-ea"/>
                                    <a:cs typeface="Arial" charset="0"/>
                                  </a:defRPr>
                                </a:lvl1pPr>
                                <a:lvl2pPr marL="457200" algn="l" rtl="0" fontAlgn="base">
                                  <a:spcBef>
                                    <a:spcPct val="0"/>
                                  </a:spcBef>
                                  <a:spcAft>
                                    <a:spcPct val="0"/>
                                  </a:spcAft>
                                  <a:defRPr b="1" i="1" kern="1200">
                                    <a:solidFill>
                                      <a:schemeClr val="tx1"/>
                                    </a:solidFill>
                                    <a:latin typeface="Arial" charset="0"/>
                                    <a:ea typeface="+mn-ea"/>
                                    <a:cs typeface="Arial" charset="0"/>
                                  </a:defRPr>
                                </a:lvl2pPr>
                                <a:lvl3pPr marL="914400" algn="l" rtl="0" fontAlgn="base">
                                  <a:spcBef>
                                    <a:spcPct val="0"/>
                                  </a:spcBef>
                                  <a:spcAft>
                                    <a:spcPct val="0"/>
                                  </a:spcAft>
                                  <a:defRPr b="1" i="1" kern="1200">
                                    <a:solidFill>
                                      <a:schemeClr val="tx1"/>
                                    </a:solidFill>
                                    <a:latin typeface="Arial" charset="0"/>
                                    <a:ea typeface="+mn-ea"/>
                                    <a:cs typeface="Arial" charset="0"/>
                                  </a:defRPr>
                                </a:lvl3pPr>
                                <a:lvl4pPr marL="1371600" algn="l" rtl="0" fontAlgn="base">
                                  <a:spcBef>
                                    <a:spcPct val="0"/>
                                  </a:spcBef>
                                  <a:spcAft>
                                    <a:spcPct val="0"/>
                                  </a:spcAft>
                                  <a:defRPr b="1" i="1" kern="1200">
                                    <a:solidFill>
                                      <a:schemeClr val="tx1"/>
                                    </a:solidFill>
                                    <a:latin typeface="Arial" charset="0"/>
                                    <a:ea typeface="+mn-ea"/>
                                    <a:cs typeface="Arial" charset="0"/>
                                  </a:defRPr>
                                </a:lvl4pPr>
                                <a:lvl5pPr marL="1828800" algn="l" rtl="0" fontAlgn="base">
                                  <a:spcBef>
                                    <a:spcPct val="0"/>
                                  </a:spcBef>
                                  <a:spcAft>
                                    <a:spcPct val="0"/>
                                  </a:spcAft>
                                  <a:defRPr b="1" i="1" kern="1200">
                                    <a:solidFill>
                                      <a:schemeClr val="tx1"/>
                                    </a:solidFill>
                                    <a:latin typeface="Arial" charset="0"/>
                                    <a:ea typeface="+mn-ea"/>
                                    <a:cs typeface="Arial" charset="0"/>
                                  </a:defRPr>
                                </a:lvl5pPr>
                                <a:lvl6pPr marL="2286000" algn="l" defTabSz="914400" rtl="0" eaLnBrk="1" latinLnBrk="0" hangingPunct="1">
                                  <a:defRPr b="1" i="1" kern="1200">
                                    <a:solidFill>
                                      <a:schemeClr val="tx1"/>
                                    </a:solidFill>
                                    <a:latin typeface="Arial" charset="0"/>
                                    <a:ea typeface="+mn-ea"/>
                                    <a:cs typeface="Arial" charset="0"/>
                                  </a:defRPr>
                                </a:lvl6pPr>
                                <a:lvl7pPr marL="2743200" algn="l" defTabSz="914400" rtl="0" eaLnBrk="1" latinLnBrk="0" hangingPunct="1">
                                  <a:defRPr b="1" i="1" kern="1200">
                                    <a:solidFill>
                                      <a:schemeClr val="tx1"/>
                                    </a:solidFill>
                                    <a:latin typeface="Arial" charset="0"/>
                                    <a:ea typeface="+mn-ea"/>
                                    <a:cs typeface="Arial" charset="0"/>
                                  </a:defRPr>
                                </a:lvl7pPr>
                                <a:lvl8pPr marL="3200400" algn="l" defTabSz="914400" rtl="0" eaLnBrk="1" latinLnBrk="0" hangingPunct="1">
                                  <a:defRPr b="1" i="1" kern="1200">
                                    <a:solidFill>
                                      <a:schemeClr val="tx1"/>
                                    </a:solidFill>
                                    <a:latin typeface="Arial" charset="0"/>
                                    <a:ea typeface="+mn-ea"/>
                                    <a:cs typeface="Arial" charset="0"/>
                                  </a:defRPr>
                                </a:lvl8pPr>
                                <a:lvl9pPr marL="3657600" algn="l" defTabSz="914400" rtl="0" eaLnBrk="1" latinLnBrk="0" hangingPunct="1">
                                  <a:defRPr b="1" i="1" kern="1200">
                                    <a:solidFill>
                                      <a:schemeClr val="tx1"/>
                                    </a:solidFill>
                                    <a:latin typeface="Arial" charset="0"/>
                                    <a:ea typeface="+mn-ea"/>
                                    <a:cs typeface="Arial" charset="0"/>
                                  </a:defRPr>
                                </a:lvl9pPr>
                              </a:lstStyle>
                              <a:p>
                                <a:pPr algn="ctr">
                                  <a:lnSpc>
                                    <a:spcPct val="110000"/>
                                  </a:lnSpc>
                                </a:pPr>
                                <a:r>
                                  <a:rPr lang="en-US" sz="1200" i="0">
                                    <a:latin typeface="Arial Narrow" pitchFamily="34" charset="0"/>
                                  </a:rPr>
                                  <a:t>Plug-in for Batch processing,  Trade workflow, Reference Data, Reporting</a:t>
                                </a:r>
                              </a:p>
                            </a:txBody>
                            <a:useSpRect/>
                          </a:txSp>
                        </a:sp>
                        <a:grpSp>
                          <a:nvGrpSpPr>
                            <a:cNvPr id="10259" name="Group 13"/>
                            <a:cNvGrpSpPr>
                              <a:grpSpLocks/>
                            </a:cNvGrpSpPr>
                          </a:nvGrpSpPr>
                          <a:grpSpPr bwMode="auto">
                            <a:xfrm>
                              <a:off x="381000" y="4375150"/>
                              <a:ext cx="8305800" cy="1905000"/>
                              <a:chOff x="457200" y="4419600"/>
                              <a:chExt cx="8305800" cy="1905000"/>
                            </a:xfrm>
                          </a:grpSpPr>
                          <a:sp>
                            <a:nvSpPr>
                              <a:cNvPr id="28" name="Rounded Rectangle 27"/>
                              <a:cNvSpPr/>
                            </a:nvSpPr>
                            <a:spPr>
                              <a:xfrm>
                                <a:off x="457200" y="4419600"/>
                                <a:ext cx="8305800" cy="1905000"/>
                              </a:xfrm>
                              <a:prstGeom prst="roundRect">
                                <a:avLst/>
                              </a:prstGeom>
                              <a:solidFill>
                                <a:schemeClr val="bg1"/>
                              </a:solidFill>
                              <a:ln>
                                <a:solidFill>
                                  <a:schemeClr val="accent5">
                                    <a:lumMod val="20000"/>
                                    <a:lumOff val="80000"/>
                                  </a:schemeClr>
                                </a:solidFill>
                              </a:ln>
                              <a:scene3d>
                                <a:camera prst="orthographicFront"/>
                                <a:lightRig rig="threePt" dir="t"/>
                              </a:scene3d>
                              <a:sp3d>
                                <a:bevelT prst="relaxedInset"/>
                              </a:sp3d>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Rounded Rectangle 28"/>
                              <a:cNvSpPr/>
                            </a:nvSpPr>
                            <a:spPr>
                              <a:xfrm>
                                <a:off x="4038600" y="4876800"/>
                                <a:ext cx="4648200" cy="1295400"/>
                              </a:xfrm>
                              <a:prstGeom prst="roundRect">
                                <a:avLst/>
                              </a:prstGeom>
                              <a:solidFill>
                                <a:schemeClr val="bg1"/>
                              </a:solidFill>
                              <a:ln>
                                <a:solidFill>
                                  <a:schemeClr val="accent5">
                                    <a:lumMod val="20000"/>
                                    <a:lumOff val="80000"/>
                                  </a:schemeClr>
                                </a:solidFill>
                              </a:ln>
                              <a:scene3d>
                                <a:camera prst="orthographicFront"/>
                                <a:lightRig rig="threePt" dir="t"/>
                              </a:scene3d>
                              <a:sp3d>
                                <a:bevelT prst="relaxedInset"/>
                              </a:sp3d>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graphicFrame>
                            <a:nvGraphicFramePr>
                              <a:cNvPr id="30" name="Diagram 29"/>
                              <a:cNvGraphicFramePr/>
                            </a:nvGraphicFramePr>
                            <a:graphic>
                              <a:graphicData uri="http://schemas.openxmlformats.org/drawingml/2006/diagram">
                                <dgm:relIds xmlns:dgm="http://schemas.openxmlformats.org/drawingml/2006/diagram" xmlns:r="http://schemas.openxmlformats.org/officeDocument/2006/relationships" r:dm="rId27" r:lo="rId28" r:qs="rId29" r:cs="rId30"/>
                              </a:graphicData>
                            </a:graphic>
                            <a:xfrm>
                              <a:off x="533400" y="4419600"/>
                              <a:ext cx="8153400" cy="1752600"/>
                            </a:xfrm>
                          </a:graphicFrame>
                        </a:grpSp>
                        <a:sp>
                          <a:nvSpPr>
                            <a:cNvPr id="31" name="Up Arrow 30"/>
                            <a:cNvSpPr/>
                          </a:nvSpPr>
                          <a:spPr>
                            <a:xfrm>
                              <a:off x="1981200" y="3886200"/>
                              <a:ext cx="304800" cy="457200"/>
                            </a:xfrm>
                            <a:prstGeom prst="upArrow">
                              <a:avLst/>
                            </a:prstGeom>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Up Arrow 31"/>
                            <a:cNvSpPr/>
                          </a:nvSpPr>
                          <a:spPr>
                            <a:xfrm>
                              <a:off x="4267200" y="3886200"/>
                              <a:ext cx="304800" cy="457200"/>
                            </a:xfrm>
                            <a:prstGeom prst="upArrow">
                              <a:avLst/>
                            </a:prstGeom>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Up Arrow 32"/>
                            <a:cNvSpPr/>
                          </a:nvSpPr>
                          <a:spPr>
                            <a:xfrm>
                              <a:off x="6781800" y="3886200"/>
                              <a:ext cx="304800" cy="457200"/>
                            </a:xfrm>
                            <a:prstGeom prst="upArrow">
                              <a:avLst/>
                            </a:prstGeom>
                          </a:spPr>
                          <a:txSp>
                            <a:txBody>
                              <a:bodyPr anchor="ctr"/>
                              <a:lstStyle>
                                <a:defPPr>
                                  <a:defRPr lang="en-US"/>
                                </a:defPPr>
                                <a:lvl1pPr algn="l" rtl="0" fontAlgn="base">
                                  <a:spcBef>
                                    <a:spcPct val="0"/>
                                  </a:spcBef>
                                  <a:spcAft>
                                    <a:spcPct val="0"/>
                                  </a:spcAft>
                                  <a:defRPr b="1" i="1" kern="1200">
                                    <a:solidFill>
                                      <a:schemeClr val="lt1"/>
                                    </a:solidFill>
                                    <a:latin typeface="+mn-lt"/>
                                    <a:ea typeface="+mn-ea"/>
                                    <a:cs typeface="+mn-cs"/>
                                  </a:defRPr>
                                </a:lvl1pPr>
                                <a:lvl2pPr marL="457200" algn="l" rtl="0" fontAlgn="base">
                                  <a:spcBef>
                                    <a:spcPct val="0"/>
                                  </a:spcBef>
                                  <a:spcAft>
                                    <a:spcPct val="0"/>
                                  </a:spcAft>
                                  <a:defRPr b="1" i="1" kern="1200">
                                    <a:solidFill>
                                      <a:schemeClr val="lt1"/>
                                    </a:solidFill>
                                    <a:latin typeface="+mn-lt"/>
                                    <a:ea typeface="+mn-ea"/>
                                    <a:cs typeface="+mn-cs"/>
                                  </a:defRPr>
                                </a:lvl2pPr>
                                <a:lvl3pPr marL="914400" algn="l" rtl="0" fontAlgn="base">
                                  <a:spcBef>
                                    <a:spcPct val="0"/>
                                  </a:spcBef>
                                  <a:spcAft>
                                    <a:spcPct val="0"/>
                                  </a:spcAft>
                                  <a:defRPr b="1" i="1" kern="1200">
                                    <a:solidFill>
                                      <a:schemeClr val="lt1"/>
                                    </a:solidFill>
                                    <a:latin typeface="+mn-lt"/>
                                    <a:ea typeface="+mn-ea"/>
                                    <a:cs typeface="+mn-cs"/>
                                  </a:defRPr>
                                </a:lvl3pPr>
                                <a:lvl4pPr marL="1371600" algn="l" rtl="0" fontAlgn="base">
                                  <a:spcBef>
                                    <a:spcPct val="0"/>
                                  </a:spcBef>
                                  <a:spcAft>
                                    <a:spcPct val="0"/>
                                  </a:spcAft>
                                  <a:defRPr b="1" i="1" kern="1200">
                                    <a:solidFill>
                                      <a:schemeClr val="lt1"/>
                                    </a:solidFill>
                                    <a:latin typeface="+mn-lt"/>
                                    <a:ea typeface="+mn-ea"/>
                                    <a:cs typeface="+mn-cs"/>
                                  </a:defRPr>
                                </a:lvl4pPr>
                                <a:lvl5pPr marL="1828800" algn="l" rtl="0" fontAlgn="base">
                                  <a:spcBef>
                                    <a:spcPct val="0"/>
                                  </a:spcBef>
                                  <a:spcAft>
                                    <a:spcPct val="0"/>
                                  </a:spcAft>
                                  <a:defRPr b="1" i="1" kern="1200">
                                    <a:solidFill>
                                      <a:schemeClr val="lt1"/>
                                    </a:solidFill>
                                    <a:latin typeface="+mn-lt"/>
                                    <a:ea typeface="+mn-ea"/>
                                    <a:cs typeface="+mn-cs"/>
                                  </a:defRPr>
                                </a:lvl5pPr>
                                <a:lvl6pPr marL="2286000" algn="l" defTabSz="914400" rtl="0" eaLnBrk="1" latinLnBrk="0" hangingPunct="1">
                                  <a:defRPr b="1" i="1" kern="1200">
                                    <a:solidFill>
                                      <a:schemeClr val="lt1"/>
                                    </a:solidFill>
                                    <a:latin typeface="+mn-lt"/>
                                    <a:ea typeface="+mn-ea"/>
                                    <a:cs typeface="+mn-cs"/>
                                  </a:defRPr>
                                </a:lvl6pPr>
                                <a:lvl7pPr marL="2743200" algn="l" defTabSz="914400" rtl="0" eaLnBrk="1" latinLnBrk="0" hangingPunct="1">
                                  <a:defRPr b="1" i="1" kern="1200">
                                    <a:solidFill>
                                      <a:schemeClr val="lt1"/>
                                    </a:solidFill>
                                    <a:latin typeface="+mn-lt"/>
                                    <a:ea typeface="+mn-ea"/>
                                    <a:cs typeface="+mn-cs"/>
                                  </a:defRPr>
                                </a:lvl7pPr>
                                <a:lvl8pPr marL="3200400" algn="l" defTabSz="914400" rtl="0" eaLnBrk="1" latinLnBrk="0" hangingPunct="1">
                                  <a:defRPr b="1" i="1" kern="1200">
                                    <a:solidFill>
                                      <a:schemeClr val="lt1"/>
                                    </a:solidFill>
                                    <a:latin typeface="+mn-lt"/>
                                    <a:ea typeface="+mn-ea"/>
                                    <a:cs typeface="+mn-cs"/>
                                  </a:defRPr>
                                </a:lvl8pPr>
                                <a:lvl9pPr marL="3657600" algn="l" defTabSz="914400" rtl="0" eaLnBrk="1" latinLnBrk="0" hangingPunct="1">
                                  <a:defRPr b="1" i="1" kern="1200">
                                    <a:solidFill>
                                      <a:schemeClr val="lt1"/>
                                    </a:solidFill>
                                    <a:latin typeface="+mn-lt"/>
                                    <a:ea typeface="+mn-ea"/>
                                    <a:cs typeface="+mn-cs"/>
                                  </a:defRPr>
                                </a:lvl9pPr>
                              </a:lstStyle>
                              <a:p>
                                <a:pPr algn="ctr">
                                  <a:defRPr/>
                                </a:pPr>
                                <a:endParaRPr lang="en-US"/>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anchor>
              </w:drawing>
            </w:r>
          </w:p>
          <w:p w:rsidR="00EA1891" w:rsidRPr="00E17E18" w:rsidRDefault="00EA1891" w:rsidP="00E17E18">
            <w:pPr>
              <w:pStyle w:val="DisplayHeading"/>
              <w:rPr>
                <w:rFonts w:asciiTheme="minorHAnsi" w:hAnsiTheme="minorHAnsi" w:cs="Arial"/>
                <w:sz w:val="24"/>
              </w:rPr>
            </w:pPr>
            <w:r w:rsidRPr="00E17E18">
              <w:rPr>
                <w:rFonts w:asciiTheme="minorHAnsi" w:hAnsiTheme="minorHAnsi" w:cs="Arial"/>
                <w:sz w:val="24"/>
              </w:rPr>
              <w:t>Murex Capabilities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Our resources are trained in Murex implemented / supported the Application for Global Clients.</w:t>
            </w:r>
          </w:p>
          <w:p w:rsidR="00EA1891" w:rsidRPr="00E17E18" w:rsidRDefault="00EA1891" w:rsidP="00EA1891">
            <w:pPr>
              <w:pStyle w:val="DisplayHeading"/>
              <w:rPr>
                <w:rFonts w:asciiTheme="minorHAnsi" w:hAnsiTheme="minorHAnsi" w:cs="Arial"/>
                <w:sz w:val="24"/>
              </w:rPr>
            </w:pPr>
            <w:bookmarkStart w:id="13" w:name="_Toc213560592"/>
            <w:bookmarkStart w:id="14" w:name="_Toc212010753"/>
            <w:r w:rsidRPr="00E17E18">
              <w:rPr>
                <w:rFonts w:asciiTheme="minorHAnsi" w:hAnsiTheme="minorHAnsi" w:cs="Arial"/>
                <w:sz w:val="24"/>
              </w:rPr>
              <w:lastRenderedPageBreak/>
              <w:t>Application Knowledge</w:t>
            </w:r>
            <w:bookmarkEnd w:id="13"/>
            <w:r w:rsidRPr="00E17E18">
              <w:rPr>
                <w:rFonts w:asciiTheme="minorHAnsi" w:hAnsiTheme="minorHAnsi" w:cs="Arial"/>
                <w:sz w:val="24"/>
              </w:rPr>
              <w:t xml:space="preserve"> </w:t>
            </w:r>
            <w:bookmarkEnd w:id="14"/>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Trading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Confirmation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Accounting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Payments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Pricing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MxML</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VaR analysis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Reporting (M-Report/Actuate/Webfocus)</w:t>
            </w:r>
          </w:p>
          <w:p w:rsidR="00EA1891" w:rsidRPr="00E17E18" w:rsidRDefault="00EA1891" w:rsidP="00EA1891">
            <w:pPr>
              <w:pStyle w:val="DisplayHeading"/>
              <w:rPr>
                <w:rFonts w:asciiTheme="minorHAnsi" w:hAnsiTheme="minorHAnsi" w:cs="Arial"/>
                <w:sz w:val="24"/>
              </w:rPr>
            </w:pPr>
            <w:bookmarkStart w:id="15" w:name="_Toc213560593"/>
            <w:bookmarkStart w:id="16" w:name="_Toc212010754"/>
            <w:r w:rsidRPr="00E17E18">
              <w:rPr>
                <w:rFonts w:asciiTheme="minorHAnsi" w:hAnsiTheme="minorHAnsi" w:cs="Arial"/>
                <w:sz w:val="24"/>
              </w:rPr>
              <w:t>Domain Knowledge on the Product</w:t>
            </w:r>
            <w:bookmarkEnd w:id="15"/>
            <w:r w:rsidRPr="00E17E18">
              <w:rPr>
                <w:rFonts w:asciiTheme="minorHAnsi" w:hAnsiTheme="minorHAnsi" w:cs="Arial"/>
                <w:sz w:val="24"/>
              </w:rPr>
              <w:t xml:space="preserve"> </w:t>
            </w:r>
          </w:p>
          <w:bookmarkEnd w:id="16"/>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Static data setup</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Deal capture</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User administration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VaR setup and investigation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Rate Fixing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Trade/Payment Netting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Workflow configuration</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Trade life cycle events (Exercise, Termination, Market Operations)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STP</w:t>
            </w:r>
          </w:p>
          <w:p w:rsidR="00EA1891"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P&amp;L</w:t>
            </w:r>
          </w:p>
          <w:p w:rsidR="00EA1891" w:rsidRPr="00E17E18" w:rsidRDefault="00EA1891" w:rsidP="00EA1891">
            <w:pPr>
              <w:pStyle w:val="DisplayHeading"/>
              <w:rPr>
                <w:rFonts w:asciiTheme="minorHAnsi" w:hAnsiTheme="minorHAnsi" w:cs="Arial"/>
                <w:sz w:val="24"/>
              </w:rPr>
            </w:pPr>
            <w:r w:rsidRPr="00E17E18">
              <w:rPr>
                <w:rFonts w:asciiTheme="minorHAnsi" w:hAnsiTheme="minorHAnsi" w:cs="Arial"/>
                <w:sz w:val="24"/>
              </w:rPr>
              <w:t>Murex Functional Landscape</w:t>
            </w:r>
          </w:p>
          <w:p w:rsidR="00EA1891" w:rsidRPr="00873938" w:rsidRDefault="00EA1891" w:rsidP="00EA1891">
            <w:pPr>
              <w:spacing w:before="60"/>
              <w:ind w:right="288"/>
              <w:rPr>
                <w:rFonts w:asciiTheme="minorHAnsi" w:hAnsiTheme="minorHAnsi" w:cs="Arial"/>
                <w:sz w:val="22"/>
              </w:rPr>
            </w:pPr>
            <w:r w:rsidRPr="00873938">
              <w:rPr>
                <w:rFonts w:asciiTheme="minorHAnsi" w:hAnsiTheme="minorHAnsi" w:cs="Arial"/>
                <w:noProof/>
                <w:sz w:val="22"/>
              </w:rPr>
              <w:drawing>
                <wp:inline distT="0" distB="0" distL="0" distR="0">
                  <wp:extent cx="5943600" cy="237172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943600" cy="2371725"/>
                          </a:xfrm>
                          <a:prstGeom prst="rect">
                            <a:avLst/>
                          </a:prstGeom>
                          <a:noFill/>
                          <a:ln w="9525">
                            <a:noFill/>
                            <a:miter lim="800000"/>
                            <a:headEnd/>
                            <a:tailEnd/>
                          </a:ln>
                        </pic:spPr>
                      </pic:pic>
                    </a:graphicData>
                  </a:graphic>
                </wp:inline>
              </w:drawing>
            </w:r>
          </w:p>
          <w:p w:rsidR="00EA1891" w:rsidRPr="00E17E18" w:rsidRDefault="00EA1891" w:rsidP="00E17E18">
            <w:pPr>
              <w:pStyle w:val="DisplayHeading"/>
              <w:rPr>
                <w:rFonts w:asciiTheme="minorHAnsi" w:hAnsiTheme="minorHAnsi" w:cs="Arial"/>
                <w:sz w:val="24"/>
              </w:rPr>
            </w:pPr>
            <w:r w:rsidRPr="00E17E18">
              <w:rPr>
                <w:rFonts w:asciiTheme="minorHAnsi" w:hAnsiTheme="minorHAnsi" w:cs="Arial"/>
                <w:sz w:val="24"/>
              </w:rPr>
              <w:lastRenderedPageBreak/>
              <w:t>Calypso Capabilities</w:t>
            </w:r>
          </w:p>
          <w:p w:rsidR="00EA1891" w:rsidRPr="000573A0" w:rsidRDefault="00EA1891" w:rsidP="00EA1891">
            <w:pPr>
              <w:pStyle w:val="BulletList0"/>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Calypso COE unit in Hexaware has the dedicated pool of Resources Trained in Functional and Technical areas of Calypso.  </w:t>
            </w:r>
          </w:p>
          <w:p w:rsidR="00EA1891" w:rsidRPr="000573A0" w:rsidRDefault="00EA1891" w:rsidP="00EA1891">
            <w:pPr>
              <w:pStyle w:val="BulletList0"/>
              <w:rPr>
                <w:rFonts w:asciiTheme="minorHAnsi" w:hAnsiTheme="minorHAnsi" w:cs="Times New Roman"/>
                <w:color w:val="3F3F3F"/>
                <w:szCs w:val="22"/>
                <w:lang w:val="en-US" w:bidi="en-US"/>
              </w:rPr>
            </w:pPr>
            <w:bookmarkStart w:id="17" w:name="_Toc212011371"/>
            <w:r w:rsidRPr="000573A0">
              <w:rPr>
                <w:rFonts w:asciiTheme="minorHAnsi" w:hAnsiTheme="minorHAnsi" w:cs="Times New Roman"/>
                <w:color w:val="3F3F3F"/>
                <w:szCs w:val="22"/>
                <w:lang w:val="en-US" w:bidi="en-US"/>
              </w:rPr>
              <w:t>Domain Knowledge</w:t>
            </w:r>
            <w:bookmarkEnd w:id="17"/>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Derivative Operations (IRD &amp; CRD)</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Reconciliations &amp; BO Processing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Front, Middle and Back Office Operations</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bookmarkStart w:id="18" w:name="_Toc212011372"/>
            <w:bookmarkStart w:id="19" w:name="_Toc213560575"/>
            <w:r w:rsidRPr="000573A0">
              <w:rPr>
                <w:rFonts w:asciiTheme="minorHAnsi" w:hAnsiTheme="minorHAnsi" w:cs="Times New Roman"/>
                <w:color w:val="3F3F3F"/>
                <w:szCs w:val="22"/>
                <w:lang w:val="en-US" w:bidi="en-US"/>
              </w:rPr>
              <w:t>Technology</w:t>
            </w:r>
            <w:bookmarkEnd w:id="18"/>
            <w:bookmarkEnd w:id="19"/>
            <w:r w:rsidRPr="000573A0">
              <w:rPr>
                <w:rFonts w:asciiTheme="minorHAnsi" w:hAnsiTheme="minorHAnsi" w:cs="Times New Roman"/>
                <w:color w:val="3F3F3F"/>
                <w:szCs w:val="22"/>
                <w:lang w:val="en-US" w:bidi="en-US"/>
              </w:rPr>
              <w:t xml:space="preserve"> </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Java</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Java Swing</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J2EE</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JAXB</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XML</w:t>
            </w:r>
          </w:p>
          <w:p w:rsidR="00EA1891" w:rsidRPr="000573A0" w:rsidRDefault="00EA1891"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Database(Sybase/Oracle)</w:t>
            </w:r>
          </w:p>
          <w:p w:rsidR="00DD2350" w:rsidRDefault="00DD2350" w:rsidP="00DD2350">
            <w:pPr>
              <w:pStyle w:val="BulletList2"/>
              <w:ind w:left="360"/>
              <w:rPr>
                <w:rFonts w:asciiTheme="minorHAnsi" w:hAnsiTheme="minorHAnsi" w:cs="Arial"/>
                <w:b/>
                <w:bCs/>
                <w:iCs/>
                <w:szCs w:val="22"/>
              </w:rPr>
            </w:pPr>
            <w:bookmarkStart w:id="20" w:name="_Toc212011373"/>
            <w:bookmarkStart w:id="21" w:name="_Toc213560576"/>
          </w:p>
          <w:p w:rsidR="00EA1891" w:rsidRPr="00E17E18" w:rsidRDefault="00EA1891" w:rsidP="00E17E18">
            <w:pPr>
              <w:pStyle w:val="DisplayHeading"/>
              <w:rPr>
                <w:rFonts w:asciiTheme="minorHAnsi" w:hAnsiTheme="minorHAnsi" w:cs="Arial"/>
                <w:sz w:val="24"/>
              </w:rPr>
            </w:pPr>
            <w:r w:rsidRPr="00E17E18">
              <w:rPr>
                <w:rFonts w:asciiTheme="minorHAnsi" w:hAnsiTheme="minorHAnsi" w:cs="Arial"/>
                <w:sz w:val="24"/>
              </w:rPr>
              <w:t>Calypso Competency</w:t>
            </w:r>
            <w:bookmarkEnd w:id="20"/>
            <w:bookmarkEnd w:id="21"/>
          </w:p>
          <w:p w:rsidR="00EA1891" w:rsidRPr="00873938" w:rsidRDefault="00EA1891" w:rsidP="00EA1891">
            <w:pPr>
              <w:spacing w:before="60"/>
              <w:ind w:right="288"/>
              <w:rPr>
                <w:rFonts w:asciiTheme="minorHAnsi" w:hAnsiTheme="minorHAnsi" w:cs="Arial"/>
                <w:sz w:val="22"/>
              </w:rPr>
            </w:pPr>
            <w:r w:rsidRPr="00873938">
              <w:rPr>
                <w:rFonts w:asciiTheme="minorHAnsi" w:hAnsiTheme="minorHAnsi" w:cs="Arial"/>
                <w:noProof/>
                <w:sz w:val="22"/>
              </w:rPr>
              <w:drawing>
                <wp:inline distT="0" distB="0" distL="0" distR="0">
                  <wp:extent cx="5885955" cy="322897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886450" cy="3229246"/>
                          </a:xfrm>
                          <a:prstGeom prst="rect">
                            <a:avLst/>
                          </a:prstGeom>
                          <a:noFill/>
                          <a:ln w="9525">
                            <a:noFill/>
                            <a:miter lim="800000"/>
                            <a:headEnd/>
                            <a:tailEnd/>
                          </a:ln>
                        </pic:spPr>
                      </pic:pic>
                    </a:graphicData>
                  </a:graphic>
                </wp:inline>
              </w:drawing>
            </w:r>
          </w:p>
          <w:p w:rsidR="00D96C40" w:rsidRDefault="00D96C40" w:rsidP="00EA1891">
            <w:pPr>
              <w:pStyle w:val="DisplayHeading"/>
              <w:rPr>
                <w:rFonts w:asciiTheme="minorHAnsi" w:hAnsiTheme="minorHAnsi" w:cs="Arial"/>
                <w:szCs w:val="22"/>
              </w:rPr>
            </w:pPr>
          </w:p>
          <w:p w:rsidR="00D96C40" w:rsidRDefault="00D96C40" w:rsidP="00EA1891">
            <w:pPr>
              <w:pStyle w:val="DisplayHeading"/>
              <w:rPr>
                <w:rFonts w:asciiTheme="minorHAnsi" w:hAnsiTheme="minorHAnsi" w:cs="Arial"/>
                <w:szCs w:val="22"/>
              </w:rPr>
            </w:pPr>
          </w:p>
          <w:p w:rsidR="00EA1891" w:rsidRPr="00E17E18" w:rsidRDefault="00EA1891" w:rsidP="00EA1891">
            <w:pPr>
              <w:pStyle w:val="DisplayHeading"/>
              <w:rPr>
                <w:rFonts w:asciiTheme="minorHAnsi" w:hAnsiTheme="minorHAnsi" w:cs="Arial"/>
                <w:sz w:val="24"/>
              </w:rPr>
            </w:pPr>
            <w:r w:rsidRPr="00E17E18">
              <w:rPr>
                <w:rFonts w:asciiTheme="minorHAnsi" w:hAnsiTheme="minorHAnsi" w:cs="Arial"/>
                <w:sz w:val="24"/>
              </w:rPr>
              <w:lastRenderedPageBreak/>
              <w:t>Calypso Functional Landscape</w:t>
            </w:r>
          </w:p>
          <w:p w:rsidR="00EA1891" w:rsidRPr="00873938" w:rsidRDefault="00EA1891" w:rsidP="00EA1891">
            <w:pPr>
              <w:spacing w:before="60"/>
              <w:ind w:right="288"/>
              <w:rPr>
                <w:rFonts w:asciiTheme="minorHAnsi" w:hAnsiTheme="minorHAnsi" w:cs="Arial"/>
                <w:sz w:val="22"/>
              </w:rPr>
            </w:pPr>
            <w:r w:rsidRPr="00873938">
              <w:rPr>
                <w:rFonts w:asciiTheme="minorHAnsi" w:hAnsiTheme="minorHAnsi" w:cs="Arial"/>
                <w:noProof/>
                <w:sz w:val="22"/>
              </w:rPr>
              <w:drawing>
                <wp:inline distT="0" distB="0" distL="0" distR="0">
                  <wp:extent cx="5867400" cy="2876550"/>
                  <wp:effectExtent l="19050" t="0" r="0" b="0"/>
                  <wp:docPr id="24" name="Object 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13800" cy="5713412"/>
                            <a:chOff x="228600" y="763588"/>
                            <a:chExt cx="8813800" cy="5713412"/>
                          </a:xfrm>
                        </a:grpSpPr>
                        <a:grpSp>
                          <a:nvGrpSpPr>
                            <a:cNvPr id="1118212" name="Group 4"/>
                            <a:cNvGrpSpPr>
                              <a:grpSpLocks/>
                            </a:cNvGrpSpPr>
                          </a:nvGrpSpPr>
                          <a:grpSpPr bwMode="auto">
                            <a:xfrm>
                              <a:off x="228600" y="4868863"/>
                              <a:ext cx="8686800" cy="1608137"/>
                              <a:chOff x="510" y="2928"/>
                              <a:chExt cx="4536" cy="1146"/>
                            </a:xfrm>
                          </a:grpSpPr>
                          <a:sp>
                            <a:nvSpPr>
                              <a:cNvPr id="1118213" name="Rectangle 5"/>
                              <a:cNvSpPr>
                                <a:spLocks noChangeArrowheads="1"/>
                              </a:cNvSpPr>
                            </a:nvSpPr>
                            <a:spPr bwMode="auto">
                              <a:xfrm>
                                <a:off x="528" y="3118"/>
                                <a:ext cx="1412" cy="956"/>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marL="341313" indent="-233363">
                                    <a:buFontTx/>
                                    <a:buChar char="•"/>
                                    <a:tabLst>
                                      <a:tab pos="403225" algn="l"/>
                                    </a:tabLst>
                                  </a:pPr>
                                  <a:r>
                                    <a:rPr lang="en-US" sz="1000" dirty="0">
                                      <a:latin typeface="Arial" pitchFamily="34" charset="0"/>
                                      <a:cs typeface="Arial" pitchFamily="34" charset="0"/>
                                    </a:rPr>
                                    <a:t>Pricing &amp; Analysis </a:t>
                                  </a:r>
                                </a:p>
                                <a:p>
                                  <a:pPr marL="341313" indent="-233363">
                                    <a:buFontTx/>
                                    <a:buChar char="•"/>
                                    <a:tabLst>
                                      <a:tab pos="403225" algn="l"/>
                                    </a:tabLst>
                                  </a:pPr>
                                  <a:r>
                                    <a:rPr lang="en-US" sz="1000" dirty="0">
                                      <a:latin typeface="Arial" pitchFamily="34" charset="0"/>
                                      <a:cs typeface="Arial" pitchFamily="34" charset="0"/>
                                    </a:rPr>
                                    <a:t>Product Structuring </a:t>
                                  </a:r>
                                </a:p>
                                <a:p>
                                  <a:pPr marL="341313" indent="-233363">
                                    <a:buFontTx/>
                                    <a:buChar char="•"/>
                                    <a:tabLst>
                                      <a:tab pos="403225" algn="l"/>
                                    </a:tabLst>
                                  </a:pPr>
                                  <a:r>
                                    <a:rPr lang="en-US" sz="1000" dirty="0">
                                      <a:latin typeface="Arial" pitchFamily="34" charset="0"/>
                                      <a:cs typeface="Arial" pitchFamily="34" charset="0"/>
                                    </a:rPr>
                                    <a:t>Trade Capture </a:t>
                                  </a:r>
                                </a:p>
                                <a:p>
                                  <a:pPr marL="341313" indent="-233363">
                                    <a:buFontTx/>
                                    <a:buChar char="•"/>
                                    <a:tabLst>
                                      <a:tab pos="403225" algn="l"/>
                                    </a:tabLst>
                                  </a:pPr>
                                  <a:r>
                                    <a:rPr lang="en-US" sz="1000" dirty="0">
                                      <a:latin typeface="Arial" pitchFamily="34" charset="0"/>
                                      <a:cs typeface="Arial" pitchFamily="34" charset="0"/>
                                    </a:rPr>
                                    <a:t>Position Management</a:t>
                                  </a:r>
                                </a:p>
                                <a:p>
                                  <a:pPr marL="341313" indent="-233363">
                                    <a:buFontTx/>
                                    <a:buChar char="•"/>
                                    <a:tabLst>
                                      <a:tab pos="403225" algn="l"/>
                                    </a:tabLst>
                                  </a:pPr>
                                  <a:r>
                                    <a:rPr lang="en-US" sz="1000" dirty="0">
                                      <a:latin typeface="Arial" pitchFamily="34" charset="0"/>
                                      <a:cs typeface="Arial" pitchFamily="34" charset="0"/>
                                    </a:rPr>
                                    <a:t>Trade Events</a:t>
                                  </a:r>
                                </a:p>
                              </a:txBody>
                              <a:useSpRect/>
                            </a:txSp>
                            <a:style>
                              <a:lnRef idx="1">
                                <a:schemeClr val="accent4"/>
                              </a:lnRef>
                              <a:fillRef idx="2">
                                <a:schemeClr val="accent4"/>
                              </a:fillRef>
                              <a:effectRef idx="1">
                                <a:schemeClr val="accent4"/>
                              </a:effectRef>
                              <a:fontRef idx="minor">
                                <a:schemeClr val="dk1"/>
                              </a:fontRef>
                            </a:style>
                          </a:sp>
                          <a:sp>
                            <a:nvSpPr>
                              <a:cNvPr id="1118214" name="Rectangle 6"/>
                              <a:cNvSpPr>
                                <a:spLocks noChangeArrowheads="1"/>
                              </a:cNvSpPr>
                            </a:nvSpPr>
                            <a:spPr bwMode="auto">
                              <a:xfrm>
                                <a:off x="2058" y="3118"/>
                                <a:ext cx="1446" cy="956"/>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marL="341313" indent="-233363">
                                    <a:buFontTx/>
                                    <a:buChar char="•"/>
                                  </a:pPr>
                                  <a:r>
                                    <a:rPr lang="en-US" sz="1000" dirty="0" smtClean="0">
                                      <a:latin typeface="Arial" pitchFamily="34" charset="0"/>
                                      <a:cs typeface="Arial" pitchFamily="34" charset="0"/>
                                    </a:rPr>
                                    <a:t>Position Management</a:t>
                                  </a:r>
                                  <a:endParaRPr lang="en-US" sz="1000" dirty="0">
                                    <a:latin typeface="Arial" pitchFamily="34" charset="0"/>
                                    <a:cs typeface="Arial" pitchFamily="34" charset="0"/>
                                  </a:endParaRPr>
                                </a:p>
                                <a:p>
                                  <a:pPr marL="341313" indent="-233363">
                                    <a:buFontTx/>
                                    <a:buChar char="•"/>
                                  </a:pPr>
                                  <a:r>
                                    <a:rPr lang="en-US" sz="1000" dirty="0">
                                      <a:latin typeface="Arial" pitchFamily="34" charset="0"/>
                                      <a:cs typeface="Arial" pitchFamily="34" charset="0"/>
                                    </a:rPr>
                                    <a:t>P&amp;L Analysis</a:t>
                                  </a:r>
                                </a:p>
                                <a:p>
                                  <a:pPr marL="341313" indent="-233363">
                                    <a:buFontTx/>
                                    <a:buChar char="•"/>
                                  </a:pPr>
                                  <a:r>
                                    <a:rPr lang="en-US" sz="1000" dirty="0">
                                      <a:latin typeface="Arial" pitchFamily="34" charset="0"/>
                                      <a:cs typeface="Arial" pitchFamily="34" charset="0"/>
                                    </a:rPr>
                                    <a:t>Limit Management</a:t>
                                  </a:r>
                                </a:p>
                                <a:p>
                                  <a:pPr marL="341313" indent="-233363">
                                    <a:buFontTx/>
                                    <a:buChar char="•"/>
                                  </a:pPr>
                                  <a:r>
                                    <a:rPr lang="en-US" sz="1000" dirty="0">
                                      <a:latin typeface="Arial" pitchFamily="34" charset="0"/>
                                      <a:cs typeface="Arial" pitchFamily="34" charset="0"/>
                                    </a:rPr>
                                    <a:t>Hedge Recommendation</a:t>
                                  </a:r>
                                </a:p>
                              </a:txBody>
                              <a:useSpRect/>
                            </a:txSp>
                            <a:style>
                              <a:lnRef idx="1">
                                <a:schemeClr val="accent4"/>
                              </a:lnRef>
                              <a:fillRef idx="2">
                                <a:schemeClr val="accent4"/>
                              </a:fillRef>
                              <a:effectRef idx="1">
                                <a:schemeClr val="accent4"/>
                              </a:effectRef>
                              <a:fontRef idx="minor">
                                <a:schemeClr val="dk1"/>
                              </a:fontRef>
                            </a:style>
                          </a:sp>
                          <a:sp>
                            <a:nvSpPr>
                              <a:cNvPr id="1118215" name="Rectangle 7"/>
                              <a:cNvSpPr>
                                <a:spLocks noChangeArrowheads="1"/>
                              </a:cNvSpPr>
                            </a:nvSpPr>
                            <a:spPr bwMode="auto">
                              <a:xfrm>
                                <a:off x="3628" y="3118"/>
                                <a:ext cx="1412" cy="956"/>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marL="350838" indent="-228600">
                                    <a:buFontTx/>
                                    <a:buChar char="•"/>
                                  </a:pPr>
                                  <a:endParaRPr lang="en-US" sz="100" dirty="0">
                                    <a:latin typeface="Garamond" pitchFamily="18" charset="0"/>
                                  </a:endParaRPr>
                                </a:p>
                                <a:p>
                                  <a:pPr marL="350838" indent="-228600">
                                    <a:buFontTx/>
                                    <a:buChar char="•"/>
                                  </a:pPr>
                                  <a:r>
                                    <a:rPr lang="en-US" sz="1000" dirty="0">
                                      <a:latin typeface="Arial" pitchFamily="34" charset="0"/>
                                      <a:cs typeface="Arial" pitchFamily="34" charset="0"/>
                                    </a:rPr>
                                    <a:t>Configurable Workflow</a:t>
                                  </a:r>
                                </a:p>
                                <a:p>
                                  <a:pPr marL="350838" indent="-228600">
                                    <a:buFontTx/>
                                    <a:buChar char="•"/>
                                  </a:pPr>
                                  <a:r>
                                    <a:rPr lang="en-US" sz="1000" dirty="0">
                                      <a:latin typeface="Arial" pitchFamily="34" charset="0"/>
                                      <a:cs typeface="Arial" pitchFamily="34" charset="0"/>
                                    </a:rPr>
                                    <a:t>Exception Management</a:t>
                                  </a:r>
                                </a:p>
                                <a:p>
                                  <a:pPr marL="350838" indent="-228600">
                                    <a:buFontTx/>
                                    <a:buChar char="•"/>
                                  </a:pPr>
                                  <a:r>
                                    <a:rPr lang="en-US" sz="1000" dirty="0">
                                      <a:latin typeface="Arial" pitchFamily="34" charset="0"/>
                                      <a:cs typeface="Arial" pitchFamily="34" charset="0"/>
                                    </a:rPr>
                                    <a:t>Settlements</a:t>
                                  </a:r>
                                </a:p>
                                <a:p>
                                  <a:pPr marL="350838" indent="-228600">
                                    <a:buFontTx/>
                                    <a:buChar char="•"/>
                                  </a:pPr>
                                  <a:r>
                                    <a:rPr lang="en-US" sz="1000" dirty="0">
                                      <a:latin typeface="Arial" pitchFamily="34" charset="0"/>
                                      <a:cs typeface="Arial" pitchFamily="34" charset="0"/>
                                    </a:rPr>
                                    <a:t>Messages</a:t>
                                  </a:r>
                                </a:p>
                                <a:p>
                                  <a:pPr marL="350838" indent="-228600">
                                    <a:buFontTx/>
                                    <a:buChar char="•"/>
                                  </a:pPr>
                                  <a:r>
                                    <a:rPr lang="en-US" sz="1000" dirty="0">
                                      <a:latin typeface="Arial" pitchFamily="34" charset="0"/>
                                      <a:cs typeface="Arial" pitchFamily="34" charset="0"/>
                                    </a:rPr>
                                    <a:t>Corporate Actions</a:t>
                                  </a:r>
                                </a:p>
                                <a:p>
                                  <a:pPr marL="350838" indent="-228600">
                                    <a:buFontTx/>
                                    <a:buChar char="•"/>
                                  </a:pPr>
                                  <a:r>
                                    <a:rPr lang="en-US" sz="1000" dirty="0">
                                      <a:latin typeface="Arial" pitchFamily="34" charset="0"/>
                                      <a:cs typeface="Arial" pitchFamily="34" charset="0"/>
                                    </a:rPr>
                                    <a:t>Accounting </a:t>
                                  </a:r>
                                </a:p>
                                <a:p>
                                  <a:pPr marL="350838" indent="-228600">
                                    <a:buFontTx/>
                                    <a:buChar char="•"/>
                                  </a:pPr>
                                  <a:r>
                                    <a:rPr lang="en-US" sz="1000" dirty="0">
                                      <a:latin typeface="Arial" pitchFamily="34" charset="0"/>
                                      <a:cs typeface="Arial" pitchFamily="34" charset="0"/>
                                    </a:rPr>
                                    <a:t>Collateral Management</a:t>
                                  </a:r>
                                </a:p>
                                <a:p>
                                  <a:pPr marL="350838" indent="-228600">
                                    <a:buFontTx/>
                                    <a:buChar char="•"/>
                                  </a:pPr>
                                  <a:r>
                                    <a:rPr lang="en-US" sz="1000" dirty="0" smtClean="0">
                                      <a:latin typeface="Arial" pitchFamily="34" charset="0"/>
                                      <a:cs typeface="Arial" pitchFamily="34" charset="0"/>
                                    </a:rPr>
                                    <a:t>Reporting</a:t>
                                  </a:r>
                                  <a:endParaRPr lang="en-US" sz="1000" dirty="0">
                                    <a:latin typeface="Arial" pitchFamily="34" charset="0"/>
                                    <a:cs typeface="Arial" pitchFamily="34" charset="0"/>
                                  </a:endParaRPr>
                                </a:p>
                              </a:txBody>
                              <a:useSpRect/>
                            </a:txSp>
                            <a:style>
                              <a:lnRef idx="1">
                                <a:schemeClr val="accent4"/>
                              </a:lnRef>
                              <a:fillRef idx="2">
                                <a:schemeClr val="accent4"/>
                              </a:fillRef>
                              <a:effectRef idx="1">
                                <a:schemeClr val="accent4"/>
                              </a:effectRef>
                              <a:fontRef idx="minor">
                                <a:schemeClr val="dk1"/>
                              </a:fontRef>
                            </a:style>
                          </a:sp>
                          <a:sp>
                            <a:nvSpPr>
                              <a:cNvPr id="1118216" name="AutoShape 8"/>
                              <a:cNvSpPr>
                                <a:spLocks noChangeArrowheads="1"/>
                              </a:cNvSpPr>
                            </a:nvSpPr>
                            <a:spPr bwMode="auto">
                              <a:xfrm>
                                <a:off x="510" y="2928"/>
                                <a:ext cx="1440" cy="192"/>
                              </a:xfrm>
                              <a:prstGeom prst="roundRect">
                                <a:avLst>
                                  <a:gd name="adj" fmla="val 16667"/>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b="1" dirty="0">
                                      <a:solidFill>
                                        <a:schemeClr val="accent2"/>
                                      </a:solidFill>
                                      <a:latin typeface="Garamond" pitchFamily="18" charset="0"/>
                                    </a:rPr>
                                    <a:t>TRADING</a:t>
                                  </a:r>
                                  <a:endParaRPr lang="en-US" dirty="0">
                                    <a:latin typeface="Garamond" pitchFamily="18" charset="0"/>
                                  </a:endParaRPr>
                                </a:p>
                              </a:txBody>
                              <a:useSpRect/>
                            </a:txSp>
                            <a:style>
                              <a:lnRef idx="1">
                                <a:schemeClr val="accent4"/>
                              </a:lnRef>
                              <a:fillRef idx="2">
                                <a:schemeClr val="accent4"/>
                              </a:fillRef>
                              <a:effectRef idx="1">
                                <a:schemeClr val="accent4"/>
                              </a:effectRef>
                              <a:fontRef idx="minor">
                                <a:schemeClr val="dk1"/>
                              </a:fontRef>
                            </a:style>
                          </a:sp>
                          <a:sp>
                            <a:nvSpPr>
                              <a:cNvPr id="1118217" name="AutoShape 9"/>
                              <a:cNvSpPr>
                                <a:spLocks noChangeArrowheads="1"/>
                              </a:cNvSpPr>
                            </a:nvSpPr>
                            <a:spPr bwMode="auto">
                              <a:xfrm>
                                <a:off x="2058" y="2934"/>
                                <a:ext cx="1440" cy="192"/>
                              </a:xfrm>
                              <a:prstGeom prst="roundRect">
                                <a:avLst>
                                  <a:gd name="adj" fmla="val 16667"/>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b="1">
                                      <a:solidFill>
                                        <a:schemeClr val="accent2"/>
                                      </a:solidFill>
                                      <a:latin typeface="Garamond" pitchFamily="18" charset="0"/>
                                    </a:rPr>
                                    <a:t>RISK</a:t>
                                  </a:r>
                                  <a:r>
                                    <a:rPr lang="en-US">
                                      <a:latin typeface="Garamond" pitchFamily="18" charset="0"/>
                                    </a:rPr>
                                    <a:t> </a:t>
                                  </a:r>
                                </a:p>
                              </a:txBody>
                              <a:useSpRect/>
                            </a:txSp>
                            <a:style>
                              <a:lnRef idx="1">
                                <a:schemeClr val="accent4"/>
                              </a:lnRef>
                              <a:fillRef idx="2">
                                <a:schemeClr val="accent4"/>
                              </a:fillRef>
                              <a:effectRef idx="1">
                                <a:schemeClr val="accent4"/>
                              </a:effectRef>
                              <a:fontRef idx="minor">
                                <a:schemeClr val="dk1"/>
                              </a:fontRef>
                            </a:style>
                          </a:sp>
                          <a:sp>
                            <a:nvSpPr>
                              <a:cNvPr id="1118218" name="AutoShape 10"/>
                              <a:cNvSpPr>
                                <a:spLocks noChangeArrowheads="1"/>
                              </a:cNvSpPr>
                            </a:nvSpPr>
                            <a:spPr bwMode="auto">
                              <a:xfrm>
                                <a:off x="3606" y="2928"/>
                                <a:ext cx="1440" cy="192"/>
                              </a:xfrm>
                              <a:prstGeom prst="roundRect">
                                <a:avLst>
                                  <a:gd name="adj" fmla="val 16667"/>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b="1">
                                      <a:solidFill>
                                        <a:schemeClr val="accent2"/>
                                      </a:solidFill>
                                      <a:latin typeface="Garamond" pitchFamily="18" charset="0"/>
                                    </a:rPr>
                                    <a:t>PROCESSING</a:t>
                                  </a:r>
                                  <a:endParaRPr lang="en-US">
                                    <a:latin typeface="Garamond" pitchFamily="18" charset="0"/>
                                  </a:endParaRPr>
                                </a:p>
                              </a:txBody>
                              <a:useSpRect/>
                            </a:txSp>
                            <a:style>
                              <a:lnRef idx="1">
                                <a:schemeClr val="accent4"/>
                              </a:lnRef>
                              <a:fillRef idx="2">
                                <a:schemeClr val="accent4"/>
                              </a:fillRef>
                              <a:effectRef idx="1">
                                <a:schemeClr val="accent4"/>
                              </a:effectRef>
                              <a:fontRef idx="minor">
                                <a:schemeClr val="dk1"/>
                              </a:fontRef>
                            </a:style>
                          </a:sp>
                        </a:grpSp>
                        <a:sp>
                          <a:nvSpPr>
                            <a:cNvPr id="1118219" name="Rectangle 11"/>
                            <a:cNvSpPr>
                              <a:spLocks noChangeArrowheads="1"/>
                            </a:cNvSpPr>
                          </a:nvSpPr>
                          <a:spPr bwMode="auto">
                            <a:xfrm>
                              <a:off x="247650" y="1573213"/>
                              <a:ext cx="7829550" cy="2819400"/>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endParaRPr lang="en-US"/>
                              </a:p>
                            </a:txBody>
                            <a:useSpRect/>
                          </a:txSp>
                          <a:style>
                            <a:lnRef idx="1">
                              <a:schemeClr val="accent4"/>
                            </a:lnRef>
                            <a:fillRef idx="2">
                              <a:schemeClr val="accent4"/>
                            </a:fillRef>
                            <a:effectRef idx="1">
                              <a:schemeClr val="accent4"/>
                            </a:effectRef>
                            <a:fontRef idx="minor">
                              <a:schemeClr val="dk1"/>
                            </a:fontRef>
                          </a:style>
                        </a:sp>
                        <a:grpSp>
                          <a:nvGrpSpPr>
                            <a:cNvPr id="1118220" name="Group 12"/>
                            <a:cNvGrpSpPr>
                              <a:grpSpLocks/>
                            </a:cNvGrpSpPr>
                          </a:nvGrpSpPr>
                          <a:grpSpPr bwMode="auto">
                            <a:xfrm>
                              <a:off x="257175" y="763588"/>
                              <a:ext cx="8658225" cy="304800"/>
                              <a:chOff x="78" y="672"/>
                              <a:chExt cx="5568" cy="192"/>
                            </a:xfrm>
                          </a:grpSpPr>
                          <a:sp>
                            <a:nvSpPr>
                              <a:cNvPr id="1118221" name="Rectangle 13"/>
                              <a:cNvSpPr>
                                <a:spLocks noChangeArrowheads="1"/>
                              </a:cNvSpPr>
                            </a:nvSpPr>
                            <a:spPr bwMode="auto">
                              <a:xfrm>
                                <a:off x="78"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smtClean="0">
                                      <a:cs typeface="Arial" pitchFamily="34" charset="0"/>
                                    </a:rPr>
                                    <a:t>Global banks</a:t>
                                  </a:r>
                                  <a:endParaRPr lang="en-US" sz="1200" b="1" dirty="0">
                                    <a:cs typeface="Arial" pitchFamily="34" charset="0"/>
                                  </a:endParaRPr>
                                </a:p>
                              </a:txBody>
                              <a:useSpRect/>
                            </a:txSp>
                            <a:style>
                              <a:lnRef idx="1">
                                <a:schemeClr val="accent6"/>
                              </a:lnRef>
                              <a:fillRef idx="2">
                                <a:schemeClr val="accent6"/>
                              </a:fillRef>
                              <a:effectRef idx="1">
                                <a:schemeClr val="accent6"/>
                              </a:effectRef>
                              <a:fontRef idx="minor">
                                <a:schemeClr val="dk1"/>
                              </a:fontRef>
                            </a:style>
                          </a:sp>
                          <a:sp>
                            <a:nvSpPr>
                              <a:cNvPr id="1118222" name="Rectangle 14"/>
                              <a:cNvSpPr>
                                <a:spLocks noChangeArrowheads="1"/>
                              </a:cNvSpPr>
                            </a:nvSpPr>
                            <a:spPr bwMode="auto">
                              <a:xfrm>
                                <a:off x="1200"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smtClean="0">
                                      <a:cs typeface="Arial" pitchFamily="34" charset="0"/>
                                    </a:rPr>
                                    <a:t>Financial Institutions</a:t>
                                  </a:r>
                                  <a:endParaRPr lang="en-US" sz="1200" b="1" dirty="0">
                                    <a:cs typeface="Arial" pitchFamily="34" charset="0"/>
                                  </a:endParaRPr>
                                </a:p>
                              </a:txBody>
                              <a:useSpRect/>
                            </a:txSp>
                            <a:style>
                              <a:lnRef idx="1">
                                <a:schemeClr val="accent6"/>
                              </a:lnRef>
                              <a:fillRef idx="2">
                                <a:schemeClr val="accent6"/>
                              </a:fillRef>
                              <a:effectRef idx="1">
                                <a:schemeClr val="accent6"/>
                              </a:effectRef>
                              <a:fontRef idx="minor">
                                <a:schemeClr val="dk1"/>
                              </a:fontRef>
                            </a:style>
                          </a:sp>
                          <a:sp>
                            <a:nvSpPr>
                              <a:cNvPr id="1118223" name="Rectangle 15"/>
                              <a:cNvSpPr>
                                <a:spLocks noChangeArrowheads="1"/>
                              </a:cNvSpPr>
                            </a:nvSpPr>
                            <a:spPr bwMode="auto">
                              <a:xfrm>
                                <a:off x="2340"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a:cs typeface="Arial" pitchFamily="34" charset="0"/>
                                    </a:rPr>
                                    <a:t>Brokerage Firms</a:t>
                                  </a:r>
                                </a:p>
                              </a:txBody>
                              <a:useSpRect/>
                            </a:txSp>
                            <a:style>
                              <a:lnRef idx="1">
                                <a:schemeClr val="accent6"/>
                              </a:lnRef>
                              <a:fillRef idx="2">
                                <a:schemeClr val="accent6"/>
                              </a:fillRef>
                              <a:effectRef idx="1">
                                <a:schemeClr val="accent6"/>
                              </a:effectRef>
                              <a:fontRef idx="minor">
                                <a:schemeClr val="dk1"/>
                              </a:fontRef>
                            </a:style>
                          </a:sp>
                          <a:sp>
                            <a:nvSpPr>
                              <a:cNvPr id="1118224" name="Rectangle 16"/>
                              <a:cNvSpPr>
                                <a:spLocks noChangeArrowheads="1"/>
                              </a:cNvSpPr>
                            </a:nvSpPr>
                            <a:spPr bwMode="auto">
                              <a:xfrm>
                                <a:off x="3468"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a:cs typeface="Arial" pitchFamily="34" charset="0"/>
                                    </a:rPr>
                                    <a:t>Hedge Funds</a:t>
                                  </a:r>
                                </a:p>
                              </a:txBody>
                              <a:useSpRect/>
                            </a:txSp>
                            <a:style>
                              <a:lnRef idx="1">
                                <a:schemeClr val="accent6"/>
                              </a:lnRef>
                              <a:fillRef idx="2">
                                <a:schemeClr val="accent6"/>
                              </a:fillRef>
                              <a:effectRef idx="1">
                                <a:schemeClr val="accent6"/>
                              </a:effectRef>
                              <a:fontRef idx="minor">
                                <a:schemeClr val="dk1"/>
                              </a:fontRef>
                            </a:style>
                          </a:sp>
                          <a:sp>
                            <a:nvSpPr>
                              <a:cNvPr id="1118225" name="Rectangle 17"/>
                              <a:cNvSpPr>
                                <a:spLocks noChangeArrowheads="1"/>
                              </a:cNvSpPr>
                            </a:nvSpPr>
                            <a:spPr bwMode="auto">
                              <a:xfrm>
                                <a:off x="4590" y="672"/>
                                <a:ext cx="1056" cy="192"/>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200" b="1" dirty="0">
                                      <a:cs typeface="Arial" pitchFamily="34" charset="0"/>
                                    </a:rPr>
                                    <a:t>Asset Management Co</a:t>
                                  </a:r>
                                  <a:r>
                                    <a:rPr lang="en-US" sz="1200" b="1" dirty="0">
                                      <a:latin typeface="Garamond" pitchFamily="18" charset="0"/>
                                    </a:rPr>
                                    <a:t>.</a:t>
                                  </a:r>
                                </a:p>
                              </a:txBody>
                              <a:useSpRect/>
                            </a:txSp>
                            <a:style>
                              <a:lnRef idx="1">
                                <a:schemeClr val="accent6"/>
                              </a:lnRef>
                              <a:fillRef idx="2">
                                <a:schemeClr val="accent6"/>
                              </a:fillRef>
                              <a:effectRef idx="1">
                                <a:schemeClr val="accent6"/>
                              </a:effectRef>
                              <a:fontRef idx="minor">
                                <a:schemeClr val="dk1"/>
                              </a:fontRef>
                            </a:style>
                          </a:sp>
                        </a:grpSp>
                        <a:sp>
                          <a:nvSpPr>
                            <a:cNvPr id="1118226" name="AutoShape 18"/>
                            <a:cNvSpPr>
                              <a:spLocks noChangeArrowheads="1"/>
                            </a:cNvSpPr>
                          </a:nvSpPr>
                          <a:spPr bwMode="auto">
                            <a:xfrm>
                              <a:off x="3352800" y="1219200"/>
                              <a:ext cx="2286000" cy="304800"/>
                            </a:xfrm>
                            <a:prstGeom prst="flowChartAlternateProcess">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600" b="1" dirty="0">
                                    <a:cs typeface="Arial" pitchFamily="34" charset="0"/>
                                  </a:rPr>
                                  <a:t>Architecture</a:t>
                                </a:r>
                              </a:p>
                            </a:txBody>
                            <a:useSpRect/>
                          </a:txSp>
                          <a:style>
                            <a:lnRef idx="1">
                              <a:schemeClr val="accent6"/>
                            </a:lnRef>
                            <a:fillRef idx="2">
                              <a:schemeClr val="accent6"/>
                            </a:fillRef>
                            <a:effectRef idx="1">
                              <a:schemeClr val="accent6"/>
                            </a:effectRef>
                            <a:fontRef idx="minor">
                              <a:schemeClr val="dk1"/>
                            </a:fontRef>
                          </a:style>
                        </a:sp>
                        <a:sp>
                          <a:nvSpPr>
                            <a:cNvPr id="1118227" name="Rectangle 19"/>
                            <a:cNvSpPr>
                              <a:spLocks noChangeArrowheads="1"/>
                            </a:cNvSpPr>
                          </a:nvSpPr>
                          <a:spPr bwMode="auto">
                            <a:xfrm>
                              <a:off x="381000" y="1878013"/>
                              <a:ext cx="609600" cy="2286000"/>
                            </a:xfrm>
                            <a:prstGeom prst="rect">
                              <a:avLst/>
                            </a:prstGeom>
                            <a:solidFill>
                              <a:srgbClr val="969696">
                                <a:alpha val="50000"/>
                              </a:srgbClr>
                            </a:solidFill>
                            <a:ln w="19050" algn="ctr">
                              <a:solidFill>
                                <a:srgbClr val="808080"/>
                              </a:solidFill>
                              <a:prstDash val="sysDot"/>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a:p>
                            </a:txBody>
                            <a:useSpRect/>
                          </a:txSp>
                        </a:sp>
                        <a:sp>
                          <a:nvSpPr>
                            <a:cNvPr id="1118228" name="Text Box 20"/>
                            <a:cNvSpPr txBox="1">
                              <a:spLocks noChangeArrowheads="1"/>
                            </a:cNvSpPr>
                          </a:nvSpPr>
                          <a:spPr bwMode="auto">
                            <a:xfrm rot="10800000">
                              <a:off x="329541" y="2030413"/>
                              <a:ext cx="661720" cy="1905000"/>
                            </a:xfrm>
                            <a:prstGeom prst="rect">
                              <a:avLst/>
                            </a:prstGeom>
                            <a:noFill/>
                            <a:ln w="9525">
                              <a:noFill/>
                              <a:miter lim="800000"/>
                              <a:headEnd/>
                              <a:tailEnd/>
                            </a:ln>
                            <a:effectLst/>
                          </a:spPr>
                          <a:txSp>
                            <a:txBody>
                              <a:bodyPr vert="eaVert">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600" b="1" dirty="0">
                                    <a:cs typeface="Arial" pitchFamily="34" charset="0"/>
                                  </a:rPr>
                                  <a:t>Calypso Gateway</a:t>
                                </a:r>
                              </a:p>
                              <a:p>
                                <a:pPr algn="ctr">
                                  <a:spcBef>
                                    <a:spcPct val="50000"/>
                                  </a:spcBef>
                                </a:pPr>
                                <a:r>
                                  <a:rPr lang="en-US" sz="1000" b="1" dirty="0">
                                    <a:cs typeface="Arial" pitchFamily="34" charset="0"/>
                                  </a:rPr>
                                  <a:t>Receiver &amp; Sender</a:t>
                                </a:r>
                              </a:p>
                            </a:txBody>
                            <a:useSpRect/>
                          </a:txSp>
                        </a:sp>
                        <a:sp>
                          <a:nvSpPr>
                            <a:cNvPr id="1118229" name="AutoShape 21"/>
                            <a:cNvSpPr>
                              <a:spLocks noChangeArrowheads="1"/>
                            </a:cNvSpPr>
                          </a:nvSpPr>
                          <a:spPr bwMode="auto">
                            <a:xfrm>
                              <a:off x="1447800" y="2363788"/>
                              <a:ext cx="2590800" cy="1266825"/>
                            </a:xfrm>
                            <a:prstGeom prst="roundRect">
                              <a:avLst>
                                <a:gd name="adj" fmla="val 16667"/>
                              </a:avLst>
                            </a:prstGeom>
                            <a:solidFill>
                              <a:srgbClr val="C0C0C0"/>
                            </a:solidFill>
                            <a:ln w="15875">
                              <a:solidFill>
                                <a:srgbClr val="333333"/>
                              </a:solidFill>
                              <a:prstDash val="dash"/>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b="1" dirty="0">
                                    <a:cs typeface="Arial" pitchFamily="34" charset="0"/>
                                  </a:rPr>
                                  <a:t>Client</a:t>
                                </a:r>
                                <a:r>
                                  <a:rPr lang="en-US" b="1" dirty="0">
                                    <a:latin typeface="Garamond" pitchFamily="18" charset="0"/>
                                  </a:rPr>
                                  <a:t> </a:t>
                                </a:r>
                                <a:r>
                                  <a:rPr lang="en-US" b="1" dirty="0">
                                    <a:cs typeface="Arial" pitchFamily="34" charset="0"/>
                                  </a:rPr>
                                  <a:t>Java</a:t>
                                </a:r>
                                <a:r>
                                  <a:rPr lang="en-US" b="1" dirty="0">
                                    <a:latin typeface="Garamond" pitchFamily="18" charset="0"/>
                                  </a:rPr>
                                  <a:t> </a:t>
                                </a:r>
                                <a:r>
                                  <a:rPr lang="en-US" b="1" dirty="0">
                                    <a:cs typeface="Arial" pitchFamily="34" charset="0"/>
                                  </a:rPr>
                                  <a:t>Applications</a:t>
                                </a:r>
                              </a:p>
                              <a:p>
                                <a:pPr algn="ctr"/>
                                <a:endParaRPr lang="en-US" sz="1600" b="1" dirty="0">
                                  <a:latin typeface="Garamond" pitchFamily="18" charset="0"/>
                                </a:endParaRPr>
                              </a:p>
                              <a:p>
                                <a:pPr algn="ctr"/>
                                <a:endParaRPr lang="en-US" sz="1600" b="1" dirty="0">
                                  <a:latin typeface="Garamond" pitchFamily="18" charset="0"/>
                                </a:endParaRPr>
                              </a:p>
                              <a:p>
                                <a:pPr algn="ctr"/>
                                <a:endParaRPr lang="en-US" sz="1600" b="1" dirty="0">
                                  <a:latin typeface="Garamond" pitchFamily="18" charset="0"/>
                                </a:endParaRPr>
                              </a:p>
                              <a:p>
                                <a:pPr algn="ctr"/>
                                <a:endParaRPr lang="en-US" sz="1600" b="1" dirty="0">
                                  <a:latin typeface="Garamond" pitchFamily="18" charset="0"/>
                                </a:endParaRPr>
                              </a:p>
                            </a:txBody>
                            <a:useSpRect/>
                          </a:txSp>
                        </a:sp>
                        <a:sp>
                          <a:nvSpPr>
                            <a:cNvPr id="1118230" name="AutoShape 22"/>
                            <a:cNvSpPr>
                              <a:spLocks noChangeArrowheads="1"/>
                            </a:cNvSpPr>
                          </a:nvSpPr>
                          <a:spPr bwMode="auto">
                            <a:xfrm>
                              <a:off x="4648200" y="2335213"/>
                              <a:ext cx="2819400" cy="1524000"/>
                            </a:xfrm>
                            <a:prstGeom prst="roundRect">
                              <a:avLst>
                                <a:gd name="adj" fmla="val 16667"/>
                              </a:avLst>
                            </a:prstGeom>
                            <a:solidFill>
                              <a:srgbClr val="C0C0C0"/>
                            </a:solidFill>
                            <a:ln w="15875">
                              <a:solidFill>
                                <a:srgbClr val="333333"/>
                              </a:solidFill>
                              <a:prstDash val="dash"/>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b="1" dirty="0">
                                    <a:cs typeface="Arial" pitchFamily="34" charset="0"/>
                                  </a:rPr>
                                  <a:t>Server Java Applications</a:t>
                                </a: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p>
                                <a:pPr algn="ctr"/>
                                <a:endParaRPr lang="en-US" b="1" dirty="0">
                                  <a:latin typeface="Garamond" pitchFamily="18" charset="0"/>
                                </a:endParaRPr>
                              </a:p>
                            </a:txBody>
                            <a:useSpRect/>
                          </a:txSp>
                        </a:sp>
                        <a:sp>
                          <a:nvSpPr>
                            <a:cNvPr id="1118231" name="Rectangle 23"/>
                            <a:cNvSpPr>
                              <a:spLocks noChangeArrowheads="1"/>
                            </a:cNvSpPr>
                          </a:nvSpPr>
                          <a:spPr bwMode="auto">
                            <a:xfrm>
                              <a:off x="7607300" y="1878013"/>
                              <a:ext cx="381000" cy="2286000"/>
                            </a:xfrm>
                            <a:prstGeom prst="rect">
                              <a:avLst/>
                            </a:prstGeom>
                            <a:solidFill>
                              <a:srgbClr val="969696">
                                <a:alpha val="50000"/>
                              </a:srgbClr>
                            </a:solidFill>
                            <a:ln w="19050" algn="ctr">
                              <a:solidFill>
                                <a:srgbClr val="808080"/>
                              </a:solidFill>
                              <a:prstDash val="sysDot"/>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a:p>
                            </a:txBody>
                            <a:useSpRect/>
                          </a:txSp>
                        </a:sp>
                        <a:sp>
                          <a:nvSpPr>
                            <a:cNvPr id="1118237" name="AutoShape 29"/>
                            <a:cNvSpPr>
                              <a:spLocks noChangeArrowheads="1"/>
                            </a:cNvSpPr>
                          </a:nvSpPr>
                          <a:spPr bwMode="auto">
                            <a:xfrm>
                              <a:off x="1600200" y="2640013"/>
                              <a:ext cx="2286000" cy="914400"/>
                            </a:xfrm>
                            <a:prstGeom prst="roundRect">
                              <a:avLst>
                                <a:gd name="adj" fmla="val 16667"/>
                              </a:avLst>
                            </a:prstGeom>
                            <a:solidFill>
                              <a:schemeClr val="bg1"/>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38" name="AutoShape 30"/>
                            <a:cNvSpPr>
                              <a:spLocks noChangeArrowheads="1"/>
                            </a:cNvSpPr>
                          </a:nvSpPr>
                          <a:spPr bwMode="auto">
                            <a:xfrm>
                              <a:off x="1666875" y="2706688"/>
                              <a:ext cx="2143125"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txBody>
                            <a:useSpRect/>
                          </a:txSp>
                        </a:sp>
                        <a:sp>
                          <a:nvSpPr>
                            <a:cNvPr id="1118239" name="AutoShape 31"/>
                            <a:cNvSpPr>
                              <a:spLocks noChangeArrowheads="1"/>
                            </a:cNvSpPr>
                          </a:nvSpPr>
                          <a:spPr bwMode="auto">
                            <a:xfrm>
                              <a:off x="1676400" y="2982913"/>
                              <a:ext cx="2143125"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txBody>
                            <a:useSpRect/>
                          </a:txSp>
                        </a:sp>
                        <a:sp>
                          <a:nvSpPr>
                            <a:cNvPr id="1118240" name="AutoShape 32"/>
                            <a:cNvSpPr>
                              <a:spLocks noChangeArrowheads="1"/>
                            </a:cNvSpPr>
                          </a:nvSpPr>
                          <a:spPr bwMode="auto">
                            <a:xfrm>
                              <a:off x="1666875" y="3259138"/>
                              <a:ext cx="2143125"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p>
                                <a:pPr algn="ctr"/>
                                <a:endParaRPr lang="en-US" sz="1600" b="1">
                                  <a:latin typeface="Garamond" pitchFamily="18" charset="0"/>
                                </a:endParaRPr>
                              </a:p>
                            </a:txBody>
                            <a:useSpRect/>
                          </a:txSp>
                        </a:sp>
                        <a:sp>
                          <a:nvSpPr>
                            <a:cNvPr id="1118241" name="Text Box 33"/>
                            <a:cNvSpPr txBox="1">
                              <a:spLocks noChangeArrowheads="1"/>
                            </a:cNvSpPr>
                          </a:nvSpPr>
                          <a:spPr bwMode="auto">
                            <a:xfrm>
                              <a:off x="2085975" y="2687638"/>
                              <a:ext cx="1352550" cy="274637"/>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Front</a:t>
                                </a:r>
                                <a:r>
                                  <a:rPr lang="en-US" sz="1200" b="1" dirty="0">
                                    <a:latin typeface="Garamond" pitchFamily="18" charset="0"/>
                                  </a:rPr>
                                  <a:t> </a:t>
                                </a:r>
                                <a:r>
                                  <a:rPr lang="en-US" sz="1200" b="1" dirty="0">
                                    <a:cs typeface="Arial" pitchFamily="34" charset="0"/>
                                  </a:rPr>
                                  <a:t>Office</a:t>
                                </a:r>
                              </a:p>
                            </a:txBody>
                            <a:useSpRect/>
                          </a:txSp>
                        </a:sp>
                        <a:sp>
                          <a:nvSpPr>
                            <a:cNvPr id="1118242" name="Text Box 34"/>
                            <a:cNvSpPr txBox="1">
                              <a:spLocks noChangeArrowheads="1"/>
                            </a:cNvSpPr>
                          </a:nvSpPr>
                          <a:spPr bwMode="auto">
                            <a:xfrm>
                              <a:off x="2076450" y="2955925"/>
                              <a:ext cx="1352550" cy="274638"/>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Middle</a:t>
                                </a:r>
                                <a:r>
                                  <a:rPr lang="en-US" sz="1200" b="1" dirty="0">
                                    <a:latin typeface="Garamond" pitchFamily="18" charset="0"/>
                                  </a:rPr>
                                  <a:t> </a:t>
                                </a:r>
                                <a:r>
                                  <a:rPr lang="en-US" sz="1200" b="1" dirty="0">
                                    <a:cs typeface="Arial" pitchFamily="34" charset="0"/>
                                  </a:rPr>
                                  <a:t>Office</a:t>
                                </a:r>
                              </a:p>
                            </a:txBody>
                            <a:useSpRect/>
                          </a:txSp>
                        </a:sp>
                        <a:sp>
                          <a:nvSpPr>
                            <a:cNvPr id="1118243" name="Text Box 35"/>
                            <a:cNvSpPr txBox="1">
                              <a:spLocks noChangeArrowheads="1"/>
                            </a:cNvSpPr>
                          </a:nvSpPr>
                          <a:spPr bwMode="auto">
                            <a:xfrm>
                              <a:off x="2085975" y="3230563"/>
                              <a:ext cx="1352550" cy="274637"/>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Back</a:t>
                                </a:r>
                                <a:r>
                                  <a:rPr lang="en-US" sz="1200" b="1" dirty="0">
                                    <a:latin typeface="Garamond" pitchFamily="18" charset="0"/>
                                  </a:rPr>
                                  <a:t> </a:t>
                                </a:r>
                                <a:r>
                                  <a:rPr lang="en-US" sz="1200" b="1" dirty="0">
                                    <a:cs typeface="Arial" pitchFamily="34" charset="0"/>
                                  </a:rPr>
                                  <a:t>Office</a:t>
                                </a:r>
                              </a:p>
                            </a:txBody>
                            <a:useSpRect/>
                          </a:txSp>
                        </a:sp>
                        <a:sp>
                          <a:nvSpPr>
                            <a:cNvPr id="1118244" name="AutoShape 36"/>
                            <a:cNvSpPr>
                              <a:spLocks noChangeArrowheads="1"/>
                            </a:cNvSpPr>
                          </a:nvSpPr>
                          <a:spPr bwMode="auto">
                            <a:xfrm>
                              <a:off x="4724400" y="2640013"/>
                              <a:ext cx="2667000" cy="1143000"/>
                            </a:xfrm>
                            <a:prstGeom prst="roundRect">
                              <a:avLst>
                                <a:gd name="adj" fmla="val 16667"/>
                              </a:avLst>
                            </a:prstGeom>
                            <a:solidFill>
                              <a:schemeClr val="bg1"/>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45" name="AutoShape 37"/>
                            <a:cNvSpPr>
                              <a:spLocks noChangeArrowheads="1"/>
                            </a:cNvSpPr>
                          </a:nvSpPr>
                          <a:spPr bwMode="auto">
                            <a:xfrm>
                              <a:off x="4857750" y="2697163"/>
                              <a:ext cx="1085850"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Engines</a:t>
                                </a:r>
                                <a:endParaRPr lang="en-US" sz="1600" b="1" dirty="0">
                                  <a:cs typeface="Arial" pitchFamily="34" charset="0"/>
                                </a:endParaRPr>
                              </a:p>
                            </a:txBody>
                            <a:useSpRect/>
                          </a:txSp>
                        </a:sp>
                        <a:sp>
                          <a:nvSpPr>
                            <a:cNvPr id="1118246" name="AutoShape 38"/>
                            <a:cNvSpPr>
                              <a:spLocks noChangeArrowheads="1"/>
                            </a:cNvSpPr>
                          </a:nvSpPr>
                          <a:spPr bwMode="auto">
                            <a:xfrm>
                              <a:off x="4800600" y="3021013"/>
                              <a:ext cx="2514600" cy="685800"/>
                            </a:xfrm>
                            <a:prstGeom prst="roundRect">
                              <a:avLst>
                                <a:gd name="adj" fmla="val 16667"/>
                              </a:avLst>
                            </a:prstGeom>
                            <a:solidFill>
                              <a:srgbClr val="C0C0C0"/>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47" name="AutoShape 39"/>
                            <a:cNvSpPr>
                              <a:spLocks noChangeArrowheads="1"/>
                            </a:cNvSpPr>
                          </a:nvSpPr>
                          <a:spPr bwMode="auto">
                            <a:xfrm>
                              <a:off x="4838700" y="3059113"/>
                              <a:ext cx="2439988" cy="609600"/>
                            </a:xfrm>
                            <a:prstGeom prst="roundRect">
                              <a:avLst>
                                <a:gd name="adj" fmla="val 16667"/>
                              </a:avLst>
                            </a:prstGeom>
                            <a:solidFill>
                              <a:schemeClr val="bg1"/>
                            </a:solidFill>
                            <a:ln w="15875">
                              <a:solidFill>
                                <a:schemeClr val="tx1"/>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48" name="AutoShape 40"/>
                            <a:cNvSpPr>
                              <a:spLocks noChangeArrowheads="1"/>
                            </a:cNvSpPr>
                          </a:nvSpPr>
                          <a:spPr bwMode="auto">
                            <a:xfrm>
                              <a:off x="4876800" y="3259138"/>
                              <a:ext cx="1038225" cy="3810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Data</a:t>
                                </a:r>
                                <a:r>
                                  <a:rPr lang="en-US" sz="1200" b="1" dirty="0">
                                    <a:latin typeface="Garamond" pitchFamily="18" charset="0"/>
                                  </a:rPr>
                                  <a:t> </a:t>
                                </a:r>
                                <a:r>
                                  <a:rPr lang="en-US" sz="1200" b="1" dirty="0">
                                    <a:cs typeface="Arial" pitchFamily="34" charset="0"/>
                                  </a:rPr>
                                  <a:t>Server</a:t>
                                </a:r>
                              </a:p>
                            </a:txBody>
                            <a:useSpRect/>
                          </a:txSp>
                        </a:sp>
                        <a:sp>
                          <a:nvSpPr>
                            <a:cNvPr id="1118249" name="AutoShape 41"/>
                            <a:cNvSpPr>
                              <a:spLocks noChangeArrowheads="1"/>
                            </a:cNvSpPr>
                          </a:nvSpPr>
                          <a:spPr bwMode="auto">
                            <a:xfrm>
                              <a:off x="6172200" y="3259138"/>
                              <a:ext cx="1066800" cy="3810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Event</a:t>
                                </a:r>
                                <a:r>
                                  <a:rPr lang="en-US" sz="1200" b="1" dirty="0">
                                    <a:latin typeface="Garamond" pitchFamily="18" charset="0"/>
                                  </a:rPr>
                                  <a:t> </a:t>
                                </a:r>
                                <a:r>
                                  <a:rPr lang="en-US" sz="1200" b="1" dirty="0">
                                    <a:cs typeface="Arial" pitchFamily="34" charset="0"/>
                                  </a:rPr>
                                  <a:t>Server</a:t>
                                </a:r>
                              </a:p>
                            </a:txBody>
                            <a:useSpRect/>
                          </a:txSp>
                        </a:sp>
                        <a:sp>
                          <a:nvSpPr>
                            <a:cNvPr id="1118250" name="AutoShape 42"/>
                            <a:cNvSpPr>
                              <a:spLocks noChangeArrowheads="1"/>
                            </a:cNvSpPr>
                          </a:nvSpPr>
                          <a:spPr bwMode="auto">
                            <a:xfrm>
                              <a:off x="6172200" y="2697163"/>
                              <a:ext cx="1085850" cy="228600"/>
                            </a:xfrm>
                            <a:prstGeom prst="roundRect">
                              <a:avLst>
                                <a:gd name="adj" fmla="val 16667"/>
                              </a:avLst>
                            </a:prstGeom>
                            <a:solidFill>
                              <a:srgbClr val="C0C0C0"/>
                            </a:solidFill>
                            <a:ln w="15875">
                              <a:solidFill>
                                <a:srgbClr val="333333"/>
                              </a:solidFill>
                              <a:prstDash val="sysDot"/>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200" b="1" dirty="0">
                                    <a:cs typeface="Arial" pitchFamily="34" charset="0"/>
                                  </a:rPr>
                                  <a:t>Risk</a:t>
                                </a:r>
                                <a:r>
                                  <a:rPr lang="en-US" sz="1200" b="1" dirty="0">
                                    <a:latin typeface="Garamond" pitchFamily="18" charset="0"/>
                                  </a:rPr>
                                  <a:t> </a:t>
                                </a:r>
                                <a:r>
                                  <a:rPr lang="en-US" sz="1200" b="1" dirty="0">
                                    <a:cs typeface="Arial" pitchFamily="34" charset="0"/>
                                  </a:rPr>
                                  <a:t>Server</a:t>
                                </a:r>
                                <a:endParaRPr lang="en-US" sz="1600" b="1" dirty="0">
                                  <a:cs typeface="Arial" pitchFamily="34" charset="0"/>
                                </a:endParaRPr>
                              </a:p>
                            </a:txBody>
                            <a:useSpRect/>
                          </a:txSp>
                        </a:sp>
                        <a:grpSp>
                          <a:nvGrpSpPr>
                            <a:cNvPr id="1118251" name="Group 43"/>
                            <a:cNvGrpSpPr>
                              <a:grpSpLocks/>
                            </a:cNvGrpSpPr>
                          </a:nvGrpSpPr>
                          <a:grpSpPr bwMode="auto">
                            <a:xfrm>
                              <a:off x="5334000" y="2963863"/>
                              <a:ext cx="92075" cy="285750"/>
                              <a:chOff x="816" y="1104"/>
                              <a:chExt cx="58" cy="136"/>
                            </a:xfrm>
                          </a:grpSpPr>
                          <a:sp>
                            <a:nvSpPr>
                              <a:cNvPr id="1118252" name="AutoShape 44"/>
                              <a:cNvSpPr>
                                <a:spLocks noChangeArrowheads="1"/>
                              </a:cNvSpPr>
                            </a:nvSpPr>
                            <a:spPr bwMode="auto">
                              <a:xfrm>
                                <a:off x="816" y="1182"/>
                                <a:ext cx="58" cy="58"/>
                              </a:xfrm>
                              <a:prstGeom prst="upArrow">
                                <a:avLst>
                                  <a:gd name="adj1" fmla="val 50000"/>
                                  <a:gd name="adj2" fmla="val 25000"/>
                                </a:avLst>
                              </a:prstGeom>
                              <a:solidFill>
                                <a:schemeClr val="tx1"/>
                              </a:solidFill>
                              <a:ln w="9525">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53" name="AutoShape 45"/>
                              <a:cNvSpPr>
                                <a:spLocks noChangeArrowheads="1"/>
                              </a:cNvSpPr>
                            </a:nvSpPr>
                            <a:spPr bwMode="auto">
                              <a:xfrm>
                                <a:off x="816" y="1104"/>
                                <a:ext cx="58" cy="58"/>
                              </a:xfrm>
                              <a:prstGeom prst="downArrow">
                                <a:avLst>
                                  <a:gd name="adj1" fmla="val 50000"/>
                                  <a:gd name="adj2" fmla="val 25000"/>
                                </a:avLst>
                              </a:prstGeom>
                              <a:solidFill>
                                <a:schemeClr val="tx1"/>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grpSp>
                        <a:grpSp>
                          <a:nvGrpSpPr>
                            <a:cNvPr id="1118254" name="Group 46"/>
                            <a:cNvGrpSpPr>
                              <a:grpSpLocks/>
                            </a:cNvGrpSpPr>
                          </a:nvGrpSpPr>
                          <a:grpSpPr bwMode="auto">
                            <a:xfrm>
                              <a:off x="6686550" y="2963863"/>
                              <a:ext cx="92075" cy="285750"/>
                              <a:chOff x="816" y="1104"/>
                              <a:chExt cx="58" cy="136"/>
                            </a:xfrm>
                          </a:grpSpPr>
                          <a:sp>
                            <a:nvSpPr>
                              <a:cNvPr id="1118255" name="AutoShape 47"/>
                              <a:cNvSpPr>
                                <a:spLocks noChangeArrowheads="1"/>
                              </a:cNvSpPr>
                            </a:nvSpPr>
                            <a:spPr bwMode="auto">
                              <a:xfrm>
                                <a:off x="816" y="1182"/>
                                <a:ext cx="58" cy="58"/>
                              </a:xfrm>
                              <a:prstGeom prst="upArrow">
                                <a:avLst>
                                  <a:gd name="adj1" fmla="val 50000"/>
                                  <a:gd name="adj2" fmla="val 25000"/>
                                </a:avLst>
                              </a:prstGeom>
                              <a:solidFill>
                                <a:schemeClr val="tx1"/>
                              </a:solidFill>
                              <a:ln w="9525">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56" name="AutoShape 48"/>
                              <a:cNvSpPr>
                                <a:spLocks noChangeArrowheads="1"/>
                              </a:cNvSpPr>
                            </a:nvSpPr>
                            <a:spPr bwMode="auto">
                              <a:xfrm>
                                <a:off x="816" y="1104"/>
                                <a:ext cx="58" cy="58"/>
                              </a:xfrm>
                              <a:prstGeom prst="downArrow">
                                <a:avLst>
                                  <a:gd name="adj1" fmla="val 50000"/>
                                  <a:gd name="adj2" fmla="val 25000"/>
                                </a:avLst>
                              </a:prstGeom>
                              <a:solidFill>
                                <a:schemeClr val="tx1"/>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grpSp>
                        <a:sp>
                          <a:nvSpPr>
                            <a:cNvPr id="1118257" name="Text Box 49"/>
                            <a:cNvSpPr txBox="1">
                              <a:spLocks noChangeArrowheads="1"/>
                            </a:cNvSpPr>
                          </a:nvSpPr>
                          <a:spPr bwMode="auto">
                            <a:xfrm rot="10800000">
                              <a:off x="7559675" y="2106613"/>
                              <a:ext cx="428625" cy="1905000"/>
                            </a:xfrm>
                            <a:prstGeom prst="rect">
                              <a:avLst/>
                            </a:prstGeom>
                            <a:noFill/>
                            <a:ln w="9525">
                              <a:noFill/>
                              <a:miter lim="800000"/>
                              <a:headEnd/>
                              <a:tailEnd/>
                            </a:ln>
                            <a:effectLst/>
                          </a:spPr>
                          <a:txSp>
                            <a:txBody>
                              <a:bodyPr vert="eaVert">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600" b="1">
                                    <a:latin typeface="Garamond" pitchFamily="18" charset="0"/>
                                  </a:rPr>
                                  <a:t>API</a:t>
                                </a:r>
                                <a:endParaRPr lang="en-US" sz="1000" b="1">
                                  <a:latin typeface="Garamond" pitchFamily="18" charset="0"/>
                                </a:endParaRPr>
                              </a:p>
                            </a:txBody>
                            <a:useSpRect/>
                          </a:txSp>
                        </a:sp>
                        <a:sp>
                          <a:nvSpPr>
                            <a:cNvPr id="1118258" name="Rectangle 50"/>
                            <a:cNvSpPr>
                              <a:spLocks noChangeArrowheads="1"/>
                            </a:cNvSpPr>
                          </a:nvSpPr>
                          <a:spPr bwMode="auto">
                            <a:xfrm>
                              <a:off x="6134100" y="3916363"/>
                              <a:ext cx="914400" cy="457200"/>
                            </a:xfrm>
                            <a:prstGeom prst="rect">
                              <a:avLst/>
                            </a:prstGeom>
                            <a:solidFill>
                              <a:schemeClr val="bg1">
                                <a:alpha val="89000"/>
                              </a:schemeClr>
                            </a:solidFill>
                            <a:ln w="12700" algn="ctr">
                              <a:solidFill>
                                <a:srgbClr val="808080"/>
                              </a:solidFill>
                              <a:prstDash val="sysDot"/>
                              <a:miter lim="800000"/>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endParaRPr lang="en-US" sz="1600"/>
                              </a:p>
                            </a:txBody>
                            <a:useSpRect/>
                          </a:txSp>
                        </a:sp>
                        <a:sp>
                          <a:nvSpPr>
                            <a:cNvPr id="1118259" name="AutoShape 51"/>
                            <a:cNvSpPr>
                              <a:spLocks noChangeArrowheads="1"/>
                            </a:cNvSpPr>
                          </a:nvSpPr>
                          <a:spPr bwMode="auto">
                            <a:xfrm>
                              <a:off x="6743700" y="3992563"/>
                              <a:ext cx="228600" cy="304800"/>
                            </a:xfrm>
                            <a:prstGeom prst="flowChartMagneticDisk">
                              <a:avLst/>
                            </a:prstGeom>
                            <a:solidFill>
                              <a:srgbClr val="969696">
                                <a:alpha val="50000"/>
                              </a:srgbClr>
                            </a:solidFill>
                            <a:ln w="19050">
                              <a:solidFill>
                                <a:srgbClr val="808080"/>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0" name="AutoShape 52"/>
                            <a:cNvSpPr>
                              <a:spLocks noChangeArrowheads="1"/>
                            </a:cNvSpPr>
                          </a:nvSpPr>
                          <a:spPr bwMode="auto">
                            <a:xfrm rot="5400000">
                              <a:off x="5219700" y="3859213"/>
                              <a:ext cx="533400" cy="228600"/>
                            </a:xfrm>
                            <a:custGeom>
                              <a:avLst/>
                              <a:gdLst>
                                <a:gd name="G0" fmla="+- 9257 0 0"/>
                                <a:gd name="G1" fmla="+- 17010 0 0"/>
                                <a:gd name="G2" fmla="+- 9257 0 0"/>
                                <a:gd name="G3" fmla="*/ 9257 1 2"/>
                                <a:gd name="G4" fmla="+- G3 10800 0"/>
                                <a:gd name="G5" fmla="+- 21600 9257 17010"/>
                                <a:gd name="G6" fmla="+- 17010 9257 0"/>
                                <a:gd name="G7" fmla="*/ G6 1 2"/>
                                <a:gd name="G8" fmla="*/ 17010 2 1"/>
                                <a:gd name="G9" fmla="+- G8 0 21600"/>
                                <a:gd name="G10" fmla="*/ 21600 G0 G1"/>
                                <a:gd name="G11" fmla="*/ 21600 G4 G1"/>
                                <a:gd name="G12" fmla="*/ 21600 G5 G1"/>
                                <a:gd name="G13" fmla="*/ 21600 G7 G1"/>
                                <a:gd name="G14" fmla="*/ 17010 1 2"/>
                                <a:gd name="G15" fmla="+- G5 0 G4"/>
                                <a:gd name="G16" fmla="+- G0 0 G4"/>
                                <a:gd name="G17" fmla="*/ G2 G15 G16"/>
                                <a:gd name="T0" fmla="*/ 15429 w 21600"/>
                                <a:gd name="T1" fmla="*/ 0 h 21600"/>
                                <a:gd name="T2" fmla="*/ 9257 w 21600"/>
                                <a:gd name="T3" fmla="*/ 9257 h 21600"/>
                                <a:gd name="T4" fmla="*/ 0 w 21600"/>
                                <a:gd name="T5" fmla="*/ 19592 h 21600"/>
                                <a:gd name="T6" fmla="*/ 8505 w 21600"/>
                                <a:gd name="T7" fmla="*/ 21600 h 21600"/>
                                <a:gd name="T8" fmla="*/ 17010 w 21600"/>
                                <a:gd name="T9" fmla="*/ 16678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3847" y="9257"/>
                                  </a:lnTo>
                                  <a:lnTo>
                                    <a:pt x="13847" y="17583"/>
                                  </a:lnTo>
                                  <a:lnTo>
                                    <a:pt x="0" y="17583"/>
                                  </a:lnTo>
                                  <a:lnTo>
                                    <a:pt x="0" y="21600"/>
                                  </a:lnTo>
                                  <a:lnTo>
                                    <a:pt x="17010" y="21600"/>
                                  </a:lnTo>
                                  <a:lnTo>
                                    <a:pt x="17010" y="9257"/>
                                  </a:lnTo>
                                  <a:lnTo>
                                    <a:pt x="21600" y="9257"/>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1" name="Text Box 53"/>
                            <a:cNvSpPr txBox="1">
                              <a:spLocks noChangeArrowheads="1"/>
                            </a:cNvSpPr>
                          </a:nvSpPr>
                          <a:spPr bwMode="auto">
                            <a:xfrm>
                              <a:off x="6143625" y="4040188"/>
                              <a:ext cx="657225" cy="228600"/>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900" b="1" dirty="0">
                                    <a:cs typeface="Arial" pitchFamily="34" charset="0"/>
                                  </a:rPr>
                                  <a:t>RDBMS</a:t>
                                </a:r>
                              </a:p>
                            </a:txBody>
                            <a:useSpRect/>
                          </a:txSp>
                        </a:sp>
                        <a:sp>
                          <a:nvSpPr>
                            <a:cNvPr id="1118262" name="AutoShape 54"/>
                            <a:cNvSpPr>
                              <a:spLocks noChangeArrowheads="1"/>
                            </a:cNvSpPr>
                          </a:nvSpPr>
                          <a:spPr bwMode="auto">
                            <a:xfrm>
                              <a:off x="5962650" y="4021138"/>
                              <a:ext cx="152400" cy="142875"/>
                            </a:xfrm>
                            <a:prstGeom prst="leftArrow">
                              <a:avLst>
                                <a:gd name="adj1" fmla="val 50000"/>
                                <a:gd name="adj2" fmla="val 26667"/>
                              </a:avLst>
                            </a:pr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3" name="Text Box 55"/>
                            <a:cNvSpPr txBox="1">
                              <a:spLocks noChangeArrowheads="1"/>
                            </a:cNvSpPr>
                          </a:nvSpPr>
                          <a:spPr bwMode="auto">
                            <a:xfrm>
                              <a:off x="5514975" y="3983038"/>
                              <a:ext cx="552450" cy="228600"/>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900" b="1" dirty="0">
                                    <a:cs typeface="Arial" pitchFamily="34" charset="0"/>
                                  </a:rPr>
                                  <a:t>JDBC</a:t>
                                </a:r>
                              </a:p>
                            </a:txBody>
                            <a:useSpRect/>
                          </a:txSp>
                        </a:sp>
                        <a:sp>
                          <a:nvSpPr>
                            <a:cNvPr id="1118264" name="AutoShape 56"/>
                            <a:cNvSpPr>
                              <a:spLocks noChangeArrowheads="1"/>
                            </a:cNvSpPr>
                          </a:nvSpPr>
                          <a:spPr bwMode="auto">
                            <a:xfrm>
                              <a:off x="2124075" y="3630613"/>
                              <a:ext cx="381000" cy="457200"/>
                            </a:xfrm>
                            <a:custGeom>
                              <a:avLst/>
                              <a:gdLst>
                                <a:gd name="G0" fmla="+- 9702 0 0"/>
                                <a:gd name="G1" fmla="+- 16538 0 0"/>
                                <a:gd name="G2" fmla="+- 9257 0 0"/>
                                <a:gd name="G3" fmla="*/ 9702 1 2"/>
                                <a:gd name="G4" fmla="+- G3 10800 0"/>
                                <a:gd name="G5" fmla="+- 21600 9702 16538"/>
                                <a:gd name="G6" fmla="+- 16538 9257 0"/>
                                <a:gd name="G7" fmla="*/ G6 1 2"/>
                                <a:gd name="G8" fmla="*/ 16538 2 1"/>
                                <a:gd name="G9" fmla="+- G8 0 21600"/>
                                <a:gd name="G10" fmla="*/ 21600 G0 G1"/>
                                <a:gd name="G11" fmla="*/ 21600 G4 G1"/>
                                <a:gd name="G12" fmla="*/ 21600 G5 G1"/>
                                <a:gd name="G13" fmla="*/ 21600 G7 G1"/>
                                <a:gd name="G14" fmla="*/ 16538 1 2"/>
                                <a:gd name="G15" fmla="+- G5 0 G4"/>
                                <a:gd name="G16" fmla="+- G0 0 G4"/>
                                <a:gd name="G17" fmla="*/ G2 G15 G16"/>
                                <a:gd name="T0" fmla="*/ 15651 w 21600"/>
                                <a:gd name="T1" fmla="*/ 0 h 21600"/>
                                <a:gd name="T2" fmla="*/ 9702 w 21600"/>
                                <a:gd name="T3" fmla="*/ 9257 h 21600"/>
                                <a:gd name="T4" fmla="*/ 0 w 21600"/>
                                <a:gd name="T5" fmla="*/ 20442 h 21600"/>
                                <a:gd name="T6" fmla="*/ 8269 w 21600"/>
                                <a:gd name="T7" fmla="*/ 21600 h 21600"/>
                                <a:gd name="T8" fmla="*/ 16538 w 21600"/>
                                <a:gd name="T9" fmla="*/ 16846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651" y="0"/>
                                  </a:moveTo>
                                  <a:lnTo>
                                    <a:pt x="9702" y="9257"/>
                                  </a:lnTo>
                                  <a:lnTo>
                                    <a:pt x="14764" y="9257"/>
                                  </a:lnTo>
                                  <a:lnTo>
                                    <a:pt x="14764" y="19283"/>
                                  </a:lnTo>
                                  <a:lnTo>
                                    <a:pt x="0" y="19283"/>
                                  </a:lnTo>
                                  <a:lnTo>
                                    <a:pt x="0" y="21600"/>
                                  </a:lnTo>
                                  <a:lnTo>
                                    <a:pt x="16538" y="21600"/>
                                  </a:lnTo>
                                  <a:lnTo>
                                    <a:pt x="16538" y="9257"/>
                                  </a:lnTo>
                                  <a:lnTo>
                                    <a:pt x="21600" y="9257"/>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5" name="Text Box 57"/>
                            <a:cNvSpPr txBox="1">
                              <a:spLocks noChangeArrowheads="1"/>
                            </a:cNvSpPr>
                          </a:nvSpPr>
                          <a:spPr bwMode="auto">
                            <a:xfrm>
                              <a:off x="1219200" y="3935413"/>
                              <a:ext cx="1066800" cy="274637"/>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1200" b="1" dirty="0">
                                    <a:cs typeface="Arial" pitchFamily="34" charset="0"/>
                                  </a:rPr>
                                  <a:t>Live</a:t>
                                </a:r>
                                <a:r>
                                  <a:rPr lang="en-US" sz="1200" b="1" dirty="0">
                                    <a:latin typeface="Garamond" pitchFamily="18" charset="0"/>
                                  </a:rPr>
                                  <a:t> </a:t>
                                </a:r>
                                <a:r>
                                  <a:rPr lang="en-US" sz="1200" b="1" dirty="0">
                                    <a:cs typeface="Arial" pitchFamily="34" charset="0"/>
                                  </a:rPr>
                                  <a:t>Feeds</a:t>
                                </a:r>
                              </a:p>
                            </a:txBody>
                            <a:useSpRect/>
                          </a:txSp>
                        </a:sp>
                        <a:sp>
                          <a:nvSpPr>
                            <a:cNvPr id="1118266" name="AutoShape 58"/>
                            <a:cNvSpPr>
                              <a:spLocks noChangeArrowheads="1"/>
                            </a:cNvSpPr>
                          </a:nvSpPr>
                          <a:spPr bwMode="auto">
                            <a:xfrm rot="5400000" flipV="1">
                              <a:off x="4610100" y="3668713"/>
                              <a:ext cx="381000" cy="609600"/>
                            </a:xfrm>
                            <a:custGeom>
                              <a:avLst/>
                              <a:gdLst>
                                <a:gd name="G0" fmla="+- 9180 0 0"/>
                                <a:gd name="G1" fmla="+- 16470 0 0"/>
                                <a:gd name="G2" fmla="+- 8493 0 0"/>
                                <a:gd name="G3" fmla="*/ 9180 1 2"/>
                                <a:gd name="G4" fmla="+- G3 10800 0"/>
                                <a:gd name="G5" fmla="+- 21600 9180 16470"/>
                                <a:gd name="G6" fmla="+- 16470 8493 0"/>
                                <a:gd name="G7" fmla="*/ G6 1 2"/>
                                <a:gd name="G8" fmla="*/ 16470 2 1"/>
                                <a:gd name="G9" fmla="+- G8 0 21600"/>
                                <a:gd name="G10" fmla="*/ 21600 G0 G1"/>
                                <a:gd name="G11" fmla="*/ 21600 G4 G1"/>
                                <a:gd name="G12" fmla="*/ 21600 G5 G1"/>
                                <a:gd name="G13" fmla="*/ 21600 G7 G1"/>
                                <a:gd name="G14" fmla="*/ 16470 1 2"/>
                                <a:gd name="G15" fmla="+- G5 0 G4"/>
                                <a:gd name="G16" fmla="+- G0 0 G4"/>
                                <a:gd name="G17" fmla="*/ G2 G15 G16"/>
                                <a:gd name="T0" fmla="*/ 15390 w 21600"/>
                                <a:gd name="T1" fmla="*/ 0 h 21600"/>
                                <a:gd name="T2" fmla="*/ 9180 w 21600"/>
                                <a:gd name="T3" fmla="*/ 8493 h 21600"/>
                                <a:gd name="T4" fmla="*/ 0 w 21600"/>
                                <a:gd name="T5" fmla="*/ 20184 h 21600"/>
                                <a:gd name="T6" fmla="*/ 8235 w 21600"/>
                                <a:gd name="T7" fmla="*/ 21600 h 21600"/>
                                <a:gd name="T8" fmla="*/ 16470 w 21600"/>
                                <a:gd name="T9" fmla="*/ 16370 h 21600"/>
                                <a:gd name="T10" fmla="*/ 21600 w 21600"/>
                                <a:gd name="T11" fmla="*/ 8493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390" y="0"/>
                                  </a:moveTo>
                                  <a:lnTo>
                                    <a:pt x="9180" y="8493"/>
                                  </a:lnTo>
                                  <a:lnTo>
                                    <a:pt x="14310" y="8493"/>
                                  </a:lnTo>
                                  <a:lnTo>
                                    <a:pt x="14310" y="18767"/>
                                  </a:lnTo>
                                  <a:lnTo>
                                    <a:pt x="0" y="18767"/>
                                  </a:lnTo>
                                  <a:lnTo>
                                    <a:pt x="0" y="21600"/>
                                  </a:lnTo>
                                  <a:lnTo>
                                    <a:pt x="16470" y="21600"/>
                                  </a:lnTo>
                                  <a:lnTo>
                                    <a:pt x="16470" y="8493"/>
                                  </a:lnTo>
                                  <a:lnTo>
                                    <a:pt x="21600" y="8493"/>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7" name="AutoShape 59"/>
                            <a:cNvSpPr>
                              <a:spLocks noChangeArrowheads="1"/>
                            </a:cNvSpPr>
                          </a:nvSpPr>
                          <a:spPr bwMode="auto">
                            <a:xfrm rot="5400000">
                              <a:off x="3543300" y="3687763"/>
                              <a:ext cx="533400" cy="457200"/>
                            </a:xfrm>
                            <a:custGeom>
                              <a:avLst/>
                              <a:gdLst>
                                <a:gd name="G0" fmla="+- 9257 0 0"/>
                                <a:gd name="G1" fmla="+- 16425 0 0"/>
                                <a:gd name="G2" fmla="+- 9257 0 0"/>
                                <a:gd name="G3" fmla="*/ 9257 1 2"/>
                                <a:gd name="G4" fmla="+- G3 10800 0"/>
                                <a:gd name="G5" fmla="+- 21600 9257 16425"/>
                                <a:gd name="G6" fmla="+- 16425 9257 0"/>
                                <a:gd name="G7" fmla="*/ G6 1 2"/>
                                <a:gd name="G8" fmla="*/ 16425 2 1"/>
                                <a:gd name="G9" fmla="+- G8 0 21600"/>
                                <a:gd name="G10" fmla="*/ 21600 G0 G1"/>
                                <a:gd name="G11" fmla="*/ 21600 G4 G1"/>
                                <a:gd name="G12" fmla="*/ 21600 G5 G1"/>
                                <a:gd name="G13" fmla="*/ 21600 G7 G1"/>
                                <a:gd name="G14" fmla="*/ 16425 1 2"/>
                                <a:gd name="G15" fmla="+- G5 0 G4"/>
                                <a:gd name="G16" fmla="+- G0 0 G4"/>
                                <a:gd name="G17" fmla="*/ G2 G15 G16"/>
                                <a:gd name="T0" fmla="*/ 15429 w 21600"/>
                                <a:gd name="T1" fmla="*/ 0 h 21600"/>
                                <a:gd name="T2" fmla="*/ 9257 w 21600"/>
                                <a:gd name="T3" fmla="*/ 9257 h 21600"/>
                                <a:gd name="T4" fmla="*/ 0 w 21600"/>
                                <a:gd name="T5" fmla="*/ 20290 h 21600"/>
                                <a:gd name="T6" fmla="*/ 8213 w 21600"/>
                                <a:gd name="T7" fmla="*/ 21600 h 21600"/>
                                <a:gd name="T8" fmla="*/ 16425 w 21600"/>
                                <a:gd name="T9" fmla="*/ 16887 h 21600"/>
                                <a:gd name="T10" fmla="*/ 21600 w 21600"/>
                                <a:gd name="T11" fmla="*/ 9257 h 21600"/>
                                <a:gd name="T12" fmla="*/ 17694720 60000 65536"/>
                                <a:gd name="T13" fmla="*/ 11796480 60000 65536"/>
                                <a:gd name="T14" fmla="*/ 11796480 60000 65536"/>
                                <a:gd name="T15" fmla="*/ 5898240 60000 65536"/>
                                <a:gd name="T16" fmla="*/ 0 60000 65536"/>
                                <a:gd name="T17" fmla="*/ 0 60000 65536"/>
                                <a:gd name="T18" fmla="*/ G5 w 21600"/>
                                <a:gd name="T19" fmla="*/ G17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29" y="0"/>
                                  </a:moveTo>
                                  <a:lnTo>
                                    <a:pt x="9257" y="9257"/>
                                  </a:lnTo>
                                  <a:lnTo>
                                    <a:pt x="14432" y="9257"/>
                                  </a:lnTo>
                                  <a:lnTo>
                                    <a:pt x="14432" y="18979"/>
                                  </a:lnTo>
                                  <a:lnTo>
                                    <a:pt x="0" y="18979"/>
                                  </a:lnTo>
                                  <a:lnTo>
                                    <a:pt x="0" y="21600"/>
                                  </a:lnTo>
                                  <a:lnTo>
                                    <a:pt x="16425" y="21600"/>
                                  </a:lnTo>
                                  <a:lnTo>
                                    <a:pt x="16425" y="9257"/>
                                  </a:lnTo>
                                  <a:lnTo>
                                    <a:pt x="21600" y="9257"/>
                                  </a:lnTo>
                                  <a:close/>
                                </a:path>
                              </a:pathLst>
                            </a:custGeom>
                            <a:solidFill>
                              <a:srgbClr val="333333"/>
                            </a:solidFill>
                            <a:ln w="9525" algn="ctr">
                              <a:solidFill>
                                <a:schemeClr val="tx1"/>
                              </a:solidFill>
                              <a:miter lim="800000"/>
                              <a:headEnd/>
                              <a:tailEnd/>
                            </a:ln>
                            <a:effectLst/>
                          </a:spPr>
                          <a:txSp>
                            <a:txBody>
                              <a:bodyPr vert="eaVert"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endParaRPr lang="en-US"/>
                              </a:p>
                            </a:txBody>
                            <a:useSpRect/>
                          </a:txSp>
                        </a:sp>
                        <a:sp>
                          <a:nvSpPr>
                            <a:cNvPr id="1118268" name="Text Box 60"/>
                            <a:cNvSpPr txBox="1">
                              <a:spLocks noChangeArrowheads="1"/>
                            </a:cNvSpPr>
                          </a:nvSpPr>
                          <a:spPr bwMode="auto">
                            <a:xfrm>
                              <a:off x="3895725" y="3878263"/>
                              <a:ext cx="762000" cy="369332"/>
                            </a:xfrm>
                            <a:prstGeom prst="rect">
                              <a:avLst/>
                            </a:prstGeom>
                            <a:noFill/>
                            <a:ln w="9525">
                              <a:noFill/>
                              <a:miter lim="800000"/>
                              <a:headEnd/>
                              <a:tailEnd/>
                            </a:ln>
                            <a:effectLst/>
                          </a:spPr>
                          <a:txSp>
                            <a:txBody>
                              <a:bodyPr>
                                <a:spAutoFit/>
                              </a:bodyP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spcBef>
                                    <a:spcPct val="50000"/>
                                  </a:spcBef>
                                </a:pPr>
                                <a:r>
                                  <a:rPr lang="en-US" sz="900" b="1" dirty="0">
                                    <a:cs typeface="Arial" pitchFamily="34" charset="0"/>
                                  </a:rPr>
                                  <a:t>Java</a:t>
                                </a:r>
                                <a:r>
                                  <a:rPr lang="en-US" sz="900" b="1" dirty="0">
                                    <a:latin typeface="Garamond" pitchFamily="18" charset="0"/>
                                  </a:rPr>
                                  <a:t> </a:t>
                                </a:r>
                                <a:r>
                                  <a:rPr lang="en-US" sz="900" b="1" dirty="0">
                                    <a:cs typeface="Arial" pitchFamily="34" charset="0"/>
                                  </a:rPr>
                                  <a:t>RMI/TCP</a:t>
                                </a:r>
                              </a:p>
                            </a:txBody>
                            <a:useSpRect/>
                          </a:txSp>
                        </a:sp>
                        <a:sp>
                          <a:nvSpPr>
                            <a:cNvPr id="1118269" name="Rectangle 61"/>
                            <a:cNvSpPr>
                              <a:spLocks noChangeArrowheads="1"/>
                            </a:cNvSpPr>
                          </a:nvSpPr>
                          <a:spPr bwMode="auto">
                            <a:xfrm>
                              <a:off x="3429000" y="4506913"/>
                              <a:ext cx="2362200" cy="323850"/>
                            </a:xfrm>
                            <a:prstGeom prst="rect">
                              <a:avLst/>
                            </a:prstGeom>
                            <a:ln>
                              <a:headEnd/>
                              <a:tailEnd/>
                            </a:ln>
                          </a:spPr>
                          <a:txSp>
                            <a:txBody>
                              <a:bodyPr wrap="none" anchor="ctr"/>
                              <a:lstStyle>
                                <a:defPPr>
                                  <a:defRPr lang="en-US"/>
                                </a:defPPr>
                                <a:lvl1pPr algn="l" rtl="0" fontAlgn="base">
                                  <a:spcBef>
                                    <a:spcPct val="0"/>
                                  </a:spcBef>
                                  <a:spcAft>
                                    <a:spcPct val="0"/>
                                  </a:spcAft>
                                  <a:defRPr sz="1400" kern="1200">
                                    <a:solidFill>
                                      <a:schemeClr val="dk1"/>
                                    </a:solidFill>
                                    <a:latin typeface="+mn-lt"/>
                                    <a:ea typeface="+mn-ea"/>
                                    <a:cs typeface="+mn-cs"/>
                                  </a:defRPr>
                                </a:lvl1pPr>
                                <a:lvl2pPr marL="457200" algn="l" rtl="0" fontAlgn="base">
                                  <a:spcBef>
                                    <a:spcPct val="0"/>
                                  </a:spcBef>
                                  <a:spcAft>
                                    <a:spcPct val="0"/>
                                  </a:spcAft>
                                  <a:defRPr sz="1400" kern="1200">
                                    <a:solidFill>
                                      <a:schemeClr val="dk1"/>
                                    </a:solidFill>
                                    <a:latin typeface="+mn-lt"/>
                                    <a:ea typeface="+mn-ea"/>
                                    <a:cs typeface="+mn-cs"/>
                                  </a:defRPr>
                                </a:lvl2pPr>
                                <a:lvl3pPr marL="914400" algn="l" rtl="0" fontAlgn="base">
                                  <a:spcBef>
                                    <a:spcPct val="0"/>
                                  </a:spcBef>
                                  <a:spcAft>
                                    <a:spcPct val="0"/>
                                  </a:spcAft>
                                  <a:defRPr sz="1400" kern="1200">
                                    <a:solidFill>
                                      <a:schemeClr val="dk1"/>
                                    </a:solidFill>
                                    <a:latin typeface="+mn-lt"/>
                                    <a:ea typeface="+mn-ea"/>
                                    <a:cs typeface="+mn-cs"/>
                                  </a:defRPr>
                                </a:lvl3pPr>
                                <a:lvl4pPr marL="1371600" algn="l" rtl="0" fontAlgn="base">
                                  <a:spcBef>
                                    <a:spcPct val="0"/>
                                  </a:spcBef>
                                  <a:spcAft>
                                    <a:spcPct val="0"/>
                                  </a:spcAft>
                                  <a:defRPr sz="1400" kern="1200">
                                    <a:solidFill>
                                      <a:schemeClr val="dk1"/>
                                    </a:solidFill>
                                    <a:latin typeface="+mn-lt"/>
                                    <a:ea typeface="+mn-ea"/>
                                    <a:cs typeface="+mn-cs"/>
                                  </a:defRPr>
                                </a:lvl4pPr>
                                <a:lvl5pPr marL="1828800" algn="l" rtl="0" fontAlgn="base">
                                  <a:spcBef>
                                    <a:spcPct val="0"/>
                                  </a:spcBef>
                                  <a:spcAft>
                                    <a:spcPct val="0"/>
                                  </a:spcAft>
                                  <a:defRPr sz="1400" kern="1200">
                                    <a:solidFill>
                                      <a:schemeClr val="dk1"/>
                                    </a:solidFill>
                                    <a:latin typeface="+mn-lt"/>
                                    <a:ea typeface="+mn-ea"/>
                                    <a:cs typeface="+mn-cs"/>
                                  </a:defRPr>
                                </a:lvl5pPr>
                                <a:lvl6pPr marL="2286000" algn="l" defTabSz="914400" rtl="0" eaLnBrk="1" latinLnBrk="0" hangingPunct="1">
                                  <a:defRPr sz="1400" kern="1200">
                                    <a:solidFill>
                                      <a:schemeClr val="dk1"/>
                                    </a:solidFill>
                                    <a:latin typeface="+mn-lt"/>
                                    <a:ea typeface="+mn-ea"/>
                                    <a:cs typeface="+mn-cs"/>
                                  </a:defRPr>
                                </a:lvl6pPr>
                                <a:lvl7pPr marL="2743200" algn="l" defTabSz="914400" rtl="0" eaLnBrk="1" latinLnBrk="0" hangingPunct="1">
                                  <a:defRPr sz="1400" kern="1200">
                                    <a:solidFill>
                                      <a:schemeClr val="dk1"/>
                                    </a:solidFill>
                                    <a:latin typeface="+mn-lt"/>
                                    <a:ea typeface="+mn-ea"/>
                                    <a:cs typeface="+mn-cs"/>
                                  </a:defRPr>
                                </a:lvl7pPr>
                                <a:lvl8pPr marL="3200400" algn="l" defTabSz="914400" rtl="0" eaLnBrk="1" latinLnBrk="0" hangingPunct="1">
                                  <a:defRPr sz="1400" kern="1200">
                                    <a:solidFill>
                                      <a:schemeClr val="dk1"/>
                                    </a:solidFill>
                                    <a:latin typeface="+mn-lt"/>
                                    <a:ea typeface="+mn-ea"/>
                                    <a:cs typeface="+mn-cs"/>
                                  </a:defRPr>
                                </a:lvl8pPr>
                                <a:lvl9pPr marL="3657600" algn="l" defTabSz="914400" rtl="0" eaLnBrk="1" latinLnBrk="0" hangingPunct="1">
                                  <a:defRPr sz="1400" kern="1200">
                                    <a:solidFill>
                                      <a:schemeClr val="dk1"/>
                                    </a:solidFill>
                                    <a:latin typeface="+mn-lt"/>
                                    <a:ea typeface="+mn-ea"/>
                                    <a:cs typeface="+mn-cs"/>
                                  </a:defRPr>
                                </a:lvl9pPr>
                              </a:lstStyle>
                              <a:p>
                                <a:pPr algn="ctr"/>
                                <a:r>
                                  <a:rPr lang="en-US" sz="1600" b="1" dirty="0">
                                    <a:cs typeface="Arial" pitchFamily="34" charset="0"/>
                                  </a:rPr>
                                  <a:t>Functional</a:t>
                                </a:r>
                                <a:r>
                                  <a:rPr lang="en-US" sz="1600" b="1" dirty="0">
                                    <a:latin typeface="Garamond" pitchFamily="18" charset="0"/>
                                  </a:rPr>
                                  <a:t> </a:t>
                                </a:r>
                                <a:r>
                                  <a:rPr lang="en-US" sz="1600" b="1" dirty="0">
                                    <a:cs typeface="Arial" pitchFamily="34" charset="0"/>
                                  </a:rPr>
                                  <a:t>Areas</a:t>
                                </a:r>
                              </a:p>
                            </a:txBody>
                            <a:useSpRect/>
                          </a:txSp>
                          <a:style>
                            <a:lnRef idx="1">
                              <a:schemeClr val="accent6"/>
                            </a:lnRef>
                            <a:fillRef idx="2">
                              <a:schemeClr val="accent6"/>
                            </a:fillRef>
                            <a:effectRef idx="1">
                              <a:schemeClr val="accent6"/>
                            </a:effectRef>
                            <a:fontRef idx="minor">
                              <a:schemeClr val="dk1"/>
                            </a:fontRef>
                          </a:style>
                        </a:sp>
                        <a:grpSp>
                          <a:nvGrpSpPr>
                            <a:cNvPr id="1118286" name="Group 78"/>
                            <a:cNvGrpSpPr>
                              <a:grpSpLocks/>
                            </a:cNvGrpSpPr>
                          </a:nvGrpSpPr>
                          <a:grpSpPr bwMode="auto">
                            <a:xfrm>
                              <a:off x="8178800" y="1230313"/>
                              <a:ext cx="863600" cy="3124200"/>
                              <a:chOff x="4808" y="624"/>
                              <a:chExt cx="768" cy="3408"/>
                            </a:xfrm>
                          </a:grpSpPr>
                          <a:sp>
                            <a:nvSpPr>
                              <a:cNvPr id="1118287" name="AutoShape 79"/>
                              <a:cNvSpPr>
                                <a:spLocks noChangeArrowheads="1"/>
                              </a:cNvSpPr>
                            </a:nvSpPr>
                            <a:spPr bwMode="auto">
                              <a:xfrm>
                                <a:off x="4808" y="624"/>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Equity </a:t>
                                  </a:r>
                                </a:p>
                                <a:p>
                                  <a:pPr algn="ctr"/>
                                  <a:r>
                                    <a:rPr lang="en-US" sz="1100" b="1">
                                      <a:latin typeface="Garamond" pitchFamily="18" charset="0"/>
                                    </a:rPr>
                                    <a:t>Derivatives</a:t>
                                  </a:r>
                                </a:p>
                              </a:txBody>
                              <a:useSpRect/>
                            </a:txSp>
                          </a:sp>
                          <a:sp>
                            <a:nvSpPr>
                              <a:cNvPr id="1118288" name="AutoShape 80"/>
                              <a:cNvSpPr>
                                <a:spLocks noChangeArrowheads="1"/>
                              </a:cNvSpPr>
                            </a:nvSpPr>
                            <a:spPr bwMode="auto">
                              <a:xfrm>
                                <a:off x="4808" y="1056"/>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Credit </a:t>
                                  </a:r>
                                </a:p>
                                <a:p>
                                  <a:pPr algn="ctr"/>
                                  <a:r>
                                    <a:rPr lang="en-US" sz="1100" b="1">
                                      <a:latin typeface="Garamond" pitchFamily="18" charset="0"/>
                                    </a:rPr>
                                    <a:t>Derivatives</a:t>
                                  </a:r>
                                </a:p>
                              </a:txBody>
                              <a:useSpRect/>
                            </a:txSp>
                          </a:sp>
                          <a:sp>
                            <a:nvSpPr>
                              <a:cNvPr id="1118289" name="AutoShape 81"/>
                              <a:cNvSpPr>
                                <a:spLocks noChangeArrowheads="1"/>
                              </a:cNvSpPr>
                            </a:nvSpPr>
                            <a:spPr bwMode="auto">
                              <a:xfrm>
                                <a:off x="4808" y="1488"/>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FX </a:t>
                                  </a:r>
                                </a:p>
                                <a:p>
                                  <a:pPr algn="ctr"/>
                                  <a:r>
                                    <a:rPr lang="en-US" sz="1100" b="1">
                                      <a:latin typeface="Garamond" pitchFamily="18" charset="0"/>
                                    </a:rPr>
                                    <a:t>Derivatives</a:t>
                                  </a:r>
                                </a:p>
                              </a:txBody>
                              <a:useSpRect/>
                            </a:txSp>
                          </a:sp>
                          <a:sp>
                            <a:nvSpPr>
                              <a:cNvPr id="1118290" name="AutoShape 82"/>
                              <a:cNvSpPr>
                                <a:spLocks noChangeArrowheads="1"/>
                              </a:cNvSpPr>
                            </a:nvSpPr>
                            <a:spPr bwMode="auto">
                              <a:xfrm>
                                <a:off x="4808" y="1920"/>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Interest Rate</a:t>
                                  </a:r>
                                </a:p>
                                <a:p>
                                  <a:pPr algn="ctr"/>
                                  <a:r>
                                    <a:rPr lang="en-US" sz="1100" b="1">
                                      <a:latin typeface="Garamond" pitchFamily="18" charset="0"/>
                                    </a:rPr>
                                    <a:t>Derivatives</a:t>
                                  </a:r>
                                </a:p>
                              </a:txBody>
                              <a:useSpRect/>
                            </a:txSp>
                          </a:sp>
                          <a:sp>
                            <a:nvSpPr>
                              <a:cNvPr id="1118291" name="AutoShape 83"/>
                              <a:cNvSpPr>
                                <a:spLocks noChangeArrowheads="1"/>
                              </a:cNvSpPr>
                            </a:nvSpPr>
                            <a:spPr bwMode="auto">
                              <a:xfrm>
                                <a:off x="4808" y="3216"/>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dirty="0" smtClean="0">
                                      <a:latin typeface="Garamond" pitchFamily="18" charset="0"/>
                                    </a:rPr>
                                    <a:t>CollateralMgmt</a:t>
                                  </a:r>
                                  <a:endParaRPr lang="en-US" sz="1100" b="1" dirty="0">
                                    <a:latin typeface="Garamond" pitchFamily="18" charset="0"/>
                                  </a:endParaRPr>
                                </a:p>
                              </a:txBody>
                              <a:useSpRect/>
                            </a:txSp>
                          </a:sp>
                          <a:sp>
                            <a:nvSpPr>
                              <a:cNvPr id="1118292" name="AutoShape 84"/>
                              <a:cNvSpPr>
                                <a:spLocks noChangeArrowheads="1"/>
                              </a:cNvSpPr>
                            </a:nvSpPr>
                            <a:spPr bwMode="auto">
                              <a:xfrm>
                                <a:off x="4808" y="2352"/>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a:latin typeface="Garamond" pitchFamily="18" charset="0"/>
                                    </a:rPr>
                                    <a:t>Fixed Income</a:t>
                                  </a:r>
                                </a:p>
                                <a:p>
                                  <a:pPr algn="ctr"/>
                                  <a:r>
                                    <a:rPr lang="en-US" sz="1100" b="1">
                                      <a:latin typeface="Garamond" pitchFamily="18" charset="0"/>
                                    </a:rPr>
                                    <a:t>Derivatives</a:t>
                                  </a:r>
                                </a:p>
                              </a:txBody>
                              <a:useSpRect/>
                            </a:txSp>
                          </a:sp>
                          <a:sp>
                            <a:nvSpPr>
                              <a:cNvPr id="1118293" name="AutoShape 85"/>
                              <a:cNvSpPr>
                                <a:spLocks noChangeArrowheads="1"/>
                              </a:cNvSpPr>
                            </a:nvSpPr>
                            <a:spPr bwMode="auto">
                              <a:xfrm>
                                <a:off x="4808" y="2784"/>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dirty="0">
                                      <a:latin typeface="Garamond" pitchFamily="18" charset="0"/>
                                    </a:rPr>
                                    <a:t>Money Market</a:t>
                                  </a:r>
                                </a:p>
                              </a:txBody>
                              <a:useSpRect/>
                            </a:txSp>
                          </a:sp>
                          <a:sp>
                            <a:nvSpPr>
                              <a:cNvPr id="1118294" name="AutoShape 86"/>
                              <a:cNvSpPr>
                                <a:spLocks noChangeArrowheads="1"/>
                              </a:cNvSpPr>
                            </a:nvSpPr>
                            <a:spPr bwMode="auto">
                              <a:xfrm>
                                <a:off x="4808" y="3648"/>
                                <a:ext cx="768" cy="384"/>
                              </a:xfrm>
                              <a:prstGeom prst="roundRect">
                                <a:avLst>
                                  <a:gd name="adj" fmla="val 16667"/>
                                </a:avLst>
                              </a:prstGeom>
                              <a:gradFill rotWithShape="1">
                                <a:gsLst>
                                  <a:gs pos="0">
                                    <a:schemeClr val="bg1"/>
                                  </a:gs>
                                  <a:gs pos="100000">
                                    <a:srgbClr val="EBEBFF"/>
                                  </a:gs>
                                </a:gsLst>
                                <a:path path="shape">
                                  <a:fillToRect l="50000" t="50000" r="50000" b="50000"/>
                                </a:path>
                              </a:gradFill>
                              <a:ln w="9525" algn="ctr">
                                <a:solidFill>
                                  <a:schemeClr val="accent2"/>
                                </a:solidFill>
                                <a:round/>
                                <a:headEnd/>
                                <a:tailEnd/>
                              </a:ln>
                              <a:effectLst/>
                            </a:spPr>
                            <a:txSp>
                              <a:txBody>
                                <a:bodyPr wrap="none" anchor="ctr"/>
                                <a:lstStyle>
                                  <a:defPPr>
                                    <a:defRPr lang="en-US"/>
                                  </a:defPPr>
                                  <a:lvl1pPr algn="l" rtl="0" fontAlgn="base">
                                    <a:spcBef>
                                      <a:spcPct val="0"/>
                                    </a:spcBef>
                                    <a:spcAft>
                                      <a:spcPct val="0"/>
                                    </a:spcAft>
                                    <a:defRPr sz="1400" kern="1200">
                                      <a:solidFill>
                                        <a:schemeClr val="tx1"/>
                                      </a:solidFill>
                                      <a:latin typeface="Arial" pitchFamily="34" charset="0"/>
                                      <a:ea typeface="+mn-ea"/>
                                      <a:cs typeface="+mn-cs"/>
                                    </a:defRPr>
                                  </a:lvl1pPr>
                                  <a:lvl2pPr marL="457200" algn="l" rtl="0" fontAlgn="base">
                                    <a:spcBef>
                                      <a:spcPct val="0"/>
                                    </a:spcBef>
                                    <a:spcAft>
                                      <a:spcPct val="0"/>
                                    </a:spcAft>
                                    <a:defRPr sz="1400" kern="1200">
                                      <a:solidFill>
                                        <a:schemeClr val="tx1"/>
                                      </a:solidFill>
                                      <a:latin typeface="Arial" pitchFamily="34" charset="0"/>
                                      <a:ea typeface="+mn-ea"/>
                                      <a:cs typeface="+mn-cs"/>
                                    </a:defRPr>
                                  </a:lvl2pPr>
                                  <a:lvl3pPr marL="914400" algn="l" rtl="0" fontAlgn="base">
                                    <a:spcBef>
                                      <a:spcPct val="0"/>
                                    </a:spcBef>
                                    <a:spcAft>
                                      <a:spcPct val="0"/>
                                    </a:spcAft>
                                    <a:defRPr sz="1400" kern="1200">
                                      <a:solidFill>
                                        <a:schemeClr val="tx1"/>
                                      </a:solidFill>
                                      <a:latin typeface="Arial" pitchFamily="34" charset="0"/>
                                      <a:ea typeface="+mn-ea"/>
                                      <a:cs typeface="+mn-cs"/>
                                    </a:defRPr>
                                  </a:lvl3pPr>
                                  <a:lvl4pPr marL="1371600" algn="l" rtl="0" fontAlgn="base">
                                    <a:spcBef>
                                      <a:spcPct val="0"/>
                                    </a:spcBef>
                                    <a:spcAft>
                                      <a:spcPct val="0"/>
                                    </a:spcAft>
                                    <a:defRPr sz="1400" kern="1200">
                                      <a:solidFill>
                                        <a:schemeClr val="tx1"/>
                                      </a:solidFill>
                                      <a:latin typeface="Arial" pitchFamily="34" charset="0"/>
                                      <a:ea typeface="+mn-ea"/>
                                      <a:cs typeface="+mn-cs"/>
                                    </a:defRPr>
                                  </a:lvl4pPr>
                                  <a:lvl5pPr marL="1828800" algn="l" rtl="0" fontAlgn="base">
                                    <a:spcBef>
                                      <a:spcPct val="0"/>
                                    </a:spcBef>
                                    <a:spcAft>
                                      <a:spcPct val="0"/>
                                    </a:spcAft>
                                    <a:defRPr sz="1400" kern="1200">
                                      <a:solidFill>
                                        <a:schemeClr val="tx1"/>
                                      </a:solidFill>
                                      <a:latin typeface="Arial" pitchFamily="34" charset="0"/>
                                      <a:ea typeface="+mn-ea"/>
                                      <a:cs typeface="+mn-cs"/>
                                    </a:defRPr>
                                  </a:lvl5pPr>
                                  <a:lvl6pPr marL="2286000" algn="l" defTabSz="914400" rtl="0" eaLnBrk="1" latinLnBrk="0" hangingPunct="1">
                                    <a:defRPr sz="1400" kern="1200">
                                      <a:solidFill>
                                        <a:schemeClr val="tx1"/>
                                      </a:solidFill>
                                      <a:latin typeface="Arial" pitchFamily="34" charset="0"/>
                                      <a:ea typeface="+mn-ea"/>
                                      <a:cs typeface="+mn-cs"/>
                                    </a:defRPr>
                                  </a:lvl6pPr>
                                  <a:lvl7pPr marL="2743200" algn="l" defTabSz="914400" rtl="0" eaLnBrk="1" latinLnBrk="0" hangingPunct="1">
                                    <a:defRPr sz="1400" kern="1200">
                                      <a:solidFill>
                                        <a:schemeClr val="tx1"/>
                                      </a:solidFill>
                                      <a:latin typeface="Arial" pitchFamily="34" charset="0"/>
                                      <a:ea typeface="+mn-ea"/>
                                      <a:cs typeface="+mn-cs"/>
                                    </a:defRPr>
                                  </a:lvl7pPr>
                                  <a:lvl8pPr marL="3200400" algn="l" defTabSz="914400" rtl="0" eaLnBrk="1" latinLnBrk="0" hangingPunct="1">
                                    <a:defRPr sz="1400" kern="1200">
                                      <a:solidFill>
                                        <a:schemeClr val="tx1"/>
                                      </a:solidFill>
                                      <a:latin typeface="Arial" pitchFamily="34" charset="0"/>
                                      <a:ea typeface="+mn-ea"/>
                                      <a:cs typeface="+mn-cs"/>
                                    </a:defRPr>
                                  </a:lvl8pPr>
                                  <a:lvl9pPr marL="3657600" algn="l" defTabSz="914400" rtl="0" eaLnBrk="1" latinLnBrk="0" hangingPunct="1">
                                    <a:defRPr sz="1400" kern="1200">
                                      <a:solidFill>
                                        <a:schemeClr val="tx1"/>
                                      </a:solidFill>
                                      <a:latin typeface="Arial" pitchFamily="34" charset="0"/>
                                      <a:ea typeface="+mn-ea"/>
                                      <a:cs typeface="+mn-cs"/>
                                    </a:defRPr>
                                  </a:lvl9pPr>
                                </a:lstStyle>
                                <a:p>
                                  <a:pPr algn="ctr"/>
                                  <a:r>
                                    <a:rPr lang="en-US" sz="1100" b="1" dirty="0" smtClean="0">
                                      <a:latin typeface="Garamond" pitchFamily="18" charset="0"/>
                                    </a:rPr>
                                    <a:t>Cash Mgmt</a:t>
                                  </a:r>
                                  <a:endParaRPr lang="en-US" sz="1100" b="1" dirty="0">
                                    <a:latin typeface="Garamond" pitchFamily="18" charset="0"/>
                                  </a:endParaRPr>
                                </a:p>
                              </a:txBody>
                              <a:useSpRect/>
                            </a:txSp>
                          </a:sp>
                        </a:grpSp>
                      </lc:lockedCanvas>
                    </a:graphicData>
                  </a:graphic>
                </wp:inline>
              </w:drawing>
            </w:r>
          </w:p>
          <w:p w:rsidR="009574C3" w:rsidRPr="000573A0" w:rsidRDefault="009574C3" w:rsidP="009574C3">
            <w:pPr>
              <w:pStyle w:val="BodyPara1"/>
              <w:rPr>
                <w:rFonts w:asciiTheme="minorHAnsi" w:hAnsiTheme="minorHAnsi" w:cs="Arial"/>
                <w:b/>
                <w:color w:val="000080"/>
                <w:sz w:val="24"/>
                <w:u w:val="single"/>
                <w:lang w:val="en-GB"/>
              </w:rPr>
            </w:pPr>
            <w:r w:rsidRPr="000573A0">
              <w:rPr>
                <w:rFonts w:asciiTheme="minorHAnsi" w:hAnsiTheme="minorHAnsi" w:cs="Arial"/>
                <w:b/>
                <w:color w:val="000080"/>
                <w:sz w:val="24"/>
                <w:u w:val="single"/>
                <w:lang w:val="en-GB"/>
              </w:rPr>
              <w:t>Eagle STAR / PACE</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Implementation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Data Migration: Mapping legacy data, ETL processes using tools such as Data Junction and Informatica, and writing up-loaders.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Integration with Enterprise tools for scheduling, monitoring, administration and application distribution.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Interfacing to satellite applications such as client reporting systems, AUM systems, etc, via exporters.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Customization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Account Reference Master (ARM): Building custom panels to support the account opening process, including workflow processes.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Security Reference Master (SRM): Loading global security master information from market data feeds, including Security cross-reference and indicative data, factors, ratings, prices, corporate actions, security compositing and best pricing</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STAR-To-PACE procedures.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STAR panels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Reporting Services - STAR</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Standard Reports, Grid Reports, and Advanced Reports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lastRenderedPageBreak/>
              <w:t>Developing panels to support user selection and entry</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Developing Active reports Designer code for basic and advanced reporting functions</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Reporting Services - PACE</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Building Inventory of fields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Building Field Attributes - Database, rollup, derived, advanced etc</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Developing component rules – Source rule, Field rule, Grouping rule &amp; Date rule</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Developing PACE Report rules and Profiles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Visual Basic DLL designer for report presentation</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Support and QA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Migration of components through development, QA &amp; production environments.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QA &amp; Release Management: Testing new releases of the product, as per the following methodology</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Upgrading existing version of Eagle to latest versions (both application and data)</w:t>
            </w:r>
          </w:p>
          <w:p w:rsidR="009574C3" w:rsidRPr="00E17E18" w:rsidRDefault="009574C3" w:rsidP="00401DEE">
            <w:pPr>
              <w:pStyle w:val="DisplayHeading"/>
              <w:rPr>
                <w:rFonts w:asciiTheme="minorHAnsi" w:hAnsiTheme="minorHAnsi" w:cs="Arial"/>
                <w:sz w:val="24"/>
              </w:rPr>
            </w:pPr>
            <w:r w:rsidRPr="00E17E18">
              <w:rPr>
                <w:rFonts w:asciiTheme="minorHAnsi" w:hAnsiTheme="minorHAnsi" w:cs="Arial"/>
                <w:sz w:val="24"/>
              </w:rPr>
              <w:t>Product Support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24 x 7 production support to Eagle STAR &amp; PACE</w:t>
            </w:r>
          </w:p>
          <w:p w:rsidR="009574C3" w:rsidRPr="00873938" w:rsidRDefault="009574C3" w:rsidP="009574C3">
            <w:pPr>
              <w:pStyle w:val="BodyPara1"/>
              <w:rPr>
                <w:rFonts w:asciiTheme="minorHAnsi" w:hAnsiTheme="minorHAnsi" w:cs="Arial"/>
                <w:b/>
                <w:color w:val="000080"/>
                <w:szCs w:val="22"/>
                <w:u w:val="single"/>
                <w:lang w:val="en-GB"/>
              </w:rPr>
            </w:pPr>
            <w:bookmarkStart w:id="22" w:name="_Toc258955644"/>
            <w:r w:rsidRPr="00873938">
              <w:rPr>
                <w:rFonts w:asciiTheme="minorHAnsi" w:hAnsiTheme="minorHAnsi" w:cs="Arial"/>
                <w:b/>
                <w:color w:val="000080"/>
                <w:szCs w:val="22"/>
                <w:u w:val="single"/>
                <w:lang w:val="en-GB"/>
              </w:rPr>
              <w:t>PORTIA Capabilities</w:t>
            </w:r>
            <w:bookmarkEnd w:id="22"/>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 xml:space="preserve">PORTIA Expertise </w:t>
            </w:r>
          </w:p>
          <w:p w:rsidR="009574C3" w:rsidRPr="00873938" w:rsidRDefault="009574C3" w:rsidP="003453B3">
            <w:pPr>
              <w:pStyle w:val="BulletList0"/>
              <w:numPr>
                <w:ilvl w:val="0"/>
                <w:numId w:val="13"/>
              </w:numPr>
              <w:spacing w:line="276" w:lineRule="auto"/>
              <w:ind w:hanging="288"/>
              <w:jc w:val="both"/>
              <w:rPr>
                <w:rFonts w:asciiTheme="minorHAnsi" w:hAnsiTheme="minorHAnsi" w:cs="Arial"/>
                <w:szCs w:val="22"/>
              </w:rPr>
            </w:pPr>
            <w:r w:rsidRPr="000573A0">
              <w:rPr>
                <w:rFonts w:asciiTheme="minorHAnsi" w:hAnsiTheme="minorHAnsi" w:cs="Times New Roman"/>
                <w:color w:val="3F3F3F"/>
                <w:szCs w:val="22"/>
                <w:lang w:val="en-US" w:bidi="en-US"/>
              </w:rPr>
              <w:t xml:space="preserve">Pool of Dot Net Development Resources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Understand PORTIA  Architecture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Capability to support the Product both in New and Old Version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Expertise in development of various interfaces with PORTIA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Resource pool who has expertise in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PORTIA  Functional  Understanding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Implementation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Report Development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QA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 Resources trained in eReports  </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 xml:space="preserve">PORTIA Services </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Implementation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Static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Interfacing with external systems / Data vendors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Migration of data from external source through AIM</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Functional Support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lastRenderedPageBreak/>
              <w:t>Setting up of Chart of Accounts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Security Master setup</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Customization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User Defined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reports</w:t>
            </w:r>
          </w:p>
          <w:p w:rsidR="009574C3" w:rsidRPr="000573A0" w:rsidRDefault="009574C3" w:rsidP="005C6493">
            <w:pPr>
              <w:pStyle w:val="BulletList0"/>
              <w:rPr>
                <w:rFonts w:asciiTheme="minorHAnsi" w:hAnsiTheme="minorHAnsi" w:cs="Arial"/>
                <w:b/>
                <w:szCs w:val="22"/>
              </w:rPr>
            </w:pPr>
            <w:r w:rsidRPr="000573A0">
              <w:rPr>
                <w:rFonts w:asciiTheme="minorHAnsi" w:hAnsiTheme="minorHAnsi" w:cs="Arial"/>
                <w:b/>
                <w:szCs w:val="22"/>
              </w:rPr>
              <w:t>Testing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Test Strategy Creation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Scenario Building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Data Migration testing Using proprietary tools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SIT / UAT testing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Parallel run data compare using RECON tools</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 xml:space="preserve">PORTIA – Perform </w:t>
            </w:r>
            <w:r w:rsidR="0062744D" w:rsidRPr="00E17E18">
              <w:rPr>
                <w:rFonts w:asciiTheme="minorHAnsi" w:hAnsiTheme="minorHAnsi" w:cs="Arial"/>
                <w:sz w:val="24"/>
              </w:rPr>
              <w:t xml:space="preserve">Expertise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Functional and Technical understanding of the Product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Perform operations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Product Support and Implementation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QA</w:t>
            </w:r>
          </w:p>
          <w:p w:rsidR="009574C3" w:rsidRPr="000573A0" w:rsidRDefault="009574C3" w:rsidP="005C6493">
            <w:pPr>
              <w:pStyle w:val="BodyPara1"/>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Hexaware has got rich experience in Portia in the areas of Development, Functional Understanding, Testing, Implementation and Reporting. Hexaware’s expertise can be summed up as follows:</w:t>
            </w:r>
          </w:p>
          <w:p w:rsidR="009574C3" w:rsidRPr="00873938" w:rsidRDefault="009574C3" w:rsidP="009574C3">
            <w:pPr>
              <w:spacing w:line="288" w:lineRule="auto"/>
              <w:jc w:val="center"/>
              <w:rPr>
                <w:rFonts w:asciiTheme="minorHAnsi" w:hAnsiTheme="minorHAnsi" w:cs="Arial"/>
                <w:sz w:val="22"/>
              </w:rPr>
            </w:pPr>
            <w:r w:rsidRPr="00873938">
              <w:rPr>
                <w:rFonts w:asciiTheme="minorHAnsi" w:hAnsiTheme="minorHAnsi" w:cs="Arial"/>
                <w:noProof/>
                <w:sz w:val="22"/>
              </w:rPr>
              <w:drawing>
                <wp:inline distT="0" distB="0" distL="0" distR="0">
                  <wp:extent cx="5924550" cy="1752600"/>
                  <wp:effectExtent l="19050" t="0" r="0" b="0"/>
                  <wp:docPr id="4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srcRect/>
                          <a:stretch>
                            <a:fillRect/>
                          </a:stretch>
                        </pic:blipFill>
                        <pic:spPr bwMode="auto">
                          <a:xfrm>
                            <a:off x="0" y="0"/>
                            <a:ext cx="5924550" cy="1752600"/>
                          </a:xfrm>
                          <a:prstGeom prst="rect">
                            <a:avLst/>
                          </a:prstGeom>
                          <a:noFill/>
                          <a:ln w="9525">
                            <a:noFill/>
                            <a:miter lim="800000"/>
                            <a:headEnd/>
                            <a:tailEnd/>
                          </a:ln>
                        </pic:spPr>
                      </pic:pic>
                    </a:graphicData>
                  </a:graphic>
                </wp:inline>
              </w:drawing>
            </w:r>
          </w:p>
          <w:p w:rsidR="009574C3" w:rsidRPr="00873938" w:rsidRDefault="009574C3" w:rsidP="009574C3">
            <w:pPr>
              <w:spacing w:line="288" w:lineRule="auto"/>
              <w:jc w:val="center"/>
              <w:rPr>
                <w:rFonts w:asciiTheme="minorHAnsi" w:hAnsiTheme="minorHAnsi" w:cs="Arial"/>
                <w:sz w:val="22"/>
              </w:rPr>
            </w:pPr>
            <w:r w:rsidRPr="00873938">
              <w:rPr>
                <w:rFonts w:asciiTheme="minorHAnsi" w:hAnsiTheme="minorHAnsi" w:cs="Arial"/>
                <w:noProof/>
                <w:sz w:val="22"/>
              </w:rPr>
              <w:lastRenderedPageBreak/>
              <w:drawing>
                <wp:inline distT="0" distB="0" distL="0" distR="0">
                  <wp:extent cx="5924550" cy="1866900"/>
                  <wp:effectExtent l="19050" t="0" r="0" b="0"/>
                  <wp:docPr id="4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926455" cy="1867500"/>
                          </a:xfrm>
                          <a:prstGeom prst="rect">
                            <a:avLst/>
                          </a:prstGeom>
                          <a:noFill/>
                          <a:ln w="9525">
                            <a:noFill/>
                            <a:miter lim="800000"/>
                            <a:headEnd/>
                            <a:tailEnd/>
                          </a:ln>
                        </pic:spPr>
                      </pic:pic>
                    </a:graphicData>
                  </a:graphic>
                </wp:inline>
              </w:drawing>
            </w:r>
          </w:p>
          <w:p w:rsidR="0087720D" w:rsidRPr="00873938" w:rsidRDefault="009574C3" w:rsidP="009574C3">
            <w:pPr>
              <w:jc w:val="left"/>
              <w:rPr>
                <w:rFonts w:asciiTheme="minorHAnsi" w:hAnsiTheme="minorHAnsi" w:cs="Arial"/>
                <w:sz w:val="22"/>
              </w:rPr>
            </w:pPr>
            <w:r w:rsidRPr="00873938">
              <w:rPr>
                <w:rFonts w:asciiTheme="minorHAnsi" w:hAnsiTheme="minorHAnsi" w:cs="Arial"/>
                <w:noProof/>
                <w:sz w:val="22"/>
              </w:rPr>
              <w:drawing>
                <wp:inline distT="0" distB="0" distL="0" distR="0">
                  <wp:extent cx="5943600" cy="1819275"/>
                  <wp:effectExtent l="19050" t="0" r="0" b="0"/>
                  <wp:docPr id="4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srcRect/>
                          <a:stretch>
                            <a:fillRect/>
                          </a:stretch>
                        </pic:blipFill>
                        <pic:spPr bwMode="auto">
                          <a:xfrm>
                            <a:off x="0" y="0"/>
                            <a:ext cx="5943600" cy="1819275"/>
                          </a:xfrm>
                          <a:prstGeom prst="rect">
                            <a:avLst/>
                          </a:prstGeom>
                          <a:noFill/>
                          <a:ln w="9525">
                            <a:noFill/>
                            <a:miter lim="800000"/>
                            <a:headEnd/>
                            <a:tailEnd/>
                          </a:ln>
                        </pic:spPr>
                      </pic:pic>
                    </a:graphicData>
                  </a:graphic>
                </wp:inline>
              </w:drawing>
            </w:r>
          </w:p>
          <w:p w:rsidR="009574C3" w:rsidRPr="000573A0" w:rsidRDefault="009574C3" w:rsidP="005C6493">
            <w:pPr>
              <w:pStyle w:val="BodyPara1"/>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Hexaware offers following suite of Portia services to its clients:</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Implementation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Static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Interfacing with external systems / Data vendors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Migration of data from external source through AIM</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Functional Support</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Setting up of Chart of Accounts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Security Master setup</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Customization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User Defined Data creation</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Customization of reports</w:t>
            </w:r>
          </w:p>
          <w:p w:rsidR="009574C3" w:rsidRPr="00E17E18" w:rsidRDefault="009574C3" w:rsidP="005C6493">
            <w:pPr>
              <w:pStyle w:val="DisplayHeading"/>
              <w:rPr>
                <w:rFonts w:asciiTheme="minorHAnsi" w:hAnsiTheme="minorHAnsi" w:cs="Arial"/>
                <w:sz w:val="24"/>
              </w:rPr>
            </w:pPr>
            <w:r w:rsidRPr="00E17E18">
              <w:rPr>
                <w:rFonts w:asciiTheme="minorHAnsi" w:hAnsiTheme="minorHAnsi" w:cs="Arial"/>
                <w:sz w:val="24"/>
              </w:rPr>
              <w:t>Testing Services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Test Strategy Creation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lastRenderedPageBreak/>
              <w:t xml:space="preserve">Scenario Building </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Data Migration testing Using proprietary tools</w:t>
            </w:r>
          </w:p>
          <w:p w:rsidR="009574C3"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 xml:space="preserve">SIT / UAT testing </w:t>
            </w:r>
          </w:p>
          <w:p w:rsidR="0087720D" w:rsidRPr="000573A0" w:rsidRDefault="009574C3"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573A0">
              <w:rPr>
                <w:rFonts w:asciiTheme="minorHAnsi" w:hAnsiTheme="minorHAnsi" w:cs="Times New Roman"/>
                <w:color w:val="3F3F3F"/>
                <w:szCs w:val="22"/>
                <w:lang w:val="en-US" w:bidi="en-US"/>
              </w:rPr>
              <w:t>Parallel run data compare using RECON tools</w:t>
            </w:r>
          </w:p>
          <w:p w:rsidR="00D95F82" w:rsidRDefault="00D95F82" w:rsidP="00D95F82">
            <w:pPr>
              <w:pStyle w:val="BulletList0"/>
              <w:rPr>
                <w:rFonts w:asciiTheme="minorHAnsi" w:hAnsiTheme="minorHAnsi" w:cs="Arial"/>
                <w:szCs w:val="22"/>
              </w:rPr>
            </w:pPr>
          </w:p>
          <w:p w:rsidR="00D95F82" w:rsidRPr="00E17E18" w:rsidRDefault="00D95F82" w:rsidP="00D95F82">
            <w:pPr>
              <w:pStyle w:val="DisplayHeading"/>
              <w:rPr>
                <w:rFonts w:asciiTheme="minorHAnsi" w:hAnsiTheme="minorHAnsi" w:cs="Arial"/>
                <w:sz w:val="24"/>
              </w:rPr>
            </w:pPr>
            <w:r w:rsidRPr="00E17E18">
              <w:rPr>
                <w:rFonts w:asciiTheme="minorHAnsi" w:hAnsiTheme="minorHAnsi" w:cs="Arial"/>
                <w:sz w:val="24"/>
              </w:rPr>
              <w:t>Data Management Capabilities</w:t>
            </w:r>
          </w:p>
          <w:p w:rsidR="00D95F82" w:rsidRPr="007B2041" w:rsidRDefault="00D95F82" w:rsidP="00D95F82">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We have implemented solutions for consolidation, enrichment and creation of gold copy for security and price data, and managing account and client reference data. Our solution involves implementing validations and hierarchical rules that helps client for portfolio valuations and trade processing.</w:t>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Security Data Management Landscape:</w:t>
            </w:r>
          </w:p>
          <w:p w:rsidR="00D95F82" w:rsidRDefault="00D95F82" w:rsidP="00D95F82">
            <w:pPr>
              <w:pStyle w:val="BodyPara1"/>
              <w:rPr>
                <w:rFonts w:asciiTheme="minorHAnsi" w:hAnsiTheme="minorHAnsi" w:cs="Arial"/>
                <w:b/>
                <w:color w:val="000080"/>
                <w:szCs w:val="22"/>
                <w:u w:val="single"/>
                <w:lang w:val="en-GB"/>
              </w:rPr>
            </w:pPr>
            <w:r w:rsidRPr="003A0CD8">
              <w:rPr>
                <w:rFonts w:asciiTheme="minorHAnsi" w:hAnsiTheme="minorHAnsi" w:cs="Arial"/>
                <w:b/>
                <w:noProof/>
                <w:color w:val="000080"/>
                <w:szCs w:val="22"/>
                <w:u w:val="single"/>
                <w:lang w:val="en-US"/>
              </w:rPr>
              <w:drawing>
                <wp:inline distT="0" distB="0" distL="0" distR="0">
                  <wp:extent cx="5943600" cy="3638550"/>
                  <wp:effectExtent l="19050" t="0" r="0" b="0"/>
                  <wp:docPr id="28"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65184" cy="4512319"/>
                            <a:chOff x="228600" y="1523999"/>
                            <a:chExt cx="8765184" cy="4512319"/>
                          </a:xfrm>
                        </a:grpSpPr>
                        <a:grpSp>
                          <a:nvGrpSpPr>
                            <a:cNvPr id="31" name="Group 30"/>
                            <a:cNvGrpSpPr/>
                          </a:nvGrpSpPr>
                          <a:grpSpPr>
                            <a:xfrm>
                              <a:off x="228600" y="1523999"/>
                              <a:ext cx="8765184" cy="4512319"/>
                              <a:chOff x="150813" y="1049371"/>
                              <a:chExt cx="8864574" cy="4973711"/>
                            </a:xfrm>
                          </a:grpSpPr>
                          <a:sp>
                            <a:nvSpPr>
                              <a:cNvPr id="32" name="Text Box 5"/>
                              <a:cNvSpPr txBox="1">
                                <a:spLocks noChangeArrowheads="1"/>
                              </a:cNvSpPr>
                            </a:nvSpPr>
                            <a:spPr bwMode="auto">
                              <a:xfrm>
                                <a:off x="3162300" y="2852738"/>
                                <a:ext cx="1139825" cy="361950"/>
                              </a:xfrm>
                              <a:prstGeom prst="rect">
                                <a:avLst/>
                              </a:prstGeom>
                              <a:noFill/>
                              <a:ln w="9525">
                                <a:noFill/>
                                <a:miter lim="800000"/>
                                <a:headEnd/>
                                <a:tailEnd/>
                              </a:ln>
                            </a:spPr>
                            <a:txSp>
                              <a:txBody>
                                <a:bodyPr lIns="0" tIns="0" rIns="0" bIns="0"/>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en-US" sz="1200" b="0" i="0" u="none" strike="noStrike" kern="0" cap="none" spc="0" normalizeH="0" baseline="0" noProof="0" dirty="0">
                                    <a:ln>
                                      <a:noFill/>
                                    </a:ln>
                                    <a:solidFill>
                                      <a:sysClr val="windowText" lastClr="000000"/>
                                    </a:solidFill>
                                    <a:effectLst/>
                                    <a:uLnTx/>
                                    <a:uFillTx/>
                                    <a:latin typeface="Calibri" pitchFamily="34" charset="0"/>
                                  </a:endParaRPr>
                                </a:p>
                              </a:txBody>
                              <a:useSpRect/>
                            </a:txSp>
                          </a:sp>
                          <a:sp>
                            <a:nvSpPr>
                              <a:cNvPr id="33" name="Rectangle 32"/>
                              <a:cNvSpPr>
                                <a:spLocks noChangeArrowheads="1"/>
                              </a:cNvSpPr>
                            </a:nvSpPr>
                            <a:spPr bwMode="auto">
                              <a:xfrm>
                                <a:off x="457200" y="2630488"/>
                                <a:ext cx="7684524" cy="291208"/>
                              </a:xfrm>
                              <a:prstGeom prst="rect">
                                <a:avLst/>
                              </a:prstGeom>
                              <a:noFill/>
                              <a:ln w="9525">
                                <a:noFill/>
                                <a:miter lim="800000"/>
                                <a:headEnd/>
                                <a:tailEnd/>
                              </a:ln>
                              <a:effectLst/>
                            </a:spPr>
                            <a:txSp>
                              <a:txBody>
                                <a:bodyPr wrap="square" anchor="ctr">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1" fontAlgn="auto" latinLnBrk="0" hangingPunct="1">
                                    <a:lnSpc>
                                      <a:spcPct val="100000"/>
                                    </a:lnSpc>
                                    <a:spcBef>
                                      <a:spcPts val="0"/>
                                    </a:spcBef>
                                    <a:spcAft>
                                      <a:spcPts val="0"/>
                                    </a:spcAft>
                                    <a:buClrTx/>
                                    <a:buSzTx/>
                                    <a:buFontTx/>
                                    <a:buNone/>
                                    <a:tabLst/>
                                    <a:defRPr/>
                                  </a:pPr>
                                  <a:endParaRPr kumimoji="0" lang="en-US" sz="1200" b="0" i="0" u="none" strike="noStrike" kern="0" cap="none" spc="0" normalizeH="0" baseline="0" noProof="0" dirty="0">
                                    <a:ln>
                                      <a:noFill/>
                                    </a:ln>
                                    <a:solidFill>
                                      <a:sysClr val="windowText" lastClr="000000"/>
                                    </a:solidFill>
                                    <a:effectLst/>
                                    <a:uLnTx/>
                                    <a:uFillTx/>
                                    <a:latin typeface="Calibri" pitchFamily="34" charset="0"/>
                                  </a:endParaRPr>
                                </a:p>
                              </a:txBody>
                              <a:useSpRect/>
                            </a:txSp>
                          </a:sp>
                          <a:sp>
                            <a:nvSpPr>
                              <a:cNvPr id="34" name="Rectangle 10"/>
                              <a:cNvSpPr>
                                <a:spLocks noChangeArrowheads="1"/>
                              </a:cNvSpPr>
                            </a:nvSpPr>
                            <a:spPr bwMode="auto">
                              <a:xfrm>
                                <a:off x="150813" y="2288838"/>
                                <a:ext cx="8432800" cy="504824"/>
                              </a:xfrm>
                              <a:prstGeom prst="rect">
                                <a:avLst/>
                              </a:prstGeo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headEnd/>
                                <a:tailEnd/>
                              </a:ln>
                              <a:effectLst>
                                <a:outerShdw blurRad="40000" dist="20000" dir="5400000" rotWithShape="0">
                                  <a:srgbClr val="000000">
                                    <a:alpha val="38000"/>
                                  </a:srgbClr>
                                </a:outerShdw>
                              </a:effectLst>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200" b="0" i="0" u="none" strike="noStrike" kern="0" cap="none" spc="0" normalizeH="0" baseline="0" noProof="0" dirty="0">
                                    <a:ln>
                                      <a:noFill/>
                                    </a:ln>
                                    <a:solidFill>
                                      <a:sysClr val="windowText" lastClr="000000"/>
                                    </a:solidFill>
                                    <a:effectLst/>
                                    <a:uLnTx/>
                                    <a:uFillTx/>
                                    <a:latin typeface="Calibri" pitchFamily="34" charset="0"/>
                                    <a:ea typeface="+mn-ea"/>
                                    <a:cs typeface="+mn-cs"/>
                                  </a:endParaRPr>
                                </a:p>
                              </a:txBody>
                              <a:useSpRect/>
                            </a:txSp>
                          </a:sp>
                          <a:sp>
                            <a:nvSpPr>
                              <a:cNvPr id="35" name="Text Box 11"/>
                              <a:cNvSpPr txBox="1">
                                <a:spLocks noChangeArrowheads="1"/>
                              </a:cNvSpPr>
                            </a:nvSpPr>
                            <a:spPr bwMode="auto">
                              <a:xfrm>
                                <a:off x="4032250" y="3349625"/>
                                <a:ext cx="997531" cy="291208"/>
                              </a:xfrm>
                              <a:prstGeom prst="rect">
                                <a:avLst/>
                              </a:prstGeom>
                              <a:noFill/>
                              <a:ln w="9525">
                                <a:noFill/>
                                <a:miter lim="800000"/>
                                <a:headEnd/>
                                <a:tailEnd/>
                              </a:ln>
                              <a:effectLst/>
                            </a:spPr>
                            <a:txSp>
                              <a:txBody>
                                <a:bodyPr wrap="none">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defTabSz="914400" eaLnBrk="1" fontAlgn="auto" latinLnBrk="0" hangingPunct="1">
                                    <a:lnSpc>
                                      <a:spcPct val="100000"/>
                                    </a:lnSpc>
                                    <a:spcBef>
                                      <a:spcPts val="0"/>
                                    </a:spcBef>
                                    <a:spcAft>
                                      <a:spcPts val="0"/>
                                    </a:spcAft>
                                    <a:buClrTx/>
                                    <a:buSzTx/>
                                    <a:buFontTx/>
                                    <a:buNone/>
                                    <a:tabLst/>
                                    <a:defRPr/>
                                  </a:pPr>
                                  <a:r>
                                    <a:rPr kumimoji="0" lang="en-US" sz="1200" b="0" i="0" u="none" strike="noStrike" kern="0" cap="none" spc="0" normalizeH="0" baseline="0" noProof="0" dirty="0">
                                      <a:ln>
                                        <a:noFill/>
                                      </a:ln>
                                      <a:solidFill>
                                        <a:sysClr val="windowText" lastClr="000000"/>
                                      </a:solidFill>
                                      <a:effectLst/>
                                      <a:uLnTx/>
                                      <a:uFillTx/>
                                      <a:latin typeface="Calibri" pitchFamily="34" charset="0"/>
                                    </a:rPr>
                                    <a:t>Confirmation</a:t>
                                  </a:r>
                                </a:p>
                              </a:txBody>
                              <a:useSpRect/>
                            </a:txSp>
                          </a:sp>
                          <a:sp>
                            <a:nvSpPr>
                              <a:cNvPr id="36" name="Rectangle 14"/>
                              <a:cNvSpPr>
                                <a:spLocks noChangeArrowheads="1"/>
                              </a:cNvSpPr>
                            </a:nvSpPr>
                            <a:spPr bwMode="auto">
                              <a:xfrm>
                                <a:off x="190500" y="3390633"/>
                                <a:ext cx="13716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Pre – Trade Analytics</a:t>
                                  </a:r>
                                </a:p>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(Sales and Trading)</a:t>
                                  </a:r>
                                </a:p>
                              </a:txBody>
                              <a:useSpRect/>
                            </a:txSp>
                            <a:style>
                              <a:lnRef idx="1">
                                <a:schemeClr val="accent1"/>
                              </a:lnRef>
                              <a:fillRef idx="2">
                                <a:schemeClr val="accent1"/>
                              </a:fillRef>
                              <a:effectRef idx="1">
                                <a:schemeClr val="accent1"/>
                              </a:effectRef>
                              <a:fontRef idx="minor">
                                <a:schemeClr val="dk1"/>
                              </a:fontRef>
                            </a:style>
                          </a:sp>
                          <a:sp>
                            <a:nvSpPr>
                              <a:cNvPr id="37" name="Rectangle 17"/>
                              <a:cNvSpPr>
                                <a:spLocks noChangeArrowheads="1"/>
                              </a:cNvSpPr>
                            </a:nvSpPr>
                            <a:spPr bwMode="auto">
                              <a:xfrm>
                                <a:off x="1819275" y="3390633"/>
                                <a:ext cx="14478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Front Office (Sales and Trading)</a:t>
                                  </a:r>
                                </a:p>
                              </a:txBody>
                              <a:useSpRect/>
                            </a:txSp>
                            <a:style>
                              <a:lnRef idx="1">
                                <a:schemeClr val="accent1"/>
                              </a:lnRef>
                              <a:fillRef idx="2">
                                <a:schemeClr val="accent1"/>
                              </a:fillRef>
                              <a:effectRef idx="1">
                                <a:schemeClr val="accent1"/>
                              </a:effectRef>
                              <a:fontRef idx="minor">
                                <a:schemeClr val="dk1"/>
                              </a:fontRef>
                            </a:style>
                          </a:sp>
                          <a:sp>
                            <a:nvSpPr>
                              <a:cNvPr id="38" name="Rectangle 20"/>
                              <a:cNvSpPr>
                                <a:spLocks noChangeArrowheads="1"/>
                              </a:cNvSpPr>
                            </a:nvSpPr>
                            <a:spPr bwMode="auto">
                              <a:xfrm>
                                <a:off x="3524250" y="3376345"/>
                                <a:ext cx="16002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Middle Office (Market Risk, Credit Risk Analysis)</a:t>
                                  </a:r>
                                </a:p>
                              </a:txBody>
                              <a:useSpRect/>
                            </a:txSp>
                            <a:style>
                              <a:lnRef idx="1">
                                <a:schemeClr val="accent1"/>
                              </a:lnRef>
                              <a:fillRef idx="2">
                                <a:schemeClr val="accent1"/>
                              </a:fillRef>
                              <a:effectRef idx="1">
                                <a:schemeClr val="accent1"/>
                              </a:effectRef>
                              <a:fontRef idx="minor">
                                <a:schemeClr val="dk1"/>
                              </a:fontRef>
                            </a:style>
                          </a:sp>
                          <a:sp>
                            <a:nvSpPr>
                              <a:cNvPr id="39" name="Rectangle 23"/>
                              <a:cNvSpPr>
                                <a:spLocks noChangeArrowheads="1"/>
                              </a:cNvSpPr>
                            </a:nvSpPr>
                            <a:spPr bwMode="auto">
                              <a:xfrm>
                                <a:off x="5343525" y="3390633"/>
                                <a:ext cx="1600200"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Back Office (Clearing, Settlement, Custody, Trust)</a:t>
                                  </a:r>
                                </a:p>
                              </a:txBody>
                              <a:useSpRect/>
                            </a:txSp>
                            <a:style>
                              <a:lnRef idx="1">
                                <a:schemeClr val="accent1"/>
                              </a:lnRef>
                              <a:fillRef idx="2">
                                <a:schemeClr val="accent1"/>
                              </a:fillRef>
                              <a:effectRef idx="1">
                                <a:schemeClr val="accent1"/>
                              </a:effectRef>
                              <a:fontRef idx="minor">
                                <a:schemeClr val="dk1"/>
                              </a:fontRef>
                            </a:style>
                          </a:sp>
                          <a:sp>
                            <a:nvSpPr>
                              <a:cNvPr id="40" name="Rectangle 26"/>
                              <a:cNvSpPr>
                                <a:spLocks noChangeArrowheads="1"/>
                              </a:cNvSpPr>
                            </a:nvSpPr>
                            <a:spPr bwMode="auto">
                              <a:xfrm>
                                <a:off x="7162800" y="3376345"/>
                                <a:ext cx="1425575" cy="954354"/>
                              </a:xfrm>
                              <a:prstGeom prst="roundRect">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Post – Trade Analytics  (Sales, Trade, Risk, etc.)</a:t>
                                  </a:r>
                                </a:p>
                              </a:txBody>
                              <a:useSpRect/>
                            </a:txSp>
                            <a:style>
                              <a:lnRef idx="1">
                                <a:schemeClr val="accent1"/>
                              </a:lnRef>
                              <a:fillRef idx="2">
                                <a:schemeClr val="accent1"/>
                              </a:fillRef>
                              <a:effectRef idx="1">
                                <a:schemeClr val="accent1"/>
                              </a:effectRef>
                              <a:fontRef idx="minor">
                                <a:schemeClr val="dk1"/>
                              </a:fontRef>
                            </a:style>
                          </a:sp>
                          <a:sp>
                            <a:nvSpPr>
                              <a:cNvPr id="41" name="Rectangle 27"/>
                              <a:cNvSpPr>
                                <a:spLocks noChangeArrowheads="1"/>
                              </a:cNvSpPr>
                            </a:nvSpPr>
                            <a:spPr bwMode="auto">
                              <a:xfrm>
                                <a:off x="184150" y="1760201"/>
                                <a:ext cx="8377238" cy="417512"/>
                              </a:xfrm>
                              <a:prstGeom prst="roundRect">
                                <a:avLst/>
                              </a:prstGeo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ysClr val="windowText" lastClr="000000"/>
                                      </a:solidFill>
                                      <a:effectLst/>
                                      <a:uLnTx/>
                                      <a:uFillTx/>
                                      <a:latin typeface="Calibri" pitchFamily="34" charset="0"/>
                                      <a:ea typeface="+mn-ea"/>
                                      <a:cs typeface="+mn-cs"/>
                                    </a:rPr>
                                    <a:t>Data Distribution Platform</a:t>
                                  </a:r>
                                </a:p>
                              </a:txBody>
                              <a:useSpRect/>
                            </a:txSp>
                          </a:sp>
                          <a:sp>
                            <a:nvSpPr>
                              <a:cNvPr id="42" name="Rectangle 28"/>
                              <a:cNvSpPr>
                                <a:spLocks noChangeArrowheads="1"/>
                              </a:cNvSpPr>
                            </a:nvSpPr>
                            <a:spPr bwMode="auto">
                              <a:xfrm>
                                <a:off x="153465" y="5200817"/>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Equity</a:t>
                                  </a:r>
                                </a:p>
                              </a:txBody>
                              <a:useSpRect/>
                            </a:txSp>
                          </a:sp>
                          <a:sp>
                            <a:nvSpPr>
                              <a:cNvPr id="43" name="Rectangle 29"/>
                              <a:cNvSpPr>
                                <a:spLocks noChangeArrowheads="1"/>
                              </a:cNvSpPr>
                            </a:nvSpPr>
                            <a:spPr bwMode="auto">
                              <a:xfrm>
                                <a:off x="1399260" y="5206132"/>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Fixed </a:t>
                                  </a:r>
                                </a:p>
                                <a:p>
                                  <a:pPr algn="ctr" fontAlgn="auto">
                                    <a:spcBef>
                                      <a:spcPts val="0"/>
                                    </a:spcBef>
                                    <a:spcAft>
                                      <a:spcPts val="0"/>
                                    </a:spcAft>
                                    <a:defRPr/>
                                  </a:pPr>
                                  <a:r>
                                    <a:rPr lang="en-US" sz="1200" b="1" kern="0" dirty="0">
                                      <a:solidFill>
                                        <a:schemeClr val="bg1"/>
                                      </a:solidFill>
                                      <a:latin typeface="Calibri" pitchFamily="34" charset="0"/>
                                      <a:ea typeface="+mn-ea"/>
                                      <a:cs typeface="+mn-cs"/>
                                    </a:rPr>
                                    <a:t>Income</a:t>
                                  </a:r>
                                </a:p>
                              </a:txBody>
                              <a:useSpRect/>
                            </a:txSp>
                          </a:sp>
                          <a:sp>
                            <a:nvSpPr>
                              <a:cNvPr id="44" name="Rectangle 30"/>
                              <a:cNvSpPr>
                                <a:spLocks noChangeArrowheads="1"/>
                              </a:cNvSpPr>
                            </a:nvSpPr>
                            <a:spPr bwMode="auto">
                              <a:xfrm>
                                <a:off x="2645055" y="5208789"/>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Money </a:t>
                                  </a:r>
                                </a:p>
                                <a:p>
                                  <a:pPr algn="ctr" fontAlgn="auto">
                                    <a:spcBef>
                                      <a:spcPts val="0"/>
                                    </a:spcBef>
                                    <a:spcAft>
                                      <a:spcPts val="0"/>
                                    </a:spcAft>
                                    <a:defRPr/>
                                  </a:pPr>
                                  <a:r>
                                    <a:rPr lang="en-US" sz="1200" b="1" kern="0" dirty="0">
                                      <a:solidFill>
                                        <a:schemeClr val="bg1"/>
                                      </a:solidFill>
                                      <a:latin typeface="Calibri" pitchFamily="34" charset="0"/>
                                      <a:ea typeface="+mn-ea"/>
                                      <a:cs typeface="+mn-cs"/>
                                    </a:rPr>
                                    <a:t>Market</a:t>
                                  </a:r>
                                </a:p>
                              </a:txBody>
                              <a:useSpRect/>
                            </a:txSp>
                          </a:sp>
                          <a:sp>
                            <a:nvSpPr>
                              <a:cNvPr id="45" name="Rectangle 31"/>
                              <a:cNvSpPr>
                                <a:spLocks noChangeArrowheads="1"/>
                              </a:cNvSpPr>
                            </a:nvSpPr>
                            <a:spPr bwMode="auto">
                              <a:xfrm>
                                <a:off x="3890849" y="5211447"/>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FX Cash</a:t>
                                  </a:r>
                                </a:p>
                              </a:txBody>
                              <a:useSpRect/>
                            </a:txSp>
                          </a:sp>
                          <a:sp>
                            <a:nvSpPr>
                              <a:cNvPr id="46" name="Rectangle 32"/>
                              <a:cNvSpPr>
                                <a:spLocks noChangeArrowheads="1"/>
                              </a:cNvSpPr>
                            </a:nvSpPr>
                            <a:spPr bwMode="auto">
                              <a:xfrm>
                                <a:off x="5136644" y="5214104"/>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Commodities</a:t>
                                  </a:r>
                                </a:p>
                              </a:txBody>
                              <a:useSpRect/>
                            </a:txSp>
                          </a:sp>
                          <a:sp>
                            <a:nvSpPr>
                              <a:cNvPr id="47" name="Rectangle 33"/>
                              <a:cNvSpPr>
                                <a:spLocks noChangeArrowheads="1"/>
                              </a:cNvSpPr>
                            </a:nvSpPr>
                            <a:spPr bwMode="auto">
                              <a:xfrm>
                                <a:off x="6382439" y="5216763"/>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smtClean="0">
                                      <a:solidFill>
                                        <a:schemeClr val="bg1"/>
                                      </a:solidFill>
                                      <a:latin typeface="Calibri" pitchFamily="34" charset="0"/>
                                      <a:ea typeface="+mn-ea"/>
                                      <a:cs typeface="+mn-cs"/>
                                    </a:rPr>
                                    <a:t>Derivatives</a:t>
                                  </a:r>
                                  <a:endParaRPr lang="en-US" sz="1200" b="1" kern="0" dirty="0">
                                    <a:solidFill>
                                      <a:schemeClr val="bg1"/>
                                    </a:solidFill>
                                    <a:latin typeface="Calibri" pitchFamily="34" charset="0"/>
                                    <a:ea typeface="+mn-ea"/>
                                    <a:cs typeface="+mn-cs"/>
                                  </a:endParaRPr>
                                </a:p>
                              </a:txBody>
                              <a:useSpRect/>
                            </a:txSp>
                          </a:sp>
                          <a:sp>
                            <a:nvSpPr>
                              <a:cNvPr id="48" name="Rectangle 36"/>
                              <a:cNvSpPr>
                                <a:spLocks noChangeArrowheads="1"/>
                              </a:cNvSpPr>
                            </a:nvSpPr>
                            <a:spPr bwMode="auto">
                              <a:xfrm>
                                <a:off x="7628233" y="5203474"/>
                                <a:ext cx="924769" cy="806319"/>
                              </a:xfrm>
                              <a:prstGeom prst="roundRect">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MBS / ABS</a:t>
                                  </a:r>
                                </a:p>
                              </a:txBody>
                              <a:useSpRect/>
                            </a:txSp>
                          </a:sp>
                          <a:sp>
                            <a:nvSpPr>
                              <a:cNvPr id="49" name="AutoShape 37"/>
                              <a:cNvSpPr>
                                <a:spLocks noChangeArrowheads="1"/>
                              </a:cNvSpPr>
                            </a:nvSpPr>
                            <a:spPr bwMode="gray">
                              <a:xfrm>
                                <a:off x="1981200" y="1055719"/>
                                <a:ext cx="1362075"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Market Data</a:t>
                                  </a:r>
                                </a:p>
                              </a:txBody>
                              <a:useSpRect/>
                            </a:txSp>
                          </a:sp>
                          <a:sp>
                            <a:nvSpPr>
                              <a:cNvPr id="50" name="AutoShape 38"/>
                              <a:cNvSpPr>
                                <a:spLocks noChangeArrowheads="1"/>
                              </a:cNvSpPr>
                            </a:nvSpPr>
                            <a:spPr bwMode="gray">
                              <a:xfrm>
                                <a:off x="3692525" y="1085883"/>
                                <a:ext cx="1346200"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Derived Data</a:t>
                                  </a:r>
                                </a:p>
                              </a:txBody>
                              <a:useSpRect/>
                            </a:txSp>
                          </a:sp>
                          <a:sp>
                            <a:nvSpPr>
                              <a:cNvPr id="51" name="AutoShape 39"/>
                              <a:cNvSpPr>
                                <a:spLocks noChangeArrowheads="1"/>
                              </a:cNvSpPr>
                            </a:nvSpPr>
                            <a:spPr bwMode="gray">
                              <a:xfrm>
                                <a:off x="5386387" y="1057309"/>
                                <a:ext cx="1376362"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Reference Data</a:t>
                                  </a:r>
                                </a:p>
                              </a:txBody>
                              <a:useSpRect/>
                            </a:txSp>
                          </a:sp>
                          <a:sp>
                            <a:nvSpPr>
                              <a:cNvPr id="52" name="AutoShape 40"/>
                              <a:cNvSpPr>
                                <a:spLocks noChangeArrowheads="1"/>
                              </a:cNvSpPr>
                            </a:nvSpPr>
                            <a:spPr bwMode="gray">
                              <a:xfrm>
                                <a:off x="204788" y="1049371"/>
                                <a:ext cx="1419225"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chemeClr val="bg1"/>
                                      </a:solidFill>
                                      <a:effectLst/>
                                      <a:uLnTx/>
                                      <a:uFillTx/>
                                      <a:latin typeface="Calibri" pitchFamily="34" charset="0"/>
                                      <a:ea typeface="+mn-ea"/>
                                      <a:cs typeface="+mn-cs"/>
                                    </a:rPr>
                                    <a:t>Static Data</a:t>
                                  </a:r>
                                </a:p>
                              </a:txBody>
                              <a:useSpRect/>
                            </a:txSp>
                          </a:sp>
                          <a:sp>
                            <a:nvSpPr>
                              <a:cNvPr id="53" name="AutoShape 41"/>
                              <a:cNvSpPr>
                                <a:spLocks noChangeArrowheads="1"/>
                              </a:cNvSpPr>
                            </a:nvSpPr>
                            <a:spPr bwMode="gray">
                              <a:xfrm>
                                <a:off x="7275512" y="1050959"/>
                                <a:ext cx="1244600" cy="574675"/>
                              </a:xfrm>
                              <a:prstGeom prst="roundRect">
                                <a:avLst>
                                  <a:gd name="adj" fmla="val 50000"/>
                                </a:avLst>
                              </a:prstGeom>
                              <a:solidFill>
                                <a:srgbClr val="002A4A"/>
                              </a:solidFill>
                              <a:ln w="9525" cap="flat" cmpd="sng" algn="ctr">
                                <a:solidFill>
                                  <a:srgbClr val="8064A2">
                                    <a:shade val="95000"/>
                                    <a:satMod val="105000"/>
                                  </a:srgbClr>
                                </a:solidFill>
                                <a:prstDash val="solid"/>
                                <a:headEnd/>
                                <a:tailEnd/>
                              </a:ln>
                              <a:effectLst>
                                <a:outerShdw blurRad="40000" dist="20000" dir="5400000" rotWithShape="0">
                                  <a:srgbClr val="000000">
                                    <a:alpha val="38000"/>
                                  </a:srgbClr>
                                </a:outerShdw>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fontAlgn="auto">
                                    <a:spcBef>
                                      <a:spcPts val="0"/>
                                    </a:spcBef>
                                    <a:spcAft>
                                      <a:spcPts val="0"/>
                                    </a:spcAft>
                                    <a:defRPr/>
                                  </a:pPr>
                                  <a:r>
                                    <a:rPr lang="en-US" sz="1200" b="1" kern="0" dirty="0">
                                      <a:solidFill>
                                        <a:schemeClr val="bg1"/>
                                      </a:solidFill>
                                      <a:latin typeface="Calibri" pitchFamily="34" charset="0"/>
                                      <a:ea typeface="+mn-ea"/>
                                      <a:cs typeface="+mn-cs"/>
                                    </a:rPr>
                                    <a:t>Trade Data</a:t>
                                  </a:r>
                                </a:p>
                              </a:txBody>
                              <a:useSpRect/>
                            </a:txSp>
                          </a:sp>
                          <a:sp>
                            <a:nvSpPr>
                              <a:cNvPr id="54" name="AutoShape 47"/>
                              <a:cNvSpPr>
                                <a:spLocks noChangeArrowheads="1"/>
                              </a:cNvSpPr>
                            </a:nvSpPr>
                            <a:spPr bwMode="auto">
                              <a:xfrm>
                                <a:off x="196850" y="2385676"/>
                                <a:ext cx="933450"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    Order    </a:t>
                                  </a:r>
                                </a:p>
                              </a:txBody>
                              <a:useSpRect/>
                            </a:txSp>
                            <a:style>
                              <a:lnRef idx="1">
                                <a:schemeClr val="accent1"/>
                              </a:lnRef>
                              <a:fillRef idx="2">
                                <a:schemeClr val="accent1"/>
                              </a:fillRef>
                              <a:effectRef idx="1">
                                <a:schemeClr val="accent1"/>
                              </a:effectRef>
                              <a:fontRef idx="minor">
                                <a:schemeClr val="dk1"/>
                              </a:fontRef>
                            </a:style>
                          </a:sp>
                          <a:sp>
                            <a:nvSpPr>
                              <a:cNvPr id="55" name="AutoShape 48"/>
                              <a:cNvSpPr>
                                <a:spLocks noChangeArrowheads="1"/>
                              </a:cNvSpPr>
                            </a:nvSpPr>
                            <a:spPr bwMode="auto">
                              <a:xfrm>
                                <a:off x="1220788" y="2395201"/>
                                <a:ext cx="917575" cy="315912"/>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Trade Entry</a:t>
                                  </a:r>
                                </a:p>
                              </a:txBody>
                              <a:useSpRect/>
                            </a:txSp>
                            <a:style>
                              <a:lnRef idx="1">
                                <a:schemeClr val="accent1"/>
                              </a:lnRef>
                              <a:fillRef idx="2">
                                <a:schemeClr val="accent1"/>
                              </a:fillRef>
                              <a:effectRef idx="1">
                                <a:schemeClr val="accent1"/>
                              </a:effectRef>
                              <a:fontRef idx="minor">
                                <a:schemeClr val="dk1"/>
                              </a:fontRef>
                            </a:style>
                          </a:sp>
                          <a:sp>
                            <a:nvSpPr>
                              <a:cNvPr id="56" name="AutoShape 49"/>
                              <a:cNvSpPr>
                                <a:spLocks noChangeArrowheads="1"/>
                              </a:cNvSpPr>
                            </a:nvSpPr>
                            <a:spPr bwMode="auto">
                              <a:xfrm>
                                <a:off x="2244725" y="2390438"/>
                                <a:ext cx="974725"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 Position Mgmt</a:t>
                                  </a:r>
                                </a:p>
                              </a:txBody>
                              <a:useSpRect/>
                            </a:txSp>
                            <a:style>
                              <a:lnRef idx="1">
                                <a:schemeClr val="accent1"/>
                              </a:lnRef>
                              <a:fillRef idx="2">
                                <a:schemeClr val="accent1"/>
                              </a:fillRef>
                              <a:effectRef idx="1">
                                <a:schemeClr val="accent1"/>
                              </a:effectRef>
                              <a:fontRef idx="minor">
                                <a:schemeClr val="dk1"/>
                              </a:fontRef>
                            </a:style>
                          </a:sp>
                          <a:sp>
                            <a:nvSpPr>
                              <a:cNvPr id="57" name="AutoShape 50"/>
                              <a:cNvSpPr>
                                <a:spLocks noChangeArrowheads="1"/>
                              </a:cNvSpPr>
                            </a:nvSpPr>
                            <a:spPr bwMode="auto">
                              <a:xfrm>
                                <a:off x="3297238" y="2399963"/>
                                <a:ext cx="1033462" cy="301624"/>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Risk Mgmt</a:t>
                                  </a:r>
                                </a:p>
                              </a:txBody>
                              <a:useSpRect/>
                            </a:txSp>
                            <a:style>
                              <a:lnRef idx="1">
                                <a:schemeClr val="accent1"/>
                              </a:lnRef>
                              <a:fillRef idx="2">
                                <a:schemeClr val="accent1"/>
                              </a:fillRef>
                              <a:effectRef idx="1">
                                <a:schemeClr val="accent1"/>
                              </a:effectRef>
                              <a:fontRef idx="minor">
                                <a:schemeClr val="dk1"/>
                              </a:fontRef>
                            </a:style>
                          </a:sp>
                          <a:sp>
                            <a:nvSpPr>
                              <a:cNvPr id="58" name="AutoShape 51"/>
                              <a:cNvSpPr>
                                <a:spLocks noChangeArrowheads="1"/>
                              </a:cNvSpPr>
                            </a:nvSpPr>
                            <a:spPr bwMode="auto">
                              <a:xfrm>
                                <a:off x="4397375" y="2399963"/>
                                <a:ext cx="947738" cy="31591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 Confirmation </a:t>
                                  </a:r>
                                </a:p>
                              </a:txBody>
                              <a:useSpRect/>
                            </a:txSp>
                            <a:style>
                              <a:lnRef idx="1">
                                <a:schemeClr val="accent1"/>
                              </a:lnRef>
                              <a:fillRef idx="2">
                                <a:schemeClr val="accent1"/>
                              </a:fillRef>
                              <a:effectRef idx="1">
                                <a:schemeClr val="accent1"/>
                              </a:effectRef>
                              <a:fontRef idx="minor">
                                <a:schemeClr val="dk1"/>
                              </a:fontRef>
                            </a:style>
                          </a:sp>
                          <a:sp>
                            <a:nvSpPr>
                              <a:cNvPr id="59" name="AutoShape 52"/>
                              <a:cNvSpPr>
                                <a:spLocks noChangeArrowheads="1"/>
                              </a:cNvSpPr>
                            </a:nvSpPr>
                            <a:spPr bwMode="auto">
                              <a:xfrm>
                                <a:off x="5449888" y="2409488"/>
                                <a:ext cx="962025" cy="31591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Payment</a:t>
                                  </a:r>
                                </a:p>
                              </a:txBody>
                              <a:useSpRect/>
                            </a:txSp>
                            <a:style>
                              <a:lnRef idx="1">
                                <a:schemeClr val="accent1"/>
                              </a:lnRef>
                              <a:fillRef idx="2">
                                <a:schemeClr val="accent1"/>
                              </a:fillRef>
                              <a:effectRef idx="1">
                                <a:schemeClr val="accent1"/>
                              </a:effectRef>
                              <a:fontRef idx="minor">
                                <a:schemeClr val="dk1"/>
                              </a:fontRef>
                            </a:style>
                          </a:sp>
                          <a:sp>
                            <a:nvSpPr>
                              <a:cNvPr id="60" name="AutoShape 53"/>
                              <a:cNvSpPr>
                                <a:spLocks noChangeArrowheads="1"/>
                              </a:cNvSpPr>
                            </a:nvSpPr>
                            <a:spPr bwMode="auto">
                              <a:xfrm>
                                <a:off x="6486525" y="2403138"/>
                                <a:ext cx="976313" cy="31591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GL</a:t>
                                  </a:r>
                                </a:p>
                              </a:txBody>
                              <a:useSpRect/>
                            </a:txSp>
                            <a:style>
                              <a:lnRef idx="1">
                                <a:schemeClr val="accent1"/>
                              </a:lnRef>
                              <a:fillRef idx="2">
                                <a:schemeClr val="accent1"/>
                              </a:fillRef>
                              <a:effectRef idx="1">
                                <a:schemeClr val="accent1"/>
                              </a:effectRef>
                              <a:fontRef idx="minor">
                                <a:schemeClr val="dk1"/>
                              </a:fontRef>
                            </a:style>
                          </a:sp>
                          <a:sp>
                            <a:nvSpPr>
                              <a:cNvPr id="61" name="AutoShape 54"/>
                              <a:cNvSpPr>
                                <a:spLocks noChangeArrowheads="1"/>
                              </a:cNvSpPr>
                            </a:nvSpPr>
                            <a:spPr bwMode="auto">
                              <a:xfrm>
                                <a:off x="7631113" y="2398376"/>
                                <a:ext cx="890587" cy="315912"/>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solidFill>
                                        <a:schemeClr val="dk1"/>
                                      </a:solidFill>
                                      <a:latin typeface="Calibri" pitchFamily="34" charset="0"/>
                                      <a:ea typeface="+mn-ea"/>
                                      <a:cs typeface="+mn-cs"/>
                                    </a:rPr>
                                    <a:t>Compliance</a:t>
                                  </a:r>
                                </a:p>
                              </a:txBody>
                              <a:useSpRect/>
                            </a:txSp>
                            <a:style>
                              <a:lnRef idx="1">
                                <a:schemeClr val="accent1"/>
                              </a:lnRef>
                              <a:fillRef idx="2">
                                <a:schemeClr val="accent1"/>
                              </a:fillRef>
                              <a:effectRef idx="1">
                                <a:schemeClr val="accent1"/>
                              </a:effectRef>
                              <a:fontRef idx="minor">
                                <a:schemeClr val="dk1"/>
                              </a:fontRef>
                            </a:style>
                          </a:sp>
                          <a:sp>
                            <a:nvSpPr>
                              <a:cNvPr id="62" name="Rectangle 60"/>
                              <a:cNvSpPr>
                                <a:spLocks noChangeArrowheads="1"/>
                              </a:cNvSpPr>
                            </a:nvSpPr>
                            <a:spPr bwMode="auto">
                              <a:xfrm>
                                <a:off x="165100" y="2898438"/>
                                <a:ext cx="8434388" cy="417513"/>
                              </a:xfrm>
                              <a:prstGeom prst="roundRect">
                                <a:avLst/>
                              </a:prstGeom>
                              <a:solidFill>
                                <a:srgbClr val="F4C9A6"/>
                              </a:solidFill>
                              <a:ln w="9525">
                                <a:solidFill>
                                  <a:sysClr val="windowText" lastClr="000000"/>
                                </a:solidFill>
                                <a:miter lim="800000"/>
                                <a:headEnd/>
                                <a:tailEnd/>
                              </a:ln>
                              <a:effectLst/>
                              <a:scene3d>
                                <a:camera prst="orthographicFront"/>
                                <a:lightRig rig="threePt" dir="t"/>
                              </a:scene3d>
                              <a:sp3d>
                                <a:bevelT/>
                              </a:sp3d>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1" i="0" u="none" strike="noStrike" kern="0" cap="none" spc="0" normalizeH="0" baseline="0" noProof="0" dirty="0">
                                      <a:ln>
                                        <a:noFill/>
                                      </a:ln>
                                      <a:solidFill>
                                        <a:sysClr val="windowText" lastClr="000000"/>
                                      </a:solidFill>
                                      <a:effectLst/>
                                      <a:uLnTx/>
                                      <a:uFillTx/>
                                      <a:latin typeface="Calibri" pitchFamily="34" charset="0"/>
                                    </a:rPr>
                                    <a:t>Data Interfaces </a:t>
                                  </a:r>
                                </a:p>
                              </a:txBody>
                              <a:useSpRect/>
                            </a:txSp>
                          </a:sp>
                          <a:sp>
                            <a:nvSpPr>
                              <a:cNvPr id="63" name="Rectangle 61"/>
                              <a:cNvSpPr>
                                <a:spLocks noChangeArrowheads="1"/>
                              </a:cNvSpPr>
                            </a:nvSpPr>
                            <a:spPr bwMode="auto">
                              <a:xfrm>
                                <a:off x="203200" y="4464048"/>
                                <a:ext cx="8391525" cy="532927"/>
                              </a:xfrm>
                              <a:prstGeom prst="roundRect">
                                <a:avLst/>
                              </a:prstGeo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headEnd/>
                                <a:tailEnd/>
                              </a:ln>
                              <a:effectLst>
                                <a:outerShdw blurRad="40000" dist="20000" dir="5400000" rotWithShape="0">
                                  <a:srgbClr val="000000">
                                    <a:alpha val="38000"/>
                                  </a:srgbClr>
                                </a:outerShdw>
                              </a:effectLst>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endParaRPr kumimoji="0" lang="en-US" sz="1200" b="1" i="0" u="none" strike="noStrike" kern="0" cap="none" spc="0" normalizeH="0" baseline="0" noProof="0" dirty="0">
                                    <a:ln>
                                      <a:noFill/>
                                    </a:ln>
                                    <a:solidFill>
                                      <a:sysClr val="windowText" lastClr="000000"/>
                                    </a:solidFill>
                                    <a:effectLst/>
                                    <a:uLnTx/>
                                    <a:uFillTx/>
                                    <a:latin typeface="Calibri" pitchFamily="34" charset="0"/>
                                    <a:ea typeface="+mn-ea"/>
                                    <a:cs typeface="+mn-cs"/>
                                  </a:endParaRPr>
                                </a:p>
                              </a:txBody>
                              <a:useSpRect/>
                            </a:txSp>
                          </a:sp>
                          <a:sp>
                            <a:nvSpPr>
                              <a:cNvPr id="64" name="AutoShape 62"/>
                              <a:cNvSpPr>
                                <a:spLocks noChangeArrowheads="1"/>
                              </a:cNvSpPr>
                            </a:nvSpPr>
                            <a:spPr bwMode="auto">
                              <a:xfrm>
                                <a:off x="334963" y="4548472"/>
                                <a:ext cx="1209675"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Analytics    </a:t>
                                  </a:r>
                                </a:p>
                              </a:txBody>
                              <a:useSpRect/>
                            </a:txSp>
                            <a:style>
                              <a:lnRef idx="1">
                                <a:schemeClr val="accent1"/>
                              </a:lnRef>
                              <a:fillRef idx="2">
                                <a:schemeClr val="accent1"/>
                              </a:fillRef>
                              <a:effectRef idx="1">
                                <a:schemeClr val="accent1"/>
                              </a:effectRef>
                              <a:fontRef idx="minor">
                                <a:schemeClr val="dk1"/>
                              </a:fontRef>
                            </a:style>
                          </a:sp>
                          <a:sp>
                            <a:nvSpPr>
                              <a:cNvPr id="65" name="AutoShape 63"/>
                              <a:cNvSpPr>
                                <a:spLocks noChangeArrowheads="1"/>
                              </a:cNvSpPr>
                            </a:nvSpPr>
                            <a:spPr bwMode="auto">
                              <a:xfrm>
                                <a:off x="1822450" y="4557997"/>
                                <a:ext cx="1441450"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Pricing </a:t>
                                  </a:r>
                                </a:p>
                              </a:txBody>
                              <a:useSpRect/>
                            </a:txSp>
                            <a:style>
                              <a:lnRef idx="1">
                                <a:schemeClr val="accent1"/>
                              </a:lnRef>
                              <a:fillRef idx="2">
                                <a:schemeClr val="accent1"/>
                              </a:fillRef>
                              <a:effectRef idx="1">
                                <a:schemeClr val="accent1"/>
                              </a:effectRef>
                              <a:fontRef idx="minor">
                                <a:schemeClr val="dk1"/>
                              </a:fontRef>
                            </a:style>
                          </a:sp>
                          <a:sp>
                            <a:nvSpPr>
                              <a:cNvPr id="66" name="AutoShape 64"/>
                              <a:cNvSpPr>
                                <a:spLocks noChangeArrowheads="1"/>
                              </a:cNvSpPr>
                            </a:nvSpPr>
                            <a:spPr bwMode="auto">
                              <a:xfrm>
                                <a:off x="3563938" y="4572285"/>
                                <a:ext cx="1512887"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Reporting </a:t>
                                  </a:r>
                                </a:p>
                              </a:txBody>
                              <a:useSpRect/>
                            </a:txSp>
                            <a:style>
                              <a:lnRef idx="1">
                                <a:schemeClr val="accent1"/>
                              </a:lnRef>
                              <a:fillRef idx="2">
                                <a:schemeClr val="accent1"/>
                              </a:fillRef>
                              <a:effectRef idx="1">
                                <a:schemeClr val="accent1"/>
                              </a:effectRef>
                              <a:fontRef idx="minor">
                                <a:schemeClr val="dk1"/>
                              </a:fontRef>
                            </a:style>
                          </a:sp>
                          <a:sp>
                            <a:nvSpPr>
                              <a:cNvPr id="67" name="AutoShape 65"/>
                              <a:cNvSpPr>
                                <a:spLocks noChangeArrowheads="1"/>
                              </a:cNvSpPr>
                            </a:nvSpPr>
                            <a:spPr bwMode="auto">
                              <a:xfrm>
                                <a:off x="5334000" y="4567522"/>
                                <a:ext cx="1587500"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Data Store </a:t>
                                  </a:r>
                                </a:p>
                              </a:txBody>
                              <a:useSpRect/>
                            </a:txSp>
                            <a:style>
                              <a:lnRef idx="1">
                                <a:schemeClr val="accent1"/>
                              </a:lnRef>
                              <a:fillRef idx="2">
                                <a:schemeClr val="accent1"/>
                              </a:fillRef>
                              <a:effectRef idx="1">
                                <a:schemeClr val="accent1"/>
                              </a:effectRef>
                              <a:fontRef idx="minor">
                                <a:schemeClr val="dk1"/>
                              </a:fontRef>
                            </a:style>
                          </a:sp>
                          <a:sp>
                            <a:nvSpPr>
                              <a:cNvPr id="68" name="AutoShape 66"/>
                              <a:cNvSpPr>
                                <a:spLocks noChangeArrowheads="1"/>
                              </a:cNvSpPr>
                            </a:nvSpPr>
                            <a:spPr bwMode="auto">
                              <a:xfrm>
                                <a:off x="7035800" y="4562760"/>
                                <a:ext cx="1455738" cy="33020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100" dirty="0">
                                      <a:solidFill>
                                        <a:schemeClr val="dk1"/>
                                      </a:solidFill>
                                      <a:latin typeface="Calibri" pitchFamily="34" charset="0"/>
                                      <a:ea typeface="+mn-ea"/>
                                      <a:cs typeface="+mn-cs"/>
                                    </a:rPr>
                                    <a:t> Data Governance</a:t>
                                  </a:r>
                                </a:p>
                              </a:txBody>
                              <a:useSpRect/>
                            </a:txSp>
                            <a:style>
                              <a:lnRef idx="1">
                                <a:schemeClr val="accent1"/>
                              </a:lnRef>
                              <a:fillRef idx="2">
                                <a:schemeClr val="accent1"/>
                              </a:fillRef>
                              <a:effectRef idx="1">
                                <a:schemeClr val="accent1"/>
                              </a:effectRef>
                              <a:fontRef idx="minor">
                                <a:schemeClr val="dk1"/>
                              </a:fontRef>
                            </a:style>
                          </a:sp>
                          <a:sp>
                            <a:nvSpPr>
                              <a:cNvPr id="69" name="Text Box 68"/>
                              <a:cNvSpPr txBox="1">
                                <a:spLocks noChangeArrowheads="1"/>
                              </a:cNvSpPr>
                            </a:nvSpPr>
                            <a:spPr bwMode="auto">
                              <a:xfrm rot="5400000">
                                <a:off x="7576345" y="3470810"/>
                                <a:ext cx="2603499" cy="274585"/>
                              </a:xfrm>
                              <a:prstGeom prst="rect">
                                <a:avLst/>
                              </a:prstGeom>
                              <a:ln>
                                <a:headEnd/>
                                <a:tailEnd/>
                              </a:ln>
                            </a:spPr>
                            <a:txSp>
                              <a:txBody>
                                <a:bodyPr>
                                  <a:spAutoFit/>
                                </a:bodyP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200" b="0" i="0" u="none" strike="noStrike" kern="0" cap="none" spc="0" normalizeH="0" baseline="0" noProof="0" dirty="0">
                                      <a:ln>
                                        <a:noFill/>
                                      </a:ln>
                                      <a:solidFill>
                                        <a:sysClr val="window" lastClr="FFFFFF"/>
                                      </a:solidFill>
                                      <a:effectLst/>
                                      <a:uLnTx/>
                                      <a:uFillTx/>
                                      <a:latin typeface="Calibri" pitchFamily="34" charset="0"/>
                                    </a:rPr>
                                    <a:t>Hexaware Capabilities </a:t>
                                  </a:r>
                                </a:p>
                              </a:txBody>
                              <a:useSpRect/>
                            </a:txSp>
                            <a:style>
                              <a:lnRef idx="0">
                                <a:schemeClr val="accent2"/>
                              </a:lnRef>
                              <a:fillRef idx="3">
                                <a:schemeClr val="accent2"/>
                              </a:fillRef>
                              <a:effectRef idx="3">
                                <a:schemeClr val="accent2"/>
                              </a:effectRef>
                              <a:fontRef idx="minor">
                                <a:schemeClr val="lt1"/>
                              </a:fontRef>
                            </a:style>
                          </a:sp>
                        </a:grpSp>
                      </lc:lockedCanvas>
                    </a:graphicData>
                  </a:graphic>
                </wp:inline>
              </w:drawing>
            </w:r>
          </w:p>
          <w:p w:rsidR="00D95F82" w:rsidRDefault="00D95F82" w:rsidP="00D95F82">
            <w:pPr>
              <w:pStyle w:val="BodyPara1"/>
              <w:rPr>
                <w:rFonts w:asciiTheme="minorHAnsi" w:hAnsiTheme="minorHAnsi" w:cs="Arial"/>
                <w:b/>
                <w:color w:val="000080"/>
                <w:szCs w:val="22"/>
                <w:u w:val="single"/>
                <w:lang w:val="en-GB"/>
              </w:rPr>
            </w:pPr>
          </w:p>
          <w:p w:rsidR="00D95F82" w:rsidRDefault="00D95F82" w:rsidP="00D95F82">
            <w:pPr>
              <w:pStyle w:val="BodyPara1"/>
              <w:rPr>
                <w:rFonts w:asciiTheme="minorHAnsi" w:hAnsiTheme="minorHAnsi" w:cs="Arial"/>
                <w:b/>
                <w:color w:val="000080"/>
                <w:szCs w:val="22"/>
                <w:u w:val="single"/>
                <w:lang w:val="en-GB"/>
              </w:rPr>
            </w:pPr>
          </w:p>
          <w:p w:rsidR="00D95F82" w:rsidRDefault="00D95F82" w:rsidP="00D95F82">
            <w:pPr>
              <w:pStyle w:val="BodyPara1"/>
              <w:rPr>
                <w:rFonts w:asciiTheme="minorHAnsi" w:hAnsiTheme="minorHAnsi" w:cs="Arial"/>
                <w:b/>
                <w:color w:val="000080"/>
                <w:szCs w:val="22"/>
                <w:u w:val="single"/>
                <w:lang w:val="en-GB"/>
              </w:rPr>
            </w:pPr>
          </w:p>
          <w:p w:rsidR="00D95F82" w:rsidRDefault="00D95F82" w:rsidP="00D95F82">
            <w:pPr>
              <w:pStyle w:val="BodyPara1"/>
              <w:rPr>
                <w:rFonts w:asciiTheme="minorHAnsi" w:hAnsiTheme="minorHAnsi" w:cs="Arial"/>
                <w:b/>
                <w:color w:val="000080"/>
                <w:szCs w:val="22"/>
                <w:u w:val="single"/>
                <w:lang w:val="en-GB"/>
              </w:rPr>
            </w:pPr>
          </w:p>
          <w:p w:rsidR="00A77103" w:rsidRDefault="00A77103" w:rsidP="00D95F82">
            <w:pPr>
              <w:pStyle w:val="BodyPara1"/>
              <w:rPr>
                <w:rFonts w:asciiTheme="minorHAnsi" w:hAnsiTheme="minorHAnsi" w:cs="Arial"/>
                <w:b/>
                <w:color w:val="000080"/>
                <w:szCs w:val="22"/>
                <w:u w:val="single"/>
                <w:lang w:val="en-GB"/>
              </w:rPr>
            </w:pPr>
          </w:p>
          <w:p w:rsidR="00FB310B" w:rsidRDefault="00FB310B" w:rsidP="00D95F82">
            <w:pPr>
              <w:pStyle w:val="BodyPara1"/>
              <w:rPr>
                <w:rFonts w:asciiTheme="minorHAnsi" w:hAnsiTheme="minorHAnsi" w:cs="Arial"/>
                <w:b/>
                <w:color w:val="000080"/>
                <w:szCs w:val="22"/>
                <w:u w:val="single"/>
                <w:lang w:val="en-GB"/>
              </w:rPr>
            </w:pPr>
          </w:p>
          <w:p w:rsidR="00A77103" w:rsidRDefault="00A77103" w:rsidP="00D95F82">
            <w:pPr>
              <w:pStyle w:val="BodyPara1"/>
              <w:rPr>
                <w:rFonts w:asciiTheme="minorHAnsi" w:hAnsiTheme="minorHAnsi" w:cs="Arial"/>
                <w:b/>
                <w:color w:val="000080"/>
                <w:szCs w:val="22"/>
                <w:u w:val="single"/>
                <w:lang w:val="en-GB"/>
              </w:rPr>
            </w:pP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Data Management Expertise</w:t>
            </w:r>
          </w:p>
          <w:p w:rsidR="00D95F82" w:rsidRPr="0059717B" w:rsidRDefault="00D95F82" w:rsidP="00D95F82">
            <w:pPr>
              <w:pStyle w:val="BodyPara1"/>
              <w:rPr>
                <w:rFonts w:eastAsia="Calibri" w:cs="Times New Roman"/>
                <w:b/>
                <w:color w:val="000000"/>
                <w:szCs w:val="22"/>
                <w:lang w:val="en-US"/>
              </w:rPr>
            </w:pPr>
            <w:r w:rsidRPr="0059717B">
              <w:rPr>
                <w:rFonts w:eastAsia="Calibri" w:cs="Times New Roman"/>
                <w:b/>
                <w:noProof/>
                <w:color w:val="000000"/>
                <w:szCs w:val="22"/>
                <w:lang w:val="en-US"/>
              </w:rPr>
              <w:drawing>
                <wp:inline distT="0" distB="0" distL="0" distR="0">
                  <wp:extent cx="5943600" cy="3114675"/>
                  <wp:effectExtent l="19050" t="0" r="0" b="0"/>
                  <wp:docPr id="2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743851" cy="5029199"/>
                            <a:chOff x="131862" y="1295400"/>
                            <a:chExt cx="8743851" cy="5029199"/>
                          </a:xfrm>
                        </a:grpSpPr>
                        <a:graphicFrame>
                          <a:nvGraphicFramePr>
                            <a:cNvPr id="70" name="Diagram 69"/>
                            <a:cNvGraphicFramePr/>
                          </a:nvGraphicFramePr>
                          <a:graphic>
                            <a:graphicData uri="http://schemas.openxmlformats.org/drawingml/2006/diagram">
                              <dgm:relIds xmlns:dgm="http://schemas.openxmlformats.org/drawingml/2006/diagram" xmlns:r="http://schemas.openxmlformats.org/officeDocument/2006/relationships" r:dm="rId37" r:lo="rId38" r:qs="rId39" r:cs="rId40"/>
                            </a:graphicData>
                          </a:graphic>
                          <a:xfrm>
                            <a:off x="533400" y="1295400"/>
                            <a:ext cx="8153400" cy="4038600"/>
                          </a:xfrm>
                        </a:graphicFrame>
                        <a:sp>
                          <a:nvSpPr>
                            <a:cNvPr id="71" name="Text Box 20"/>
                            <a:cNvSpPr txBox="1">
                              <a:spLocks noChangeArrowheads="1"/>
                            </a:cNvSpPr>
                          </a:nvSpPr>
                          <a:spPr bwMode="auto">
                            <a:xfrm rot="16200000">
                              <a:off x="-160628" y="5724331"/>
                              <a:ext cx="892758" cy="307777"/>
                            </a:xfrm>
                            <a:prstGeom prst="rect">
                              <a:avLst/>
                            </a:prstGeom>
                            <a:ln>
                              <a:headEnd/>
                              <a:tailEnd/>
                            </a:ln>
                          </a:spPr>
                          <a:txSp>
                            <a:txBody>
                              <a:bodyPr wrap="square">
                                <a:spAutoFit/>
                              </a:bodyP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marL="0" marR="0" lvl="0" indent="0" algn="ctr" defTabSz="914400" eaLnBrk="1" fontAlgn="auto" latinLnBrk="0" hangingPunct="1">
                                  <a:lnSpc>
                                    <a:spcPct val="100000"/>
                                  </a:lnSpc>
                                  <a:spcBef>
                                    <a:spcPct val="50000"/>
                                  </a:spcBef>
                                  <a:spcAft>
                                    <a:spcPts val="0"/>
                                  </a:spcAft>
                                  <a:buClrTx/>
                                  <a:buSzTx/>
                                  <a:buFontTx/>
                                  <a:buNone/>
                                  <a:tabLst/>
                                  <a:defRPr/>
                                </a:pPr>
                                <a:r>
                                  <a:rPr kumimoji="0" lang="en-US" sz="1400" b="0" i="0" u="none" strike="noStrike" kern="0" cap="none" spc="0" normalizeH="0" baseline="0" noProof="0" dirty="0">
                                    <a:ln>
                                      <a:noFill/>
                                    </a:ln>
                                    <a:solidFill>
                                      <a:sysClr val="window" lastClr="FFFFFF"/>
                                    </a:solidFill>
                                    <a:effectLst/>
                                    <a:uLnTx/>
                                    <a:uFillTx/>
                                    <a:latin typeface="Calibri" pitchFamily="34" charset="0"/>
                                    <a:ea typeface="+mn-ea"/>
                                    <a:cs typeface="+mn-cs"/>
                                  </a:rPr>
                                  <a:t> Services</a:t>
                                </a:r>
                              </a:p>
                            </a:txBody>
                            <a:useSpRect/>
                          </a:txSp>
                          <a:style>
                            <a:lnRef idx="0">
                              <a:schemeClr val="accent2"/>
                            </a:lnRef>
                            <a:fillRef idx="3">
                              <a:schemeClr val="accent2"/>
                            </a:fillRef>
                            <a:effectRef idx="3">
                              <a:schemeClr val="accent2"/>
                            </a:effectRef>
                            <a:fontRef idx="minor">
                              <a:schemeClr val="lt1"/>
                            </a:fontRef>
                          </a:style>
                        </a:sp>
                        <a:grpSp>
                          <a:nvGrpSpPr>
                            <a:cNvPr id="72" name="Group 71"/>
                            <a:cNvGrpSpPr/>
                          </a:nvGrpSpPr>
                          <a:grpSpPr>
                            <a:xfrm>
                              <a:off x="612775" y="5460652"/>
                              <a:ext cx="8262938" cy="818361"/>
                              <a:chOff x="612775" y="5440814"/>
                              <a:chExt cx="8262938" cy="838200"/>
                            </a:xfrm>
                          </a:grpSpPr>
                          <a:sp>
                            <a:nvSpPr>
                              <a:cNvPr id="73" name="Rectangle 19"/>
                              <a:cNvSpPr>
                                <a:spLocks noChangeArrowheads="1"/>
                              </a:cNvSpPr>
                            </a:nvSpPr>
                            <a:spPr bwMode="auto">
                              <a:xfrm>
                                <a:off x="612775" y="5440814"/>
                                <a:ext cx="8262938" cy="838200"/>
                              </a:xfrm>
                              <a:prstGeom prst="rect">
                                <a:avLst/>
                              </a:prstGeom>
                              <a:gradFill rotWithShape="1">
                                <a:gsLst>
                                  <a:gs pos="0">
                                    <a:srgbClr val="4F81BD">
                                      <a:tint val="50000"/>
                                      <a:satMod val="300000"/>
                                    </a:srgbClr>
                                  </a:gs>
                                  <a:gs pos="35000">
                                    <a:srgbClr val="4F81BD">
                                      <a:tint val="37000"/>
                                      <a:satMod val="300000"/>
                                    </a:srgbClr>
                                  </a:gs>
                                  <a:gs pos="100000">
                                    <a:srgbClr val="4F81BD">
                                      <a:tint val="15000"/>
                                      <a:satMod val="350000"/>
                                    </a:srgbClr>
                                  </a:gs>
                                </a:gsLst>
                                <a:lin ang="16200000" scaled="1"/>
                              </a:gradFill>
                              <a:ln w="9525" cap="flat" cmpd="sng" algn="ctr">
                                <a:solidFill>
                                  <a:srgbClr val="4F81BD">
                                    <a:shade val="95000"/>
                                    <a:satMod val="105000"/>
                                  </a:srgbClr>
                                </a:solidFill>
                                <a:prstDash val="solid"/>
                                <a:headEnd/>
                                <a:tailEnd/>
                              </a:ln>
                              <a:effectLst>
                                <a:outerShdw blurRad="40000" dist="20000" dir="5400000" rotWithShape="0">
                                  <a:srgbClr val="000000">
                                    <a:alpha val="38000"/>
                                  </a:srgbClr>
                                </a:outerShdw>
                              </a:effectLst>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fontAlgn="auto" latinLnBrk="0" hangingPunct="1">
                                    <a:lnSpc>
                                      <a:spcPct val="100000"/>
                                    </a:lnSpc>
                                    <a:spcBef>
                                      <a:spcPts val="0"/>
                                    </a:spcBef>
                                    <a:spcAft>
                                      <a:spcPts val="0"/>
                                    </a:spcAft>
                                    <a:buClrTx/>
                                    <a:buSzTx/>
                                    <a:buFontTx/>
                                    <a:buNone/>
                                    <a:tabLst/>
                                    <a:defRPr/>
                                  </a:pPr>
                                  <a:r>
                                    <a:rPr kumimoji="0" lang="en-US" sz="1600" b="0" i="0" u="none" strike="noStrike" kern="0" cap="none" spc="0" normalizeH="0" baseline="0" noProof="0" dirty="0">
                                      <a:ln>
                                        <a:noFill/>
                                      </a:ln>
                                      <a:solidFill>
                                        <a:sysClr val="windowText" lastClr="000000"/>
                                      </a:solidFill>
                                      <a:effectLst/>
                                      <a:uLnTx/>
                                      <a:uFillTx/>
                                      <a:latin typeface="Calibri" pitchFamily="34" charset="0"/>
                                      <a:ea typeface="+mn-ea"/>
                                      <a:cs typeface="+mn-cs"/>
                                    </a:rPr>
                                    <a:t> </a:t>
                                  </a:r>
                                </a:p>
                              </a:txBody>
                              <a:useSpRect/>
                            </a:txSp>
                          </a:sp>
                          <a:sp>
                            <a:nvSpPr>
                              <a:cNvPr id="74" name="AutoShape 21"/>
                              <a:cNvSpPr>
                                <a:spLocks noChangeArrowheads="1"/>
                              </a:cNvSpPr>
                            </a:nvSpPr>
                            <a:spPr bwMode="auto">
                              <a:xfrm>
                                <a:off x="677863" y="5561464"/>
                                <a:ext cx="1120775" cy="244475"/>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    Reconciliation     </a:t>
                                  </a:r>
                                </a:p>
                              </a:txBody>
                              <a:useSpRect/>
                            </a:txSp>
                            <a:style>
                              <a:lnRef idx="1">
                                <a:schemeClr val="accent1"/>
                              </a:lnRef>
                              <a:fillRef idx="2">
                                <a:schemeClr val="accent1"/>
                              </a:fillRef>
                              <a:effectRef idx="1">
                                <a:schemeClr val="accent1"/>
                              </a:effectRef>
                              <a:fontRef idx="minor">
                                <a:schemeClr val="dk1"/>
                              </a:fontRef>
                            </a:style>
                          </a:sp>
                          <a:sp>
                            <a:nvSpPr>
                              <a:cNvPr id="75" name="AutoShape 22"/>
                              <a:cNvSpPr>
                                <a:spLocks noChangeArrowheads="1"/>
                              </a:cNvSpPr>
                            </a:nvSpPr>
                            <a:spPr bwMode="auto">
                              <a:xfrm>
                                <a:off x="1911350" y="5544002"/>
                                <a:ext cx="1077913" cy="261937"/>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Research </a:t>
                                  </a:r>
                                </a:p>
                              </a:txBody>
                              <a:useSpRect/>
                            </a:txSp>
                            <a:style>
                              <a:lnRef idx="1">
                                <a:schemeClr val="accent1"/>
                              </a:lnRef>
                              <a:fillRef idx="2">
                                <a:schemeClr val="accent1"/>
                              </a:fillRef>
                              <a:effectRef idx="1">
                                <a:schemeClr val="accent1"/>
                              </a:effectRef>
                              <a:fontRef idx="minor">
                                <a:schemeClr val="dk1"/>
                              </a:fontRef>
                            </a:style>
                          </a:sp>
                          <a:sp>
                            <a:nvSpPr>
                              <a:cNvPr id="76" name="AutoShape 23"/>
                              <a:cNvSpPr>
                                <a:spLocks noChangeArrowheads="1"/>
                              </a:cNvSpPr>
                            </a:nvSpPr>
                            <a:spPr bwMode="auto">
                              <a:xfrm>
                                <a:off x="3176101" y="5918123"/>
                                <a:ext cx="1298448" cy="24765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BPO</a:t>
                                  </a:r>
                                </a:p>
                              </a:txBody>
                              <a:useSpRect/>
                            </a:txSp>
                            <a:style>
                              <a:lnRef idx="1">
                                <a:schemeClr val="accent1"/>
                              </a:lnRef>
                              <a:fillRef idx="2">
                                <a:schemeClr val="accent1"/>
                              </a:fillRef>
                              <a:effectRef idx="1">
                                <a:schemeClr val="accent1"/>
                              </a:effectRef>
                              <a:fontRef idx="minor">
                                <a:schemeClr val="dk1"/>
                              </a:fontRef>
                            </a:style>
                          </a:sp>
                          <a:sp>
                            <a:nvSpPr>
                              <a:cNvPr id="77" name="AutoShape 24"/>
                              <a:cNvSpPr>
                                <a:spLocks noChangeArrowheads="1"/>
                              </a:cNvSpPr>
                            </a:nvSpPr>
                            <a:spPr bwMode="auto">
                              <a:xfrm>
                                <a:off x="7491413" y="5548764"/>
                                <a:ext cx="1163637" cy="23336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Testing</a:t>
                                  </a:r>
                                </a:p>
                              </a:txBody>
                              <a:useSpRect/>
                            </a:txSp>
                            <a:style>
                              <a:lnRef idx="1">
                                <a:schemeClr val="accent1"/>
                              </a:lnRef>
                              <a:fillRef idx="2">
                                <a:schemeClr val="accent1"/>
                              </a:fillRef>
                              <a:effectRef idx="1">
                                <a:schemeClr val="accent1"/>
                              </a:effectRef>
                              <a:fontRef idx="minor">
                                <a:schemeClr val="dk1"/>
                              </a:fontRef>
                            </a:style>
                          </a:sp>
                          <a:sp>
                            <a:nvSpPr>
                              <a:cNvPr id="78" name="AutoShape 25"/>
                              <a:cNvSpPr>
                                <a:spLocks noChangeArrowheads="1"/>
                              </a:cNvSpPr>
                            </a:nvSpPr>
                            <a:spPr bwMode="auto">
                              <a:xfrm>
                                <a:off x="6256338" y="5545589"/>
                                <a:ext cx="1122362" cy="233363"/>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Reporting </a:t>
                                  </a:r>
                                </a:p>
                              </a:txBody>
                              <a:useSpRect/>
                            </a:txSp>
                            <a:style>
                              <a:lnRef idx="1">
                                <a:schemeClr val="accent1"/>
                              </a:lnRef>
                              <a:fillRef idx="2">
                                <a:schemeClr val="accent1"/>
                              </a:fillRef>
                              <a:effectRef idx="1">
                                <a:schemeClr val="accent1"/>
                              </a:effectRef>
                              <a:fontRef idx="minor">
                                <a:schemeClr val="dk1"/>
                              </a:fontRef>
                            </a:style>
                          </a:sp>
                          <a:sp>
                            <a:nvSpPr>
                              <a:cNvPr id="79" name="AutoShape 26"/>
                              <a:cNvSpPr>
                                <a:spLocks noChangeArrowheads="1"/>
                              </a:cNvSpPr>
                            </a:nvSpPr>
                            <a:spPr bwMode="auto">
                              <a:xfrm>
                                <a:off x="1298575" y="5915477"/>
                                <a:ext cx="1600200" cy="24765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Support &amp; Maintenance</a:t>
                                  </a:r>
                                </a:p>
                              </a:txBody>
                              <a:useSpRect/>
                            </a:txSp>
                            <a:style>
                              <a:lnRef idx="1">
                                <a:schemeClr val="accent1"/>
                              </a:lnRef>
                              <a:fillRef idx="2">
                                <a:schemeClr val="accent1"/>
                              </a:fillRef>
                              <a:effectRef idx="1">
                                <a:schemeClr val="accent1"/>
                              </a:effectRef>
                              <a:fontRef idx="minor">
                                <a:schemeClr val="dk1"/>
                              </a:fontRef>
                            </a:style>
                          </a:sp>
                          <a:sp>
                            <a:nvSpPr>
                              <a:cNvPr id="80" name="AutoShape 27"/>
                              <a:cNvSpPr>
                                <a:spLocks noChangeArrowheads="1"/>
                              </a:cNvSpPr>
                            </a:nvSpPr>
                            <a:spPr bwMode="auto">
                              <a:xfrm>
                                <a:off x="4751875" y="5936114"/>
                                <a:ext cx="1295400" cy="261938"/>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Datawarehouse</a:t>
                                  </a:r>
                                </a:p>
                              </a:txBody>
                              <a:useSpRect/>
                            </a:txSp>
                            <a:style>
                              <a:lnRef idx="1">
                                <a:schemeClr val="accent1"/>
                              </a:lnRef>
                              <a:fillRef idx="2">
                                <a:schemeClr val="accent1"/>
                              </a:fillRef>
                              <a:effectRef idx="1">
                                <a:schemeClr val="accent1"/>
                              </a:effectRef>
                              <a:fontRef idx="minor">
                                <a:schemeClr val="dk1"/>
                              </a:fontRef>
                            </a:style>
                          </a:sp>
                          <a:sp>
                            <a:nvSpPr>
                              <a:cNvPr id="81" name="AutoShape 28"/>
                              <a:cNvSpPr>
                                <a:spLocks noChangeArrowheads="1"/>
                              </a:cNvSpPr>
                            </a:nvSpPr>
                            <a:spPr bwMode="auto">
                              <a:xfrm>
                                <a:off x="4848225" y="5551939"/>
                                <a:ext cx="1295400" cy="217488"/>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Data Analytics</a:t>
                                  </a:r>
                                </a:p>
                              </a:txBody>
                              <a:useSpRect/>
                            </a:txSp>
                            <a:style>
                              <a:lnRef idx="1">
                                <a:schemeClr val="accent1"/>
                              </a:lnRef>
                              <a:fillRef idx="2">
                                <a:schemeClr val="accent1"/>
                              </a:fillRef>
                              <a:effectRef idx="1">
                                <a:schemeClr val="accent1"/>
                              </a:effectRef>
                              <a:fontRef idx="minor">
                                <a:schemeClr val="dk1"/>
                              </a:fontRef>
                            </a:style>
                          </a:sp>
                          <a:sp>
                            <a:nvSpPr>
                              <a:cNvPr id="82" name="AutoShape 29"/>
                              <a:cNvSpPr>
                                <a:spLocks noChangeArrowheads="1"/>
                              </a:cNvSpPr>
                            </a:nvSpPr>
                            <a:spPr bwMode="auto">
                              <a:xfrm>
                                <a:off x="3089275" y="5553074"/>
                                <a:ext cx="1658938" cy="233362"/>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Product Implementation</a:t>
                                  </a:r>
                                </a:p>
                              </a:txBody>
                              <a:useSpRect/>
                            </a:txSp>
                            <a:style>
                              <a:lnRef idx="1">
                                <a:schemeClr val="accent1"/>
                              </a:lnRef>
                              <a:fillRef idx="2">
                                <a:schemeClr val="accent1"/>
                              </a:fillRef>
                              <a:effectRef idx="1">
                                <a:schemeClr val="accent1"/>
                              </a:effectRef>
                              <a:fontRef idx="minor">
                                <a:schemeClr val="dk1"/>
                              </a:fontRef>
                            </a:style>
                          </a:sp>
                          <a:sp>
                            <a:nvSpPr>
                              <a:cNvPr id="83" name="AutoShape 30"/>
                              <a:cNvSpPr>
                                <a:spLocks noChangeArrowheads="1"/>
                              </a:cNvSpPr>
                            </a:nvSpPr>
                            <a:spPr bwMode="auto">
                              <a:xfrm>
                                <a:off x="6324600" y="5920769"/>
                                <a:ext cx="1295400" cy="260350"/>
                              </a:xfrm>
                              <a:prstGeom prst="roundRect">
                                <a:avLst>
                                  <a:gd name="adj" fmla="val 16667"/>
                                </a:avLst>
                              </a:prstGeom>
                              <a:ln>
                                <a:headEnd/>
                                <a:tailEnd/>
                              </a:ln>
                            </a:spPr>
                            <a:txSp>
                              <a:txBody>
                                <a:bodyPr lIns="86493" tIns="0" rIns="86493" bIns="0" anchor="ctr" anchorCtr="1"/>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eaLnBrk="0" latinLnBrk="0" hangingPunct="0">
                                    <a:lnSpc>
                                      <a:spcPct val="100000"/>
                                    </a:lnSpc>
                                    <a:buClrTx/>
                                    <a:buSzTx/>
                                    <a:buFontTx/>
                                    <a:buNone/>
                                    <a:tabLst/>
                                    <a:defRPr/>
                                  </a:pPr>
                                  <a:r>
                                    <a:rPr lang="en-US" sz="1100" dirty="0">
                                      <a:latin typeface="Calibri" pitchFamily="34" charset="0"/>
                                    </a:rPr>
                                    <a:t>Interface</a:t>
                                  </a:r>
                                </a:p>
                              </a:txBody>
                              <a:useSpRect/>
                            </a:txSp>
                            <a:style>
                              <a:lnRef idx="1">
                                <a:schemeClr val="accent1"/>
                              </a:lnRef>
                              <a:fillRef idx="2">
                                <a:schemeClr val="accent1"/>
                              </a:fillRef>
                              <a:effectRef idx="1">
                                <a:schemeClr val="accent1"/>
                              </a:effectRef>
                              <a:fontRef idx="minor">
                                <a:schemeClr val="dk1"/>
                              </a:fontRef>
                            </a:style>
                          </a:sp>
                        </a:grpSp>
                      </lc:lockedCanvas>
                    </a:graphicData>
                  </a:graphic>
                </wp:inline>
              </w:drawing>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Investment Data Management Capabilities</w:t>
            </w:r>
          </w:p>
          <w:p w:rsidR="00D95F82" w:rsidRDefault="00D95F82" w:rsidP="00D95F82">
            <w:pPr>
              <w:pStyle w:val="BodyPara1"/>
              <w:rPr>
                <w:rFonts w:asciiTheme="minorHAnsi" w:hAnsiTheme="minorHAnsi" w:cs="Arial"/>
                <w:color w:val="000080"/>
                <w:szCs w:val="22"/>
                <w:u w:val="single"/>
                <w:lang w:val="en-GB"/>
              </w:rPr>
            </w:pPr>
            <w:r w:rsidRPr="0059717B">
              <w:rPr>
                <w:rFonts w:asciiTheme="minorHAnsi" w:hAnsiTheme="minorHAnsi" w:cs="Arial"/>
                <w:noProof/>
                <w:color w:val="000080"/>
                <w:szCs w:val="22"/>
                <w:u w:val="single"/>
                <w:lang w:val="en-US"/>
              </w:rPr>
              <w:lastRenderedPageBreak/>
              <w:drawing>
                <wp:inline distT="0" distB="0" distL="0" distR="0">
                  <wp:extent cx="5943600" cy="3321050"/>
                  <wp:effectExtent l="19050" t="0" r="0" b="0"/>
                  <wp:docPr id="480"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932863" cy="4991100"/>
                            <a:chOff x="66675" y="1181100"/>
                            <a:chExt cx="8932863" cy="4991100"/>
                          </a:xfrm>
                        </a:grpSpPr>
                        <a:grpSp>
                          <a:nvGrpSpPr>
                            <a:cNvPr id="17" name="Group 73"/>
                            <a:cNvGrpSpPr/>
                          </a:nvGrpSpPr>
                          <a:grpSpPr>
                            <a:xfrm>
                              <a:off x="66675" y="1181100"/>
                              <a:ext cx="8932863" cy="4991100"/>
                              <a:chOff x="76200" y="1066800"/>
                              <a:chExt cx="8932863" cy="4991100"/>
                            </a:xfrm>
                          </a:grpSpPr>
                          <a:sp>
                            <a:nvSpPr>
                              <a:cNvPr id="19" name="Rectangle 9"/>
                              <a:cNvSpPr>
                                <a:spLocks noChangeArrowheads="1"/>
                              </a:cNvSpPr>
                            </a:nvSpPr>
                            <a:spPr bwMode="blackWhite">
                              <a:xfrm>
                                <a:off x="1828800" y="1143000"/>
                                <a:ext cx="5486400" cy="274320"/>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ctr" defTabSz="914400" eaLnBrk="1" latinLnBrk="0" hangingPunct="1">
                                    <a:lnSpc>
                                      <a:spcPct val="100000"/>
                                    </a:lnSpc>
                                    <a:buClrTx/>
                                    <a:buSzTx/>
                                    <a:buFontTx/>
                                    <a:buNone/>
                                    <a:tabLst/>
                                    <a:defRPr/>
                                  </a:pPr>
                                  <a:r>
                                    <a:rPr lang="en-US" sz="1400" b="1" kern="0" dirty="0">
                                      <a:solidFill>
                                        <a:sysClr val="window" lastClr="FFFFFF"/>
                                      </a:solidFill>
                                      <a:latin typeface="Calibri" pitchFamily="34" charset="0"/>
                                      <a:ea typeface="ＭＳ Ｐゴシック"/>
                                      <a:cs typeface="Arial" pitchFamily="34" charset="0"/>
                                    </a:rPr>
                                    <a:t>Services</a:t>
                                  </a:r>
                                </a:p>
                              </a:txBody>
                              <a:useSpRect/>
                            </a:txSp>
                          </a:sp>
                          <a:sp>
                            <a:nvSpPr>
                              <a:cNvPr id="20" name="AutoShape 12"/>
                              <a:cNvSpPr>
                                <a:spLocks noChangeArrowheads="1"/>
                              </a:cNvSpPr>
                            </a:nvSpPr>
                            <a:spPr bwMode="auto">
                              <a:xfrm>
                                <a:off x="2200275" y="1990725"/>
                                <a:ext cx="1371600" cy="1333500"/>
                              </a:xfrm>
                              <a:prstGeom prst="roundRect">
                                <a:avLst>
                                  <a:gd name="adj" fmla="val 16667"/>
                                </a:avLst>
                              </a:prstGeom>
                              <a:solidFill>
                                <a:schemeClr val="accent1">
                                  <a:lumMod val="40000"/>
                                  <a:lumOff val="60000"/>
                                </a:schemeClr>
                              </a:solidFill>
                              <a:ln w="9525" algn="ctr">
                                <a:noFill/>
                                <a:round/>
                                <a:headEnd/>
                                <a:tailEnd/>
                              </a:ln>
                              <a:effectLst>
                                <a:outerShdw dist="35921" dir="2700000" algn="ctr" rotWithShape="0">
                                  <a:srgbClr val="808080"/>
                                </a:outerShdw>
                              </a:effectLst>
                            </a:spPr>
                            <a:txSp>
                              <a:txBody>
                                <a:bodyPr lIns="18288" tIns="18288" rIns="18288" bIns="18288"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Integration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Hub and Warehousing</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Mining</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Marts</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Reporting</a:t>
                                  </a:r>
                                </a:p>
                              </a:txBody>
                              <a:useSpRect/>
                            </a:txSp>
                          </a:sp>
                          <a:sp>
                            <a:nvSpPr>
                              <a:cNvPr id="21" name="Rectangle 16"/>
                              <a:cNvSpPr>
                                <a:spLocks noChangeArrowheads="1"/>
                              </a:cNvSpPr>
                            </a:nvSpPr>
                            <a:spPr bwMode="auto">
                              <a:xfrm>
                                <a:off x="1752599" y="1066800"/>
                                <a:ext cx="5648325" cy="4991100"/>
                              </a:xfrm>
                              <a:prstGeom prst="rect">
                                <a:avLst/>
                              </a:prstGeom>
                              <a:noFill/>
                              <a:ln w="9525">
                                <a:solidFill>
                                  <a:srgbClr val="FF0000"/>
                                </a:solidFill>
                                <a:prstDash val="dash"/>
                                <a:miter lim="800000"/>
                                <a:headEnd/>
                                <a:tailEnd/>
                              </a:ln>
                            </a:spPr>
                            <a:txSp>
                              <a:txBody>
                                <a:bodyPr wrap="none"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base" latinLnBrk="0" hangingPunct="1">
                                    <a:lnSpc>
                                      <a:spcPct val="100000"/>
                                    </a:lnSpc>
                                    <a:spcBef>
                                      <a:spcPct val="0"/>
                                    </a:spcBef>
                                    <a:spcAft>
                                      <a:spcPct val="0"/>
                                    </a:spcAft>
                                    <a:buClrTx/>
                                    <a:buSzTx/>
                                    <a:buFontTx/>
                                    <a:buNone/>
                                    <a:tabLst/>
                                    <a:defRPr/>
                                  </a:pPr>
                                  <a:endPar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endParaRPr>
                                </a:p>
                              </a:txBody>
                              <a:useSpRect/>
                            </a:txSp>
                          </a:sp>
                          <a:sp>
                            <a:nvSpPr>
                              <a:cNvPr id="22" name="Rectangle 17"/>
                              <a:cNvSpPr>
                                <a:spLocks noChangeArrowheads="1"/>
                              </a:cNvSpPr>
                            </a:nvSpPr>
                            <a:spPr bwMode="blackWhite">
                              <a:xfrm>
                                <a:off x="304800" y="3352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Trade Data</a:t>
                                  </a:r>
                                </a:p>
                              </a:txBody>
                              <a:useSpRect/>
                            </a:txSp>
                            <a:style>
                              <a:lnRef idx="1">
                                <a:schemeClr val="accent5"/>
                              </a:lnRef>
                              <a:fillRef idx="2">
                                <a:schemeClr val="accent5"/>
                              </a:fillRef>
                              <a:effectRef idx="1">
                                <a:schemeClr val="accent5"/>
                              </a:effectRef>
                              <a:fontRef idx="minor">
                                <a:schemeClr val="dk1"/>
                              </a:fontRef>
                            </a:style>
                          </a:sp>
                          <a:sp>
                            <a:nvSpPr>
                              <a:cNvPr id="23" name="Rectangle 18"/>
                              <a:cNvSpPr>
                                <a:spLocks noChangeArrowheads="1"/>
                              </a:cNvSpPr>
                            </a:nvSpPr>
                            <a:spPr bwMode="blackWhite">
                              <a:xfrm>
                                <a:off x="304800" y="1828800"/>
                                <a:ext cx="914400" cy="3571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Market Data</a:t>
                                  </a:r>
                                </a:p>
                              </a:txBody>
                              <a:useSpRect/>
                            </a:txSp>
                            <a:style>
                              <a:lnRef idx="1">
                                <a:schemeClr val="accent5"/>
                              </a:lnRef>
                              <a:fillRef idx="2">
                                <a:schemeClr val="accent5"/>
                              </a:fillRef>
                              <a:effectRef idx="1">
                                <a:schemeClr val="accent5"/>
                              </a:effectRef>
                              <a:fontRef idx="minor">
                                <a:schemeClr val="dk1"/>
                              </a:fontRef>
                            </a:style>
                          </a:sp>
                          <a:sp>
                            <a:nvSpPr>
                              <a:cNvPr id="24" name="Rectangle 19"/>
                              <a:cNvSpPr>
                                <a:spLocks noChangeArrowheads="1"/>
                              </a:cNvSpPr>
                            </a:nvSpPr>
                            <a:spPr bwMode="blackWhite">
                              <a:xfrm>
                                <a:off x="304800" y="4114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Static Data</a:t>
                                  </a:r>
                                </a:p>
                              </a:txBody>
                              <a:useSpRect/>
                            </a:txSp>
                            <a:style>
                              <a:lnRef idx="1">
                                <a:schemeClr val="accent5"/>
                              </a:lnRef>
                              <a:fillRef idx="2">
                                <a:schemeClr val="accent5"/>
                              </a:fillRef>
                              <a:effectRef idx="1">
                                <a:schemeClr val="accent5"/>
                              </a:effectRef>
                              <a:fontRef idx="minor">
                                <a:schemeClr val="dk1"/>
                              </a:fontRef>
                            </a:style>
                          </a:sp>
                          <a:sp>
                            <a:nvSpPr>
                              <a:cNvPr id="25" name="Rectangle 20"/>
                              <a:cNvSpPr>
                                <a:spLocks noChangeArrowheads="1"/>
                              </a:cNvSpPr>
                            </a:nvSpPr>
                            <a:spPr bwMode="blackWhite">
                              <a:xfrm>
                                <a:off x="304800" y="5638800"/>
                                <a:ext cx="914400" cy="3571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Derived Data</a:t>
                                  </a:r>
                                </a:p>
                              </a:txBody>
                              <a:useSpRect/>
                            </a:txSp>
                            <a:style>
                              <a:lnRef idx="1">
                                <a:schemeClr val="accent5"/>
                              </a:lnRef>
                              <a:fillRef idx="2">
                                <a:schemeClr val="accent5"/>
                              </a:fillRef>
                              <a:effectRef idx="1">
                                <a:schemeClr val="accent5"/>
                              </a:effectRef>
                              <a:fontRef idx="minor">
                                <a:schemeClr val="dk1"/>
                              </a:fontRef>
                            </a:style>
                          </a:sp>
                          <a:sp>
                            <a:nvSpPr>
                              <a:cNvPr id="26" name="Rectangle 23"/>
                              <a:cNvSpPr>
                                <a:spLocks noChangeArrowheads="1"/>
                              </a:cNvSpPr>
                            </a:nvSpPr>
                            <a:spPr bwMode="blackWhite">
                              <a:xfrm>
                                <a:off x="304800" y="2590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Reference Data</a:t>
                                  </a:r>
                                </a:p>
                              </a:txBody>
                              <a:useSpRect/>
                            </a:txSp>
                            <a:style>
                              <a:lnRef idx="1">
                                <a:schemeClr val="accent5"/>
                              </a:lnRef>
                              <a:fillRef idx="2">
                                <a:schemeClr val="accent5"/>
                              </a:fillRef>
                              <a:effectRef idx="1">
                                <a:schemeClr val="accent5"/>
                              </a:effectRef>
                              <a:fontRef idx="minor">
                                <a:schemeClr val="dk1"/>
                              </a:fontRef>
                            </a:style>
                          </a:sp>
                          <a:sp>
                            <a:nvSpPr>
                              <a:cNvPr id="27" name="Rectangle 26"/>
                              <a:cNvSpPr>
                                <a:spLocks noChangeArrowheads="1"/>
                              </a:cNvSpPr>
                            </a:nvSpPr>
                            <a:spPr bwMode="auto">
                              <a:xfrm>
                                <a:off x="76200" y="1144588"/>
                                <a:ext cx="1541463" cy="4460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spcBef>
                                      <a:spcPts val="600"/>
                                    </a:spcBef>
                                    <a:defRPr/>
                                  </a:pPr>
                                  <a:r>
                                    <a:rPr lang="en-US" sz="1000" b="1" dirty="0">
                                      <a:solidFill>
                                        <a:schemeClr val="tx1"/>
                                      </a:solidFill>
                                      <a:latin typeface="Arial" pitchFamily="34" charset="0"/>
                                      <a:cs typeface="Arial" pitchFamily="34" charset="0"/>
                                    </a:rPr>
                                    <a:t>Data Types</a:t>
                                  </a:r>
                                </a:p>
                              </a:txBody>
                              <a:useSpRect/>
                            </a:txSp>
                            <a:style>
                              <a:lnRef idx="1">
                                <a:schemeClr val="accent1"/>
                              </a:lnRef>
                              <a:fillRef idx="3">
                                <a:schemeClr val="accent1"/>
                              </a:fillRef>
                              <a:effectRef idx="2">
                                <a:schemeClr val="accent1"/>
                              </a:effectRef>
                              <a:fontRef idx="minor">
                                <a:schemeClr val="lt1"/>
                              </a:fontRef>
                            </a:style>
                          </a:sp>
                          <a:sp>
                            <a:nvSpPr>
                              <a:cNvPr id="28" name="Rectangle 27"/>
                              <a:cNvSpPr>
                                <a:spLocks noChangeArrowheads="1"/>
                              </a:cNvSpPr>
                            </a:nvSpPr>
                            <a:spPr bwMode="auto">
                              <a:xfrm>
                                <a:off x="7467600" y="1135063"/>
                                <a:ext cx="1541463" cy="446087"/>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lt1"/>
                                      </a:solidFill>
                                      <a:latin typeface="+mn-lt"/>
                                      <a:ea typeface="+mn-ea"/>
                                      <a:cs typeface="+mn-cs"/>
                                    </a:defRPr>
                                  </a:lvl1pPr>
                                  <a:lvl2pPr marL="457200" algn="l" rtl="0" fontAlgn="base">
                                    <a:spcBef>
                                      <a:spcPct val="0"/>
                                    </a:spcBef>
                                    <a:spcAft>
                                      <a:spcPct val="0"/>
                                    </a:spcAft>
                                    <a:defRPr sz="2400" kern="1200">
                                      <a:solidFill>
                                        <a:schemeClr val="lt1"/>
                                      </a:solidFill>
                                      <a:latin typeface="+mn-lt"/>
                                      <a:ea typeface="+mn-ea"/>
                                      <a:cs typeface="+mn-cs"/>
                                    </a:defRPr>
                                  </a:lvl2pPr>
                                  <a:lvl3pPr marL="914400" algn="l" rtl="0" fontAlgn="base">
                                    <a:spcBef>
                                      <a:spcPct val="0"/>
                                    </a:spcBef>
                                    <a:spcAft>
                                      <a:spcPct val="0"/>
                                    </a:spcAft>
                                    <a:defRPr sz="2400" kern="1200">
                                      <a:solidFill>
                                        <a:schemeClr val="lt1"/>
                                      </a:solidFill>
                                      <a:latin typeface="+mn-lt"/>
                                      <a:ea typeface="+mn-ea"/>
                                      <a:cs typeface="+mn-cs"/>
                                    </a:defRPr>
                                  </a:lvl3pPr>
                                  <a:lvl4pPr marL="1371600" algn="l" rtl="0" fontAlgn="base">
                                    <a:spcBef>
                                      <a:spcPct val="0"/>
                                    </a:spcBef>
                                    <a:spcAft>
                                      <a:spcPct val="0"/>
                                    </a:spcAft>
                                    <a:defRPr sz="2400" kern="1200">
                                      <a:solidFill>
                                        <a:schemeClr val="lt1"/>
                                      </a:solidFill>
                                      <a:latin typeface="+mn-lt"/>
                                      <a:ea typeface="+mn-ea"/>
                                      <a:cs typeface="+mn-cs"/>
                                    </a:defRPr>
                                  </a:lvl4pPr>
                                  <a:lvl5pPr marL="1828800" algn="l" rtl="0" fontAlgn="base">
                                    <a:spcBef>
                                      <a:spcPct val="0"/>
                                    </a:spcBef>
                                    <a:spcAft>
                                      <a:spcPct val="0"/>
                                    </a:spcAft>
                                    <a:defRPr sz="2400" kern="1200">
                                      <a:solidFill>
                                        <a:schemeClr val="lt1"/>
                                      </a:solidFill>
                                      <a:latin typeface="+mn-lt"/>
                                      <a:ea typeface="+mn-ea"/>
                                      <a:cs typeface="+mn-cs"/>
                                    </a:defRPr>
                                  </a:lvl5pPr>
                                  <a:lvl6pPr marL="2286000" algn="l" defTabSz="914400" rtl="0" eaLnBrk="1" latinLnBrk="0" hangingPunct="1">
                                    <a:defRPr sz="2400" kern="1200">
                                      <a:solidFill>
                                        <a:schemeClr val="lt1"/>
                                      </a:solidFill>
                                      <a:latin typeface="+mn-lt"/>
                                      <a:ea typeface="+mn-ea"/>
                                      <a:cs typeface="+mn-cs"/>
                                    </a:defRPr>
                                  </a:lvl6pPr>
                                  <a:lvl7pPr marL="2743200" algn="l" defTabSz="914400" rtl="0" eaLnBrk="1" latinLnBrk="0" hangingPunct="1">
                                    <a:defRPr sz="2400" kern="1200">
                                      <a:solidFill>
                                        <a:schemeClr val="lt1"/>
                                      </a:solidFill>
                                      <a:latin typeface="+mn-lt"/>
                                      <a:ea typeface="+mn-ea"/>
                                      <a:cs typeface="+mn-cs"/>
                                    </a:defRPr>
                                  </a:lvl7pPr>
                                  <a:lvl8pPr marL="3200400" algn="l" defTabSz="914400" rtl="0" eaLnBrk="1" latinLnBrk="0" hangingPunct="1">
                                    <a:defRPr sz="2400" kern="1200">
                                      <a:solidFill>
                                        <a:schemeClr val="lt1"/>
                                      </a:solidFill>
                                      <a:latin typeface="+mn-lt"/>
                                      <a:ea typeface="+mn-ea"/>
                                      <a:cs typeface="+mn-cs"/>
                                    </a:defRPr>
                                  </a:lvl8pPr>
                                  <a:lvl9pPr marL="3657600" algn="l" defTabSz="914400" rtl="0" eaLnBrk="1" latinLnBrk="0" hangingPunct="1">
                                    <a:defRPr sz="2400" kern="1200">
                                      <a:solidFill>
                                        <a:schemeClr val="lt1"/>
                                      </a:solidFill>
                                      <a:latin typeface="+mn-lt"/>
                                      <a:ea typeface="+mn-ea"/>
                                      <a:cs typeface="+mn-cs"/>
                                    </a:defRPr>
                                  </a:lvl9pPr>
                                </a:lstStyle>
                                <a:p>
                                  <a:pPr algn="ctr">
                                    <a:spcBef>
                                      <a:spcPts val="600"/>
                                    </a:spcBef>
                                    <a:defRPr/>
                                  </a:pPr>
                                  <a:r>
                                    <a:rPr lang="en-US" sz="1000" b="1" dirty="0">
                                      <a:solidFill>
                                        <a:schemeClr val="tx1"/>
                                      </a:solidFill>
                                      <a:latin typeface="Arial" pitchFamily="34" charset="0"/>
                                      <a:cs typeface="Arial" pitchFamily="34" charset="0"/>
                                    </a:rPr>
                                    <a:t>Subject Matter </a:t>
                                  </a:r>
                                  <a:r>
                                    <a:rPr lang="en-US" sz="1000" b="1" dirty="0" smtClean="0">
                                      <a:solidFill>
                                        <a:schemeClr val="tx1"/>
                                      </a:solidFill>
                                      <a:latin typeface="Arial" pitchFamily="34" charset="0"/>
                                      <a:cs typeface="Arial" pitchFamily="34" charset="0"/>
                                    </a:rPr>
                                    <a:t> Expertise</a:t>
                                  </a:r>
                                  <a:endParaRPr lang="en-US" sz="1000" b="1" dirty="0">
                                    <a:solidFill>
                                      <a:schemeClr val="tx1"/>
                                    </a:solidFill>
                                    <a:latin typeface="Arial" pitchFamily="34" charset="0"/>
                                    <a:cs typeface="Arial" pitchFamily="34" charset="0"/>
                                  </a:endParaRPr>
                                </a:p>
                              </a:txBody>
                              <a:useSpRect/>
                            </a:txSp>
                            <a:style>
                              <a:lnRef idx="1">
                                <a:schemeClr val="accent1"/>
                              </a:lnRef>
                              <a:fillRef idx="3">
                                <a:schemeClr val="accent1"/>
                              </a:fillRef>
                              <a:effectRef idx="2">
                                <a:schemeClr val="accent1"/>
                              </a:effectRef>
                              <a:fontRef idx="minor">
                                <a:schemeClr val="lt1"/>
                              </a:fontRef>
                            </a:style>
                          </a:sp>
                          <a:sp>
                            <a:nvSpPr>
                              <a:cNvPr id="29" name="AutoShape 28"/>
                              <a:cNvSpPr>
                                <a:spLocks noChangeArrowheads="1"/>
                              </a:cNvSpPr>
                            </a:nvSpPr>
                            <a:spPr bwMode="auto">
                              <a:xfrm>
                                <a:off x="7696200" y="1855788"/>
                                <a:ext cx="1143000" cy="354012"/>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Security Master</a:t>
                                  </a:r>
                                </a:p>
                              </a:txBody>
                              <a:useSpRect/>
                            </a:txSp>
                            <a:style>
                              <a:lnRef idx="1">
                                <a:schemeClr val="accent5"/>
                              </a:lnRef>
                              <a:fillRef idx="2">
                                <a:schemeClr val="accent5"/>
                              </a:fillRef>
                              <a:effectRef idx="1">
                                <a:schemeClr val="accent5"/>
                              </a:effectRef>
                              <a:fontRef idx="minor">
                                <a:schemeClr val="dk1"/>
                              </a:fontRef>
                            </a:style>
                          </a:sp>
                          <a:sp>
                            <a:nvSpPr>
                              <a:cNvPr id="30" name="AutoShape 29"/>
                              <a:cNvSpPr>
                                <a:spLocks noChangeArrowheads="1"/>
                              </a:cNvSpPr>
                            </a:nvSpPr>
                            <a:spPr bwMode="auto">
                              <a:xfrm>
                                <a:off x="7696200" y="2590800"/>
                                <a:ext cx="1143000" cy="354012"/>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Pricing</a:t>
                                  </a:r>
                                </a:p>
                              </a:txBody>
                              <a:useSpRect/>
                            </a:txSp>
                            <a:style>
                              <a:lnRef idx="1">
                                <a:schemeClr val="accent5"/>
                              </a:lnRef>
                              <a:fillRef idx="2">
                                <a:schemeClr val="accent5"/>
                              </a:fillRef>
                              <a:effectRef idx="1">
                                <a:schemeClr val="accent5"/>
                              </a:effectRef>
                              <a:fontRef idx="minor">
                                <a:schemeClr val="dk1"/>
                              </a:fontRef>
                            </a:style>
                          </a:sp>
                          <a:sp>
                            <a:nvSpPr>
                              <a:cNvPr id="31" name="AutoShape 30"/>
                              <a:cNvSpPr>
                                <a:spLocks noChangeArrowheads="1"/>
                              </a:cNvSpPr>
                            </a:nvSpPr>
                            <a:spPr bwMode="auto">
                              <a:xfrm>
                                <a:off x="7696200" y="3352800"/>
                                <a:ext cx="1143000" cy="352425"/>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Ratings</a:t>
                                  </a:r>
                                </a:p>
                              </a:txBody>
                              <a:useSpRect/>
                            </a:txSp>
                            <a:style>
                              <a:lnRef idx="1">
                                <a:schemeClr val="accent5"/>
                              </a:lnRef>
                              <a:fillRef idx="2">
                                <a:schemeClr val="accent5"/>
                              </a:fillRef>
                              <a:effectRef idx="1">
                                <a:schemeClr val="accent5"/>
                              </a:effectRef>
                              <a:fontRef idx="minor">
                                <a:schemeClr val="dk1"/>
                              </a:fontRef>
                            </a:style>
                          </a:sp>
                          <a:sp>
                            <a:nvSpPr>
                              <a:cNvPr id="32" name="AutoShape 31"/>
                              <a:cNvSpPr>
                                <a:spLocks noChangeArrowheads="1"/>
                              </a:cNvSpPr>
                            </a:nvSpPr>
                            <a:spPr bwMode="auto">
                              <a:xfrm>
                                <a:off x="7696200" y="4114800"/>
                                <a:ext cx="1143000" cy="354012"/>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Corporate Actions</a:t>
                                  </a:r>
                                </a:p>
                              </a:txBody>
                              <a:useSpRect/>
                            </a:txSp>
                            <a:style>
                              <a:lnRef idx="1">
                                <a:schemeClr val="accent5"/>
                              </a:lnRef>
                              <a:fillRef idx="2">
                                <a:schemeClr val="accent5"/>
                              </a:fillRef>
                              <a:effectRef idx="1">
                                <a:schemeClr val="accent5"/>
                              </a:effectRef>
                              <a:fontRef idx="minor">
                                <a:schemeClr val="dk1"/>
                              </a:fontRef>
                            </a:style>
                          </a:sp>
                          <a:sp>
                            <a:nvSpPr>
                              <a:cNvPr id="33" name="AutoShape 32"/>
                              <a:cNvSpPr>
                                <a:spLocks noChangeArrowheads="1"/>
                              </a:cNvSpPr>
                            </a:nvSpPr>
                            <a:spPr bwMode="auto">
                              <a:xfrm>
                                <a:off x="7696200" y="4876800"/>
                                <a:ext cx="1143000" cy="352425"/>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Factors</a:t>
                                  </a:r>
                                </a:p>
                              </a:txBody>
                              <a:useSpRect/>
                            </a:txSp>
                            <a:style>
                              <a:lnRef idx="1">
                                <a:schemeClr val="accent5"/>
                              </a:lnRef>
                              <a:fillRef idx="2">
                                <a:schemeClr val="accent5"/>
                              </a:fillRef>
                              <a:effectRef idx="1">
                                <a:schemeClr val="accent5"/>
                              </a:effectRef>
                              <a:fontRef idx="minor">
                                <a:schemeClr val="dk1"/>
                              </a:fontRef>
                            </a:style>
                          </a:sp>
                          <a:sp>
                            <a:nvSpPr>
                              <a:cNvPr id="34" name="AutoShape 33"/>
                              <a:cNvSpPr>
                                <a:spLocks noChangeArrowheads="1"/>
                              </a:cNvSpPr>
                            </a:nvSpPr>
                            <a:spPr bwMode="auto">
                              <a:xfrm>
                                <a:off x="7696200" y="5638800"/>
                                <a:ext cx="1143000" cy="352425"/>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marL="0" marR="0" lvl="0" indent="0" algn="ctr" defTabSz="914400" rtl="0" eaLnBrk="0" fontAlgn="base" latinLnBrk="0" hangingPunct="0">
                                    <a:lnSpc>
                                      <a:spcPct val="100000"/>
                                    </a:lnSpc>
                                    <a:spcBef>
                                      <a:spcPct val="0"/>
                                    </a:spcBef>
                                    <a:spcAft>
                                      <a:spcPct val="0"/>
                                    </a:spcAft>
                                    <a:buClrTx/>
                                    <a:buSzTx/>
                                    <a:buFontTx/>
                                    <a:buNone/>
                                    <a:tabLst/>
                                    <a:defRPr/>
                                  </a:pPr>
                                  <a:r>
                                    <a:rPr kumimoji="0" lang="en-US" sz="1000" b="1" i="0" u="none" strike="noStrike" kern="1200" cap="none" spc="0" normalizeH="0" baseline="0" noProof="0" dirty="0">
                                      <a:ln>
                                        <a:noFill/>
                                      </a:ln>
                                      <a:solidFill>
                                        <a:srgbClr val="000000"/>
                                      </a:solidFill>
                                      <a:effectLst/>
                                      <a:uLnTx/>
                                      <a:uFillTx/>
                                      <a:latin typeface="Arial" pitchFamily="34" charset="0"/>
                                      <a:cs typeface="Arial" pitchFamily="34" charset="0"/>
                                    </a:rPr>
                                    <a:t>Variable Rates</a:t>
                                  </a:r>
                                </a:p>
                              </a:txBody>
                              <a:useSpRect/>
                            </a:txSp>
                            <a:style>
                              <a:lnRef idx="1">
                                <a:schemeClr val="accent5"/>
                              </a:lnRef>
                              <a:fillRef idx="2">
                                <a:schemeClr val="accent5"/>
                              </a:fillRef>
                              <a:effectRef idx="1">
                                <a:schemeClr val="accent5"/>
                              </a:effectRef>
                              <a:fontRef idx="minor">
                                <a:schemeClr val="dk1"/>
                              </a:fontRef>
                            </a:style>
                          </a:sp>
                          <a:sp>
                            <a:nvSpPr>
                              <a:cNvPr id="35" name="AutoShape 40"/>
                              <a:cNvSpPr>
                                <a:spLocks noChangeArrowheads="1"/>
                              </a:cNvSpPr>
                            </a:nvSpPr>
                            <a:spPr bwMode="auto">
                              <a:xfrm>
                                <a:off x="5638800" y="1981200"/>
                                <a:ext cx="1371600" cy="1371600"/>
                              </a:xfrm>
                              <a:prstGeom prst="roundRect">
                                <a:avLst>
                                  <a:gd name="adj" fmla="val 16667"/>
                                </a:avLst>
                              </a:prstGeom>
                              <a:solidFill>
                                <a:schemeClr val="accent1">
                                  <a:lumMod val="40000"/>
                                  <a:lumOff val="60000"/>
                                </a:schemeClr>
                              </a:solidFill>
                              <a:ln w="9525" algn="ctr">
                                <a:noFill/>
                                <a:round/>
                                <a:headEnd/>
                                <a:tailEnd/>
                              </a:ln>
                              <a:effectLst>
                                <a:outerShdw dist="35921" dir="2700000" algn="ctr" rotWithShape="0">
                                  <a:srgbClr val="808080"/>
                                </a:outerShdw>
                              </a:effectLst>
                            </a:spPr>
                            <a:txSp>
                              <a:txBody>
                                <a:bodyPr lIns="18288" tIns="18288" rIns="18288" bIns="18288"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Validation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Cleansing/ Scrubbing</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Reconciliation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Research</a:t>
                                  </a:r>
                                </a:p>
                              </a:txBody>
                              <a:useSpRect/>
                            </a:txSp>
                          </a:sp>
                          <a:sp>
                            <a:nvSpPr>
                              <a:cNvPr id="36" name="Rectangle 50"/>
                              <a:cNvSpPr>
                                <a:spLocks noChangeArrowheads="1"/>
                              </a:cNvSpPr>
                            </a:nvSpPr>
                            <a:spPr bwMode="blackWhite">
                              <a:xfrm>
                                <a:off x="1828800" y="3505200"/>
                                <a:ext cx="5486400" cy="274320"/>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Proprietary </a:t>
                                  </a:r>
                                  <a:r>
                                    <a:rPr lang="en-US" sz="1200" b="1" kern="0" dirty="0" smtClean="0">
                                      <a:solidFill>
                                        <a:sysClr val="window" lastClr="FFFFFF"/>
                                      </a:solidFill>
                                      <a:latin typeface="Calibri" pitchFamily="34" charset="0"/>
                                      <a:ea typeface="ＭＳ Ｐゴシック"/>
                                      <a:cs typeface="Arial" pitchFamily="34" charset="0"/>
                                    </a:rPr>
                                    <a:t>Tools / Framework</a:t>
                                  </a:r>
                                  <a:endParaRPr lang="en-US" sz="1200" b="1" kern="0" dirty="0">
                                    <a:solidFill>
                                      <a:sysClr val="window" lastClr="FFFFFF"/>
                                    </a:solidFill>
                                    <a:latin typeface="Calibri" pitchFamily="34" charset="0"/>
                                    <a:ea typeface="ＭＳ Ｐゴシック"/>
                                    <a:cs typeface="Arial" pitchFamily="34" charset="0"/>
                                  </a:endParaRPr>
                                </a:p>
                              </a:txBody>
                              <a:useSpRect/>
                            </a:txSp>
                          </a:sp>
                          <a:sp>
                            <a:nvSpPr>
                              <a:cNvPr id="37" name="AutoShape 12"/>
                              <a:cNvSpPr>
                                <a:spLocks noChangeArrowheads="1"/>
                              </a:cNvSpPr>
                            </a:nvSpPr>
                            <a:spPr bwMode="auto">
                              <a:xfrm>
                                <a:off x="3924300" y="1981200"/>
                                <a:ext cx="1371600" cy="1371600"/>
                              </a:xfrm>
                              <a:prstGeom prst="roundRect">
                                <a:avLst>
                                  <a:gd name="adj" fmla="val 16667"/>
                                </a:avLst>
                              </a:prstGeom>
                              <a:solidFill>
                                <a:schemeClr val="accent1">
                                  <a:lumMod val="40000"/>
                                  <a:lumOff val="60000"/>
                                </a:schemeClr>
                              </a:solidFill>
                              <a:ln w="9525" algn="ctr">
                                <a:noFill/>
                                <a:round/>
                                <a:headEnd/>
                                <a:tailEnd/>
                              </a:ln>
                              <a:effectLst>
                                <a:outerShdw dist="35921" dir="2700000" algn="ctr" rotWithShape="0">
                                  <a:srgbClr val="808080"/>
                                </a:outerShdw>
                              </a:effectLst>
                            </a:spPr>
                            <a:txSp>
                              <a:txBody>
                                <a:bodyPr lIns="18288" tIns="18288" rIns="18288" bIns="18288"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Informatica</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Data stage</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Business object</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Crystal Report Hyperion</a:t>
                                  </a:r>
                                </a:p>
                                <a:p>
                                  <a:pPr marL="228600" marR="0" lvl="0" indent="-228600" algn="l" defTabSz="914400" rtl="0" eaLnBrk="0" fontAlgn="base" latinLnBrk="0" hangingPunct="0">
                                    <a:lnSpc>
                                      <a:spcPct val="120000"/>
                                    </a:lnSpc>
                                    <a:spcBef>
                                      <a:spcPct val="0"/>
                                    </a:spcBef>
                                    <a:spcAft>
                                      <a:spcPct val="0"/>
                                    </a:spcAft>
                                    <a:buClrTx/>
                                    <a:buSzTx/>
                                    <a:buFont typeface="Arial" pitchFamily="34" charset="0"/>
                                    <a:buChar char="•"/>
                                    <a:tabLst/>
                                    <a:defRPr/>
                                  </a:pPr>
                                  <a:r>
                                    <a:rPr kumimoji="0" lang="en-US" sz="1000" b="1" i="0" u="none" strike="noStrike" kern="1200" cap="none" spc="0" normalizeH="0" baseline="0" noProof="0" dirty="0">
                                      <a:ln>
                                        <a:noFill/>
                                      </a:ln>
                                      <a:solidFill>
                                        <a:srgbClr val="000000"/>
                                      </a:solidFill>
                                      <a:effectLst/>
                                      <a:uLnTx/>
                                      <a:uFillTx/>
                                      <a:latin typeface="Calibri" pitchFamily="34" charset="0"/>
                                      <a:cs typeface="Arial" pitchFamily="34" charset="0"/>
                                    </a:rPr>
                                    <a:t>Web Focus</a:t>
                                  </a:r>
                                </a:p>
                              </a:txBody>
                              <a:useSpRect/>
                            </a:txSp>
                          </a:sp>
                          <a:sp>
                            <a:nvSpPr>
                              <a:cNvPr id="38" name="Rectangle 37"/>
                              <a:cNvSpPr/>
                            </a:nvSpPr>
                            <a:spPr>
                              <a:xfrm>
                                <a:off x="2590800" y="3949869"/>
                                <a:ext cx="1914525" cy="507831"/>
                              </a:xfrm>
                              <a:prstGeom prst="rect">
                                <a:avLst/>
                              </a:prstGeom>
                            </a:spPr>
                            <a:txSp>
                              <a:txBody>
                                <a:bodyPr wrap="square">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900" b="0" i="0" u="none" strike="noStrike" kern="1200" cap="none" spc="0" normalizeH="0" baseline="0" noProof="0" dirty="0">
                                      <a:ln>
                                        <a:noFill/>
                                      </a:ln>
                                      <a:solidFill>
                                        <a:srgbClr val="000000"/>
                                      </a:solidFill>
                                      <a:effectLst/>
                                      <a:uLnTx/>
                                      <a:uFillTx/>
                                      <a:latin typeface="Arial" pitchFamily="34" charset="0"/>
                                      <a:cs typeface="Arial" pitchFamily="34" charset="0"/>
                                    </a:rPr>
                                    <a:t>Meta data summit for Investment Business Information, Data Dictionary</a:t>
                                  </a:r>
                                  <a:endParaRPr kumimoji="0" lang="en-US" sz="900" b="0" i="0" u="none" strike="noStrike" kern="0" cap="none" spc="0" normalizeH="0" baseline="0" noProof="0" dirty="0">
                                    <a:ln>
                                      <a:noFill/>
                                    </a:ln>
                                    <a:solidFill>
                                      <a:sysClr val="windowText" lastClr="000000"/>
                                    </a:solidFill>
                                    <a:effectLst/>
                                    <a:uLnTx/>
                                    <a:uFillTx/>
                                    <a:latin typeface="Arial" pitchFamily="34" charset="0"/>
                                    <a:cs typeface="Arial" pitchFamily="34" charset="0"/>
                                  </a:endParaRPr>
                                </a:p>
                              </a:txBody>
                              <a:useSpRect/>
                            </a:txSp>
                          </a:sp>
                          <a:pic>
                            <a:nvPicPr>
                              <a:cNvPr id="39" name="Picture 38" descr="VERZOENEN3A copy.gif"/>
                              <a:cNvPicPr>
                                <a:picLocks noChangeAspect="1"/>
                              </a:cNvPicPr>
                            </a:nvPicPr>
                            <a:blipFill>
                              <a:blip r:embed="rId42" cstate="print"/>
                              <a:srcRect t="14286" r="21454" b="14286"/>
                              <a:stretch>
                                <a:fillRect/>
                              </a:stretch>
                            </a:blipFill>
                            <a:spPr>
                              <a:xfrm>
                                <a:off x="1829563" y="4779645"/>
                                <a:ext cx="761237" cy="211455"/>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pic>
                            <a:nvPicPr>
                              <a:cNvPr id="40" name="Picture 5"/>
                              <a:cNvPicPr>
                                <a:picLocks noChangeAspect="1" noChangeArrowheads="1"/>
                              </a:cNvPicPr>
                            </a:nvPicPr>
                            <a:blipFill>
                              <a:blip r:embed="rId43" cstate="print"/>
                              <a:srcRect l="74219" t="33073" r="10156" b="53906"/>
                              <a:stretch>
                                <a:fillRect/>
                              </a:stretch>
                            </a:blipFill>
                            <a:spPr bwMode="auto">
                              <a:xfrm>
                                <a:off x="1828800" y="4076700"/>
                                <a:ext cx="563879" cy="272961"/>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sp>
                            <a:nvSpPr>
                              <a:cNvPr id="41" name="Rectangle 40"/>
                              <a:cNvSpPr/>
                            </a:nvSpPr>
                            <a:spPr>
                              <a:xfrm>
                                <a:off x="2590800" y="4635669"/>
                                <a:ext cx="2066925" cy="507831"/>
                              </a:xfrm>
                              <a:prstGeom prst="rect">
                                <a:avLst/>
                              </a:prstGeom>
                            </a:spPr>
                            <a:txSp>
                              <a:txBody>
                                <a:bodyPr wrap="square">
                                  <a:spAutoFit/>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0" marR="0" lvl="0" indent="0" algn="l" defTabSz="914400" rtl="0" eaLnBrk="1" fontAlgn="auto" latinLnBrk="0" hangingPunct="1">
                                    <a:lnSpc>
                                      <a:spcPct val="100000"/>
                                    </a:lnSpc>
                                    <a:spcBef>
                                      <a:spcPts val="0"/>
                                    </a:spcBef>
                                    <a:spcAft>
                                      <a:spcPts val="0"/>
                                    </a:spcAft>
                                    <a:buClrTx/>
                                    <a:buSzTx/>
                                    <a:buFontTx/>
                                    <a:buNone/>
                                    <a:tabLst/>
                                    <a:defRPr/>
                                  </a:pPr>
                                  <a:r>
                                    <a:rPr kumimoji="0" lang="en-US" sz="900" b="0" i="0" u="none" strike="noStrike" kern="0" cap="none" spc="0" normalizeH="0" baseline="0" noProof="0" dirty="0">
                                      <a:ln>
                                        <a:noFill/>
                                      </a:ln>
                                      <a:solidFill>
                                        <a:sysClr val="windowText" lastClr="000000"/>
                                      </a:solidFill>
                                      <a:effectLst/>
                                      <a:uLnTx/>
                                      <a:uFillTx/>
                                      <a:latin typeface="Arial" pitchFamily="34" charset="0"/>
                                      <a:cs typeface="Arial" pitchFamily="34" charset="0"/>
                                    </a:rPr>
                                    <a:t>Transactional recon process for identifying matches, mismatches, and discrepant data</a:t>
                                  </a:r>
                                </a:p>
                              </a:txBody>
                              <a:useSpRect/>
                            </a:txSp>
                          </a:sp>
                          <a:sp>
                            <a:nvSpPr>
                              <a:cNvPr id="42" name="Rectangle 4"/>
                              <a:cNvSpPr>
                                <a:spLocks noChangeArrowheads="1"/>
                              </a:cNvSpPr>
                            </a:nvSpPr>
                            <a:spPr bwMode="auto">
                              <a:xfrm>
                                <a:off x="5181600" y="3913095"/>
                                <a:ext cx="2133600" cy="609600"/>
                              </a:xfrm>
                              <a:prstGeom prst="rect">
                                <a:avLst/>
                              </a:prstGeom>
                              <a:noFill/>
                              <a:ln w="9525" algn="ctr">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3975" marR="0" lvl="1" indent="0" algn="l" defTabSz="914400" rtl="0" eaLnBrk="1" fontAlgn="base" latinLnBrk="0" hangingPunct="1">
                                    <a:lnSpc>
                                      <a:spcPct val="100000"/>
                                    </a:lnSpc>
                                    <a:spcBef>
                                      <a:spcPct val="0"/>
                                    </a:spcBef>
                                    <a:spcAft>
                                      <a:spcPct val="0"/>
                                    </a:spcAft>
                                    <a:buClrTx/>
                                    <a:buSzTx/>
                                    <a:buFontTx/>
                                    <a:buNone/>
                                    <a:tabLst/>
                                    <a:defRPr/>
                                  </a:pPr>
                                  <a:r>
                                    <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rPr>
                                    <a:t>XML-based query engine for Data Integration environment. It ensures ETL coding standards and locate coding </a:t>
                                  </a:r>
                                  <a:r>
                                    <a:rPr kumimoji="0" lang="en-US" sz="900" b="0" i="0" u="none" strike="noStrike" kern="1200" cap="none" spc="0" normalizeH="0" baseline="0" noProof="0" dirty="0" smtClean="0">
                                      <a:ln>
                                        <a:noFill/>
                                      </a:ln>
                                      <a:solidFill>
                                        <a:srgbClr val="333399">
                                          <a:lumMod val="50000"/>
                                        </a:srgbClr>
                                      </a:solidFill>
                                      <a:effectLst/>
                                      <a:uLnTx/>
                                      <a:uFillTx/>
                                      <a:latin typeface="Arial" pitchFamily="34" charset="0"/>
                                      <a:cs typeface="Arial" pitchFamily="34" charset="0"/>
                                    </a:rPr>
                                    <a:t>errors</a:t>
                                  </a:r>
                                  <a:r>
                                    <a:rPr lang="en-US" sz="900" dirty="0" smtClean="0">
                                      <a:solidFill>
                                        <a:srgbClr val="333399">
                                          <a:lumMod val="50000"/>
                                        </a:srgbClr>
                                      </a:solidFill>
                                      <a:latin typeface="Arial" pitchFamily="34" charset="0"/>
                                      <a:cs typeface="Arial" pitchFamily="34" charset="0"/>
                                    </a:rPr>
                                    <a:t>.</a:t>
                                  </a:r>
                                  <a:endPar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endParaRPr>
                                </a:p>
                              </a:txBody>
                              <a:useSpRect/>
                            </a:txSp>
                          </a:sp>
                          <a:pic>
                            <a:nvPicPr>
                              <a:cNvPr id="43" name="Picture 6" descr="Logo_XM"/>
                              <a:cNvPicPr>
                                <a:picLocks noChangeAspect="1" noChangeArrowheads="1"/>
                              </a:cNvPicPr>
                            </a:nvPicPr>
                            <a:blipFill>
                              <a:blip r:embed="rId44" cstate="print"/>
                              <a:srcRect/>
                              <a:stretch>
                                <a:fillRect/>
                              </a:stretch>
                            </a:blipFill>
                            <a:spPr bwMode="auto">
                              <a:xfrm>
                                <a:off x="4572000" y="4038600"/>
                                <a:ext cx="657859" cy="406578"/>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pic>
                            <a:nvPicPr>
                              <a:cNvPr id="44" name="Picture 8" descr="Logo_BI"/>
                              <a:cNvPicPr>
                                <a:picLocks noChangeAspect="1" noChangeArrowheads="1"/>
                              </a:cNvPicPr>
                            </a:nvPicPr>
                            <a:blipFill>
                              <a:blip r:embed="rId45" cstate="print"/>
                              <a:srcRect l="19200"/>
                              <a:stretch>
                                <a:fillRect/>
                              </a:stretch>
                            </a:blipFill>
                            <a:spPr bwMode="auto">
                              <a:xfrm>
                                <a:off x="4581525" y="4724400"/>
                                <a:ext cx="608899" cy="338327"/>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sp>
                            <a:nvSpPr>
                              <a:cNvPr id="45" name="Rectangle 9"/>
                              <a:cNvSpPr>
                                <a:spLocks noChangeArrowheads="1"/>
                              </a:cNvSpPr>
                            </a:nvSpPr>
                            <a:spPr bwMode="auto">
                              <a:xfrm>
                                <a:off x="2524125" y="5295900"/>
                                <a:ext cx="2057400" cy="609600"/>
                              </a:xfrm>
                              <a:prstGeom prst="rect">
                                <a:avLst/>
                              </a:prstGeom>
                              <a:noFill/>
                              <a:ln w="9525" algn="ctr">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3975" marR="0" lvl="0" indent="0" defTabSz="914400" rtl="0" eaLnBrk="1" fontAlgn="base" latinLnBrk="0" hangingPunct="1">
                                    <a:lnSpc>
                                      <a:spcPct val="100000"/>
                                    </a:lnSpc>
                                    <a:spcBef>
                                      <a:spcPct val="0"/>
                                    </a:spcBef>
                                    <a:spcAft>
                                      <a:spcPct val="0"/>
                                    </a:spcAft>
                                    <a:buClrTx/>
                                    <a:buSzTx/>
                                    <a:buFontTx/>
                                    <a:buNone/>
                                    <a:tabLst/>
                                    <a:defRPr/>
                                  </a:pPr>
                                  <a:r>
                                    <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rPr>
                                    <a:t>BI environment metadata foundation tool that creates semantic layers such as universes and </a:t>
                                  </a:r>
                                  <a:r>
                                    <a:rPr kumimoji="0" lang="en-US" sz="900" b="0" i="0" u="none" strike="noStrike" kern="1200" cap="none" spc="0" normalizeH="0" baseline="0" noProof="0" dirty="0" smtClean="0">
                                      <a:ln>
                                        <a:noFill/>
                                      </a:ln>
                                      <a:solidFill>
                                        <a:srgbClr val="333399">
                                          <a:lumMod val="50000"/>
                                        </a:srgbClr>
                                      </a:solidFill>
                                      <a:effectLst/>
                                      <a:uLnTx/>
                                      <a:uFillTx/>
                                      <a:latin typeface="Arial" pitchFamily="34" charset="0"/>
                                      <a:cs typeface="Arial" pitchFamily="34" charset="0"/>
                                    </a:rPr>
                                    <a:t>models.</a:t>
                                  </a:r>
                                  <a:endPar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endParaRPr>
                                </a:p>
                              </a:txBody>
                              <a:useSpRect/>
                            </a:txSp>
                          </a:sp>
                          <a:pic>
                            <a:nvPicPr>
                              <a:cNvPr id="46" name="Picture 10" descr="Logo_SLA"/>
                              <a:cNvPicPr>
                                <a:picLocks noChangeAspect="1" noChangeArrowheads="1"/>
                              </a:cNvPicPr>
                            </a:nvPicPr>
                            <a:blipFill>
                              <a:blip r:embed="rId46" cstate="print"/>
                              <a:srcRect/>
                              <a:stretch>
                                <a:fillRect/>
                              </a:stretch>
                            </a:blipFill>
                            <a:spPr bwMode="auto">
                              <a:xfrm>
                                <a:off x="1838325" y="5448300"/>
                                <a:ext cx="563880" cy="217329"/>
                              </a:xfrm>
                              <a:prstGeom prst="rect">
                                <a:avLst/>
                              </a:prstGeom>
                              <a:solidFill>
                                <a:srgbClr val="002A4A"/>
                              </a:solidFill>
                              <a:ln w="9525" cap="flat" cmpd="sng" algn="ctr">
                                <a:solidFill>
                                  <a:srgbClr val="4F81BD">
                                    <a:shade val="95000"/>
                                    <a:satMod val="105000"/>
                                  </a:srgbClr>
                                </a:solidFill>
                                <a:prstDash val="solid"/>
                              </a:ln>
                              <a:effectLst>
                                <a:outerShdw blurRad="40000" dist="23000" dir="5400000" rotWithShape="0">
                                  <a:srgbClr val="000000">
                                    <a:alpha val="35000"/>
                                  </a:srgbClr>
                                </a:outerShdw>
                              </a:effectLst>
                            </a:spPr>
                          </a:pic>
                          <a:sp>
                            <a:nvSpPr>
                              <a:cNvPr id="47" name="Rectangle 17"/>
                              <a:cNvSpPr>
                                <a:spLocks noChangeArrowheads="1"/>
                              </a:cNvSpPr>
                            </a:nvSpPr>
                            <a:spPr bwMode="blackWhite">
                              <a:xfrm>
                                <a:off x="304800" y="4876800"/>
                                <a:ext cx="914400" cy="355600"/>
                              </a:xfrm>
                              <a:prstGeom prst="rect">
                                <a:avLst/>
                              </a:prstGeom>
                              <a:ln>
                                <a:headEnd/>
                                <a:tailEnd/>
                              </a:ln>
                            </a:spPr>
                            <a:txSp>
                              <a:txBody>
                                <a:bodyPr lIns="18288" tIns="18288" rIns="18288" bIns="18288" anchor="ctr"/>
                                <a:lstStyle>
                                  <a:defPPr>
                                    <a:defRPr lang="en-US"/>
                                  </a:defPPr>
                                  <a:lvl1pPr algn="l" rtl="0" fontAlgn="base">
                                    <a:spcBef>
                                      <a:spcPct val="0"/>
                                    </a:spcBef>
                                    <a:spcAft>
                                      <a:spcPct val="0"/>
                                    </a:spcAft>
                                    <a:defRPr sz="2400" kern="1200">
                                      <a:solidFill>
                                        <a:schemeClr val="dk1"/>
                                      </a:solidFill>
                                      <a:latin typeface="+mn-lt"/>
                                      <a:ea typeface="+mn-ea"/>
                                      <a:cs typeface="+mn-cs"/>
                                    </a:defRPr>
                                  </a:lvl1pPr>
                                  <a:lvl2pPr marL="457200" algn="l" rtl="0" fontAlgn="base">
                                    <a:spcBef>
                                      <a:spcPct val="0"/>
                                    </a:spcBef>
                                    <a:spcAft>
                                      <a:spcPct val="0"/>
                                    </a:spcAft>
                                    <a:defRPr sz="2400" kern="1200">
                                      <a:solidFill>
                                        <a:schemeClr val="dk1"/>
                                      </a:solidFill>
                                      <a:latin typeface="+mn-lt"/>
                                      <a:ea typeface="+mn-ea"/>
                                      <a:cs typeface="+mn-cs"/>
                                    </a:defRPr>
                                  </a:lvl2pPr>
                                  <a:lvl3pPr marL="914400" algn="l" rtl="0" fontAlgn="base">
                                    <a:spcBef>
                                      <a:spcPct val="0"/>
                                    </a:spcBef>
                                    <a:spcAft>
                                      <a:spcPct val="0"/>
                                    </a:spcAft>
                                    <a:defRPr sz="2400" kern="1200">
                                      <a:solidFill>
                                        <a:schemeClr val="dk1"/>
                                      </a:solidFill>
                                      <a:latin typeface="+mn-lt"/>
                                      <a:ea typeface="+mn-ea"/>
                                      <a:cs typeface="+mn-cs"/>
                                    </a:defRPr>
                                  </a:lvl3pPr>
                                  <a:lvl4pPr marL="1371600" algn="l" rtl="0" fontAlgn="base">
                                    <a:spcBef>
                                      <a:spcPct val="0"/>
                                    </a:spcBef>
                                    <a:spcAft>
                                      <a:spcPct val="0"/>
                                    </a:spcAft>
                                    <a:defRPr sz="2400" kern="1200">
                                      <a:solidFill>
                                        <a:schemeClr val="dk1"/>
                                      </a:solidFill>
                                      <a:latin typeface="+mn-lt"/>
                                      <a:ea typeface="+mn-ea"/>
                                      <a:cs typeface="+mn-cs"/>
                                    </a:defRPr>
                                  </a:lvl4pPr>
                                  <a:lvl5pPr marL="1828800" algn="l" rtl="0" fontAlgn="base">
                                    <a:spcBef>
                                      <a:spcPct val="0"/>
                                    </a:spcBef>
                                    <a:spcAft>
                                      <a:spcPct val="0"/>
                                    </a:spcAft>
                                    <a:defRPr sz="2400" kern="1200">
                                      <a:solidFill>
                                        <a:schemeClr val="dk1"/>
                                      </a:solidFill>
                                      <a:latin typeface="+mn-lt"/>
                                      <a:ea typeface="+mn-ea"/>
                                      <a:cs typeface="+mn-cs"/>
                                    </a:defRPr>
                                  </a:lvl5pPr>
                                  <a:lvl6pPr marL="2286000" algn="l" defTabSz="914400" rtl="0" eaLnBrk="1" latinLnBrk="0" hangingPunct="1">
                                    <a:defRPr sz="2400" kern="1200">
                                      <a:solidFill>
                                        <a:schemeClr val="dk1"/>
                                      </a:solidFill>
                                      <a:latin typeface="+mn-lt"/>
                                      <a:ea typeface="+mn-ea"/>
                                      <a:cs typeface="+mn-cs"/>
                                    </a:defRPr>
                                  </a:lvl6pPr>
                                  <a:lvl7pPr marL="2743200" algn="l" defTabSz="914400" rtl="0" eaLnBrk="1" latinLnBrk="0" hangingPunct="1">
                                    <a:defRPr sz="2400" kern="1200">
                                      <a:solidFill>
                                        <a:schemeClr val="dk1"/>
                                      </a:solidFill>
                                      <a:latin typeface="+mn-lt"/>
                                      <a:ea typeface="+mn-ea"/>
                                      <a:cs typeface="+mn-cs"/>
                                    </a:defRPr>
                                  </a:lvl7pPr>
                                  <a:lvl8pPr marL="3200400" algn="l" defTabSz="914400" rtl="0" eaLnBrk="1" latinLnBrk="0" hangingPunct="1">
                                    <a:defRPr sz="2400" kern="1200">
                                      <a:solidFill>
                                        <a:schemeClr val="dk1"/>
                                      </a:solidFill>
                                      <a:latin typeface="+mn-lt"/>
                                      <a:ea typeface="+mn-ea"/>
                                      <a:cs typeface="+mn-cs"/>
                                    </a:defRPr>
                                  </a:lvl8pPr>
                                  <a:lvl9pPr marL="3657600" algn="l" defTabSz="914400" rtl="0" eaLnBrk="1" latinLnBrk="0" hangingPunct="1">
                                    <a:defRPr sz="2400" kern="1200">
                                      <a:solidFill>
                                        <a:schemeClr val="dk1"/>
                                      </a:solidFill>
                                      <a:latin typeface="+mn-lt"/>
                                      <a:ea typeface="+mn-ea"/>
                                      <a:cs typeface="+mn-cs"/>
                                    </a:defRPr>
                                  </a:lvl9pPr>
                                </a:lstStyle>
                                <a:p>
                                  <a:pPr algn="ctr" eaLnBrk="0" hangingPunct="0">
                                    <a:defRPr/>
                                  </a:pPr>
                                  <a:r>
                                    <a:rPr lang="en-US" sz="1000" b="1" dirty="0">
                                      <a:solidFill>
                                        <a:srgbClr val="000000"/>
                                      </a:solidFill>
                                      <a:latin typeface="Arial" pitchFamily="34" charset="0"/>
                                      <a:cs typeface="Arial" pitchFamily="34" charset="0"/>
                                    </a:rPr>
                                    <a:t>Performance Data</a:t>
                                  </a:r>
                                </a:p>
                              </a:txBody>
                              <a:useSpRect/>
                            </a:txSp>
                            <a:style>
                              <a:lnRef idx="1">
                                <a:schemeClr val="accent5"/>
                              </a:lnRef>
                              <a:fillRef idx="2">
                                <a:schemeClr val="accent5"/>
                              </a:fillRef>
                              <a:effectRef idx="1">
                                <a:schemeClr val="accent5"/>
                              </a:effectRef>
                              <a:fontRef idx="minor">
                                <a:schemeClr val="dk1"/>
                              </a:fontRef>
                            </a:style>
                          </a:sp>
                          <a:sp>
                            <a:nvSpPr>
                              <a:cNvPr id="48" name="Rectangle 4"/>
                              <a:cNvSpPr>
                                <a:spLocks noChangeArrowheads="1"/>
                              </a:cNvSpPr>
                            </a:nvSpPr>
                            <a:spPr bwMode="auto">
                              <a:xfrm>
                                <a:off x="5181600" y="4610100"/>
                                <a:ext cx="2307566" cy="609600"/>
                              </a:xfrm>
                              <a:prstGeom prst="rect">
                                <a:avLst/>
                              </a:prstGeom>
                              <a:noFill/>
                              <a:ln w="9525" algn="ctr">
                                <a:noFill/>
                                <a:miter lim="800000"/>
                                <a:headEnd/>
                                <a:tailEnd/>
                              </a:ln>
                            </a:spPr>
                            <a:txSp>
                              <a:txBody>
                                <a:bodyP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marL="53975" marR="0" lvl="1" indent="0" algn="l" defTabSz="914400" rtl="0" eaLnBrk="1" fontAlgn="base" latinLnBrk="0" hangingPunct="1">
                                    <a:lnSpc>
                                      <a:spcPct val="100000"/>
                                    </a:lnSpc>
                                    <a:spcBef>
                                      <a:spcPct val="0"/>
                                    </a:spcBef>
                                    <a:spcAft>
                                      <a:spcPct val="0"/>
                                    </a:spcAft>
                                    <a:buClrTx/>
                                    <a:buSzTx/>
                                    <a:buFontTx/>
                                    <a:buNone/>
                                    <a:tabLst/>
                                    <a:defRPr/>
                                  </a:pPr>
                                  <a:r>
                                    <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rPr>
                                    <a:t>Metadata based analysis tool within any BI environment for determining  duplicate reports , Dead variables, sub set related </a:t>
                                  </a:r>
                                  <a:r>
                                    <a:rPr kumimoji="0" lang="en-US" sz="900" b="0" i="0" u="none" strike="noStrike" kern="1200" cap="none" spc="0" normalizeH="0" baseline="0" noProof="0" dirty="0" smtClean="0">
                                      <a:ln>
                                        <a:noFill/>
                                      </a:ln>
                                      <a:solidFill>
                                        <a:srgbClr val="333399">
                                          <a:lumMod val="50000"/>
                                        </a:srgbClr>
                                      </a:solidFill>
                                      <a:effectLst/>
                                      <a:uLnTx/>
                                      <a:uFillTx/>
                                      <a:latin typeface="Arial" pitchFamily="34" charset="0"/>
                                      <a:cs typeface="Arial" pitchFamily="34" charset="0"/>
                                    </a:rPr>
                                    <a:t>reports.</a:t>
                                  </a:r>
                                  <a:endParaRPr kumimoji="0" lang="en-US" sz="900" b="0" i="0" u="none" strike="noStrike" kern="1200" cap="none" spc="0" normalizeH="0" baseline="0" noProof="0" dirty="0">
                                    <a:ln>
                                      <a:noFill/>
                                    </a:ln>
                                    <a:solidFill>
                                      <a:srgbClr val="333399">
                                        <a:lumMod val="50000"/>
                                      </a:srgbClr>
                                    </a:solidFill>
                                    <a:effectLst/>
                                    <a:uLnTx/>
                                    <a:uFillTx/>
                                    <a:latin typeface="Arial" pitchFamily="34" charset="0"/>
                                    <a:cs typeface="Arial" pitchFamily="34" charset="0"/>
                                  </a:endParaRPr>
                                </a:p>
                              </a:txBody>
                              <a:useSpRect/>
                            </a:txSp>
                          </a:sp>
                          <a:sp>
                            <a:nvSpPr>
                              <a:cNvPr id="49" name="Rectangle 26"/>
                              <a:cNvSpPr>
                                <a:spLocks noChangeArrowheads="1"/>
                              </a:cNvSpPr>
                            </a:nvSpPr>
                            <a:spPr bwMode="auto">
                              <a:xfrm>
                                <a:off x="2192337" y="1600201"/>
                                <a:ext cx="1389063" cy="228599"/>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Architecture</a:t>
                                  </a:r>
                                </a:p>
                              </a:txBody>
                              <a:useSpRect/>
                            </a:txSp>
                          </a:sp>
                          <a:sp>
                            <a:nvSpPr>
                              <a:cNvPr id="50" name="Rectangle 26"/>
                              <a:cNvSpPr>
                                <a:spLocks noChangeArrowheads="1"/>
                              </a:cNvSpPr>
                            </a:nvSpPr>
                            <a:spPr bwMode="auto">
                              <a:xfrm>
                                <a:off x="3906837" y="1600200"/>
                                <a:ext cx="1389063" cy="228599"/>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Technology</a:t>
                                  </a:r>
                                </a:p>
                              </a:txBody>
                              <a:useSpRect/>
                            </a:txSp>
                          </a:sp>
                          <a:sp>
                            <a:nvSpPr>
                              <a:cNvPr id="51" name="Rectangle 26"/>
                              <a:cNvSpPr>
                                <a:spLocks noChangeArrowheads="1"/>
                              </a:cNvSpPr>
                            </a:nvSpPr>
                            <a:spPr bwMode="auto">
                              <a:xfrm>
                                <a:off x="5621337" y="1600200"/>
                                <a:ext cx="1389063" cy="228599"/>
                              </a:xfrm>
                              <a:prstGeom prst="rect">
                                <a:avLst/>
                              </a:prstGeom>
                              <a:solidFill>
                                <a:srgbClr val="002A4A"/>
                              </a:solidFill>
                              <a:ln w="9525" cap="flat" cmpd="sng" algn="ctr">
                                <a:solidFill>
                                  <a:srgbClr val="FFC000"/>
                                </a:solidFill>
                                <a:prstDash val="solid"/>
                              </a:ln>
                              <a:effectLst>
                                <a:outerShdw blurRad="40000" dist="23000" dir="5400000" rotWithShape="0">
                                  <a:srgbClr val="000000">
                                    <a:alpha val="35000"/>
                                  </a:srgbClr>
                                </a:outerShdw>
                              </a:effectLst>
                            </a:spPr>
                            <a:txSp>
                              <a:txBody>
                                <a:bodyPr anchor="ctr"/>
                                <a:lstStyle>
                                  <a:defPPr>
                                    <a:defRPr lang="en-US"/>
                                  </a:defPPr>
                                  <a:lvl1pPr algn="l" rtl="0" fontAlgn="base">
                                    <a:spcBef>
                                      <a:spcPct val="0"/>
                                    </a:spcBef>
                                    <a:spcAft>
                                      <a:spcPct val="0"/>
                                    </a:spcAft>
                                    <a:defRPr sz="2400" kern="1200">
                                      <a:solidFill>
                                        <a:schemeClr val="tx1"/>
                                      </a:solidFill>
                                      <a:latin typeface="Arial" pitchFamily="34" charset="0"/>
                                      <a:ea typeface="ＭＳ Ｐゴシック"/>
                                      <a:cs typeface="ＭＳ Ｐゴシック"/>
                                    </a:defRPr>
                                  </a:lvl1pPr>
                                  <a:lvl2pPr marL="457200" algn="l" rtl="0" fontAlgn="base">
                                    <a:spcBef>
                                      <a:spcPct val="0"/>
                                    </a:spcBef>
                                    <a:spcAft>
                                      <a:spcPct val="0"/>
                                    </a:spcAft>
                                    <a:defRPr sz="2400" kern="1200">
                                      <a:solidFill>
                                        <a:schemeClr val="tx1"/>
                                      </a:solidFill>
                                      <a:latin typeface="Arial" pitchFamily="34" charset="0"/>
                                      <a:ea typeface="ＭＳ Ｐゴシック"/>
                                      <a:cs typeface="ＭＳ Ｐゴシック"/>
                                    </a:defRPr>
                                  </a:lvl2pPr>
                                  <a:lvl3pPr marL="914400" algn="l" rtl="0" fontAlgn="base">
                                    <a:spcBef>
                                      <a:spcPct val="0"/>
                                    </a:spcBef>
                                    <a:spcAft>
                                      <a:spcPct val="0"/>
                                    </a:spcAft>
                                    <a:defRPr sz="2400" kern="1200">
                                      <a:solidFill>
                                        <a:schemeClr val="tx1"/>
                                      </a:solidFill>
                                      <a:latin typeface="Arial" pitchFamily="34" charset="0"/>
                                      <a:ea typeface="ＭＳ Ｐゴシック"/>
                                      <a:cs typeface="ＭＳ Ｐゴシック"/>
                                    </a:defRPr>
                                  </a:lvl3pPr>
                                  <a:lvl4pPr marL="1371600" algn="l" rtl="0" fontAlgn="base">
                                    <a:spcBef>
                                      <a:spcPct val="0"/>
                                    </a:spcBef>
                                    <a:spcAft>
                                      <a:spcPct val="0"/>
                                    </a:spcAft>
                                    <a:defRPr sz="2400" kern="1200">
                                      <a:solidFill>
                                        <a:schemeClr val="tx1"/>
                                      </a:solidFill>
                                      <a:latin typeface="Arial" pitchFamily="34" charset="0"/>
                                      <a:ea typeface="ＭＳ Ｐゴシック"/>
                                      <a:cs typeface="ＭＳ Ｐゴシック"/>
                                    </a:defRPr>
                                  </a:lvl4pPr>
                                  <a:lvl5pPr marL="1828800" algn="l" rtl="0" fontAlgn="base">
                                    <a:spcBef>
                                      <a:spcPct val="0"/>
                                    </a:spcBef>
                                    <a:spcAft>
                                      <a:spcPct val="0"/>
                                    </a:spcAft>
                                    <a:defRPr sz="2400" kern="1200">
                                      <a:solidFill>
                                        <a:schemeClr val="tx1"/>
                                      </a:solidFill>
                                      <a:latin typeface="Arial" pitchFamily="34" charset="0"/>
                                      <a:ea typeface="ＭＳ Ｐゴシック"/>
                                      <a:cs typeface="ＭＳ Ｐゴシック"/>
                                    </a:defRPr>
                                  </a:lvl5pPr>
                                  <a:lvl6pPr marL="2286000" algn="l" defTabSz="914400" rtl="0" eaLnBrk="1" latinLnBrk="0" hangingPunct="1">
                                    <a:defRPr sz="2400" kern="1200">
                                      <a:solidFill>
                                        <a:schemeClr val="tx1"/>
                                      </a:solidFill>
                                      <a:latin typeface="Arial" pitchFamily="34" charset="0"/>
                                      <a:ea typeface="ＭＳ Ｐゴシック"/>
                                      <a:cs typeface="ＭＳ Ｐゴシック"/>
                                    </a:defRPr>
                                  </a:lvl6pPr>
                                  <a:lvl7pPr marL="2743200" algn="l" defTabSz="914400" rtl="0" eaLnBrk="1" latinLnBrk="0" hangingPunct="1">
                                    <a:defRPr sz="2400" kern="1200">
                                      <a:solidFill>
                                        <a:schemeClr val="tx1"/>
                                      </a:solidFill>
                                      <a:latin typeface="Arial" pitchFamily="34" charset="0"/>
                                      <a:ea typeface="ＭＳ Ｐゴシック"/>
                                      <a:cs typeface="ＭＳ Ｐゴシック"/>
                                    </a:defRPr>
                                  </a:lvl7pPr>
                                  <a:lvl8pPr marL="3200400" algn="l" defTabSz="914400" rtl="0" eaLnBrk="1" latinLnBrk="0" hangingPunct="1">
                                    <a:defRPr sz="2400" kern="1200">
                                      <a:solidFill>
                                        <a:schemeClr val="tx1"/>
                                      </a:solidFill>
                                      <a:latin typeface="Arial" pitchFamily="34" charset="0"/>
                                      <a:ea typeface="ＭＳ Ｐゴシック"/>
                                      <a:cs typeface="ＭＳ Ｐゴシック"/>
                                    </a:defRPr>
                                  </a:lvl8pPr>
                                  <a:lvl9pPr marL="3657600" algn="l" defTabSz="914400" rtl="0" eaLnBrk="1" latinLnBrk="0" hangingPunct="1">
                                    <a:defRPr sz="2400" kern="1200">
                                      <a:solidFill>
                                        <a:schemeClr val="tx1"/>
                                      </a:solidFill>
                                      <a:latin typeface="Arial" pitchFamily="34" charset="0"/>
                                      <a:ea typeface="ＭＳ Ｐゴシック"/>
                                      <a:cs typeface="ＭＳ Ｐゴシック"/>
                                    </a:defRPr>
                                  </a:lvl9pPr>
                                </a:lstStyle>
                                <a:p>
                                  <a:pPr algn="ctr">
                                    <a:defRPr/>
                                  </a:pPr>
                                  <a:r>
                                    <a:rPr lang="en-US" sz="1200" b="1" kern="0" dirty="0">
                                      <a:solidFill>
                                        <a:sysClr val="window" lastClr="FFFFFF"/>
                                      </a:solidFill>
                                      <a:latin typeface="Calibri" pitchFamily="34" charset="0"/>
                                      <a:ea typeface="ＭＳ Ｐゴシック"/>
                                      <a:cs typeface="Arial" pitchFamily="34" charset="0"/>
                                    </a:rPr>
                                    <a:t>BPO</a:t>
                                  </a:r>
                                </a:p>
                              </a:txBody>
                              <a:useSpRect/>
                            </a:txSp>
                          </a:sp>
                        </a:grpSp>
                      </lc:lockedCanvas>
                    </a:graphicData>
                  </a:graphic>
                </wp:inline>
              </w:drawing>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ARM (Account Reference Management) Capabilities:</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Building customized solution to support the account opening process, including workflow processes.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Provide End-to-end solution including data scrubbing, translation and validation for uploading/feeds.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Managing workflow and account approval process </w:t>
            </w:r>
          </w:p>
          <w:p w:rsidR="00D95F82" w:rsidRPr="00D23EE4" w:rsidRDefault="00D95F82" w:rsidP="003453B3">
            <w:pPr>
              <w:pStyle w:val="BulletList0"/>
              <w:numPr>
                <w:ilvl w:val="0"/>
                <w:numId w:val="13"/>
              </w:numPr>
              <w:spacing w:line="276" w:lineRule="auto"/>
              <w:ind w:hanging="288"/>
              <w:jc w:val="both"/>
              <w:rPr>
                <w:color w:val="000000"/>
              </w:rPr>
            </w:pPr>
            <w:r w:rsidRPr="00D23EE4">
              <w:rPr>
                <w:rFonts w:asciiTheme="minorHAnsi" w:hAnsiTheme="minorHAnsi" w:cs="Times New Roman"/>
                <w:color w:val="3F3F3F"/>
                <w:szCs w:val="22"/>
                <w:lang w:val="en-US" w:bidi="en-US"/>
              </w:rPr>
              <w:t xml:space="preserve">Integrating with downstream systems for accounts data </w:t>
            </w:r>
            <w:r w:rsidRPr="00D23EE4">
              <w:rPr>
                <w:color w:val="000000"/>
              </w:rPr>
              <w:t> </w:t>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SRM (Security Reference Management) Capabilities:</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Accept and process security feeds from multiple Security Data Vendors like Bloomberg, Vestek, Reuters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Processing of securities of all asset types (Fixed Income, Equities, Derivatives – SWAPS, Index, Currency, Preferred,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Handling of Intraday and EOD security feeds.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Security Validation and Hierarchical decisions. </w:t>
            </w:r>
          </w:p>
          <w:p w:rsidR="00D95F82" w:rsidRPr="00EC34ED" w:rsidRDefault="00D95F82" w:rsidP="00D95F82">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Gold Copy for different Target Systems. </w:t>
            </w:r>
          </w:p>
          <w:p w:rsidR="00D95F82" w:rsidRPr="00E17E18" w:rsidRDefault="00D95F82" w:rsidP="00E17E18">
            <w:pPr>
              <w:pStyle w:val="DisplayHeading"/>
              <w:rPr>
                <w:rFonts w:asciiTheme="minorHAnsi" w:hAnsiTheme="minorHAnsi" w:cs="Arial"/>
                <w:sz w:val="24"/>
              </w:rPr>
            </w:pPr>
            <w:r w:rsidRPr="00E17E18">
              <w:rPr>
                <w:rFonts w:asciiTheme="minorHAnsi" w:hAnsiTheme="minorHAnsi" w:cs="Arial"/>
                <w:sz w:val="24"/>
              </w:rPr>
              <w:t>Pricing Capabilities:</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Expertise with pricing data feeds from different vendors including Bloomberg, IDC, WM/Reuters, IDL, IDSI, Muller, Scotia, Lehman and MarkIT.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Handling pricing information for different Asset Classes including equities, Fixed Income, ABS, CMBS, </w:t>
            </w:r>
            <w:r w:rsidRPr="007B2041">
              <w:rPr>
                <w:rFonts w:asciiTheme="minorHAnsi" w:hAnsiTheme="minorHAnsi" w:cs="Times New Roman"/>
                <w:color w:val="3F3F3F"/>
                <w:szCs w:val="22"/>
                <w:lang w:val="en-US" w:bidi="en-US"/>
              </w:rPr>
              <w:lastRenderedPageBreak/>
              <w:t xml:space="preserve">CMO, OTC Derivatives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securities of interest list based on multiple scenarios holdings, watch-lists, new securities, manual price list etc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demand for pricing feeds from vendors full set , delta / incremental / individual </w:t>
            </w:r>
          </w:p>
          <w:p w:rsidR="00D95F82" w:rsidRPr="007B2041"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Price Rule validation and Hierarchical decisions </w:t>
            </w:r>
          </w:p>
          <w:p w:rsidR="00D95F82" w:rsidRDefault="00D95F8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Creation of Best Price /Gold Copy for different Target Systems </w:t>
            </w:r>
          </w:p>
          <w:p w:rsidR="00BF0D78" w:rsidRDefault="00BF0D78" w:rsidP="00BF0D78">
            <w:pPr>
              <w:pStyle w:val="BulletList0"/>
              <w:spacing w:line="276" w:lineRule="auto"/>
              <w:jc w:val="both"/>
              <w:rPr>
                <w:rFonts w:asciiTheme="minorHAnsi" w:hAnsiTheme="minorHAnsi" w:cs="Times New Roman"/>
                <w:color w:val="3F3F3F"/>
                <w:szCs w:val="22"/>
                <w:lang w:val="en-US" w:bidi="en-US"/>
              </w:rPr>
            </w:pPr>
          </w:p>
          <w:p w:rsidR="00BF0D78" w:rsidRDefault="00BF0D78" w:rsidP="00BF0D78">
            <w:pPr>
              <w:pStyle w:val="DisplayHeading"/>
              <w:rPr>
                <w:rFonts w:asciiTheme="minorHAnsi" w:hAnsiTheme="minorHAnsi" w:cs="Arial"/>
                <w:sz w:val="24"/>
              </w:rPr>
            </w:pPr>
            <w:r w:rsidRPr="00BF0D78">
              <w:rPr>
                <w:rFonts w:asciiTheme="minorHAnsi" w:hAnsiTheme="minorHAnsi" w:cs="Arial"/>
                <w:sz w:val="24"/>
              </w:rPr>
              <w:t>Data Quality</w:t>
            </w:r>
          </w:p>
          <w:p w:rsidR="00BF0D78" w:rsidRDefault="00BF0D78" w:rsidP="00BF0D78">
            <w:pPr>
              <w:pStyle w:val="Pa1"/>
              <w:rPr>
                <w:rFonts w:asciiTheme="minorHAnsi" w:eastAsia="Times New Roman" w:hAnsiTheme="minorHAnsi"/>
                <w:b/>
                <w:color w:val="3F3F3F"/>
                <w:sz w:val="22"/>
                <w:szCs w:val="22"/>
                <w:lang w:eastAsia="en-US" w:bidi="en-US"/>
              </w:rPr>
            </w:pPr>
            <w:r w:rsidRPr="00C86E1C">
              <w:rPr>
                <w:rFonts w:asciiTheme="minorHAnsi" w:eastAsia="Times New Roman" w:hAnsiTheme="minorHAnsi"/>
                <w:b/>
                <w:color w:val="3F3F3F"/>
                <w:sz w:val="22"/>
                <w:szCs w:val="22"/>
                <w:lang w:eastAsia="en-US" w:bidi="en-US"/>
              </w:rPr>
              <w:t xml:space="preserve">Why Data Quality? </w:t>
            </w:r>
          </w:p>
          <w:p w:rsidR="00BF0D78" w:rsidRDefault="00BF0D78" w:rsidP="00BF0D78">
            <w:pPr>
              <w:pStyle w:val="Pa4"/>
              <w:spacing w:after="120"/>
              <w:jc w:val="both"/>
              <w:rPr>
                <w:rFonts w:asciiTheme="minorHAnsi" w:eastAsia="Times New Roman" w:hAnsiTheme="minorHAnsi"/>
                <w:color w:val="3F3F3F"/>
                <w:sz w:val="22"/>
                <w:szCs w:val="22"/>
                <w:lang w:eastAsia="en-US" w:bidi="en-US"/>
              </w:rPr>
            </w:pPr>
            <w:r w:rsidRPr="00064679">
              <w:rPr>
                <w:rFonts w:asciiTheme="minorHAnsi" w:eastAsia="Times New Roman" w:hAnsiTheme="minorHAnsi"/>
                <w:color w:val="3F3F3F"/>
                <w:sz w:val="22"/>
                <w:szCs w:val="22"/>
                <w:lang w:eastAsia="en-US" w:bidi="en-US"/>
              </w:rPr>
              <w:t xml:space="preserve"> Irrelevant or unneeded information decreases operational efficiency and leads to dire drills, rework and bad business decisions. A data warehouse may fail if users do not trust the quality of the information it contains. The integrity of the information in most data warehouse projects today is often unclear, ill-defined and suspicious. </w:t>
            </w:r>
          </w:p>
          <w:p w:rsidR="00BF0D78" w:rsidRPr="00064679" w:rsidRDefault="00BF0D78" w:rsidP="00BF0D78">
            <w:pPr>
              <w:pStyle w:val="Pa4"/>
              <w:jc w:val="both"/>
              <w:rPr>
                <w:rFonts w:asciiTheme="minorHAnsi" w:eastAsia="Times New Roman" w:hAnsiTheme="minorHAnsi"/>
                <w:color w:val="3F3F3F"/>
                <w:sz w:val="22"/>
                <w:szCs w:val="22"/>
                <w:lang w:eastAsia="en-US" w:bidi="en-US"/>
              </w:rPr>
            </w:pP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color w:val="3F3F3F"/>
                <w:sz w:val="22"/>
                <w:szCs w:val="22"/>
                <w:u w:val="single"/>
                <w:lang w:eastAsia="en-US" w:bidi="en-US"/>
              </w:rPr>
              <w:t>7 Underlying Technology factors that result in DQ pains  </w:t>
            </w:r>
          </w:p>
          <w:p w:rsidR="00BF0D78" w:rsidRPr="00064679" w:rsidRDefault="00BF0D78" w:rsidP="00BF0D78">
            <w:pPr>
              <w:pStyle w:val="Pa4"/>
              <w:spacing w:after="120"/>
              <w:jc w:val="both"/>
              <w:rPr>
                <w:rFonts w:asciiTheme="minorHAnsi" w:eastAsia="Times New Roman" w:hAnsiTheme="minorHAnsi"/>
                <w:color w:val="3F3F3F"/>
                <w:sz w:val="22"/>
                <w:szCs w:val="22"/>
                <w:lang w:eastAsia="en-US" w:bidi="en-US"/>
              </w:rPr>
            </w:pPr>
            <w:r w:rsidRPr="00064679">
              <w:rPr>
                <w:rFonts w:asciiTheme="minorHAnsi" w:eastAsia="Times New Roman" w:hAnsiTheme="minorHAnsi"/>
                <w:color w:val="3F3F3F"/>
                <w:sz w:val="22"/>
                <w:szCs w:val="22"/>
                <w:lang w:eastAsia="en-US" w:bidi="en-US"/>
              </w:rPr>
              <w:t xml:space="preserve">Incorrect Data, Insufficient Data, Invalid Data, Duplicate customer data, Lack of validation routines, Mismatch of Syntax and Formats, Source system changes </w:t>
            </w: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bCs/>
                <w:color w:val="3F3F3F"/>
                <w:sz w:val="22"/>
                <w:szCs w:val="22"/>
                <w:u w:val="single"/>
                <w:lang w:eastAsia="en-US" w:bidi="en-US"/>
              </w:rPr>
              <w:t xml:space="preserve">The Hexaware Advantage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Pr>
                <w:rStyle w:val="A8"/>
                <w:rFonts w:ascii="Times New Roman" w:hAnsi="Times New Roman" w:cs="Times New Roman"/>
                <w:sz w:val="20"/>
                <w:szCs w:val="20"/>
              </w:rPr>
              <w:t xml:space="preserve">• </w:t>
            </w:r>
            <w:r w:rsidRPr="00C86E1C">
              <w:rPr>
                <w:rFonts w:asciiTheme="minorHAnsi" w:eastAsia="Times New Roman" w:hAnsiTheme="minorHAnsi"/>
                <w:color w:val="3F3F3F"/>
                <w:sz w:val="22"/>
                <w:szCs w:val="22"/>
                <w:lang w:eastAsia="en-US" w:bidi="en-US"/>
              </w:rPr>
              <w:t xml:space="preserve">Proven methodology for Data Quality Improvement using Six Sigma Techniques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sidRPr="00C86E1C">
              <w:rPr>
                <w:rFonts w:asciiTheme="minorHAnsi" w:eastAsia="Times New Roman" w:hAnsiTheme="minorHAnsi"/>
                <w:color w:val="3F3F3F"/>
                <w:sz w:val="22"/>
                <w:szCs w:val="22"/>
                <w:lang w:eastAsia="en-US" w:bidi="en-US"/>
              </w:rPr>
              <w:t xml:space="preserve">• More than 30 person years of Hexaware experience on data quality products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sidRPr="00C86E1C">
              <w:rPr>
                <w:rFonts w:asciiTheme="minorHAnsi" w:eastAsia="Times New Roman" w:hAnsiTheme="minorHAnsi"/>
                <w:color w:val="3F3F3F"/>
                <w:sz w:val="22"/>
                <w:szCs w:val="22"/>
                <w:lang w:eastAsia="en-US" w:bidi="en-US"/>
              </w:rPr>
              <w:t xml:space="preserve">• Business level partnership with SAS; Data Flux (A SAS DQ tool) used extensively in many client projects </w:t>
            </w:r>
          </w:p>
          <w:p w:rsidR="00BF0D78" w:rsidRPr="00C86E1C" w:rsidRDefault="00BF0D78" w:rsidP="00BF0D78">
            <w:pPr>
              <w:pStyle w:val="Pa5"/>
              <w:ind w:left="720" w:right="100" w:hanging="360"/>
              <w:jc w:val="both"/>
              <w:rPr>
                <w:rFonts w:asciiTheme="minorHAnsi" w:eastAsia="Times New Roman" w:hAnsiTheme="minorHAnsi"/>
                <w:color w:val="3F3F3F"/>
                <w:sz w:val="22"/>
                <w:szCs w:val="22"/>
                <w:lang w:eastAsia="en-US" w:bidi="en-US"/>
              </w:rPr>
            </w:pPr>
            <w:r w:rsidRPr="00C86E1C">
              <w:rPr>
                <w:rFonts w:asciiTheme="minorHAnsi" w:eastAsia="Times New Roman" w:hAnsiTheme="minorHAnsi"/>
                <w:color w:val="3F3F3F"/>
                <w:sz w:val="22"/>
                <w:szCs w:val="22"/>
                <w:lang w:eastAsia="en-US" w:bidi="en-US"/>
              </w:rPr>
              <w:t xml:space="preserve">• More than 25 Six Sigma projects executed across diverse functional areas </w:t>
            </w:r>
          </w:p>
          <w:p w:rsidR="00BF0D78" w:rsidRDefault="00BF0D78" w:rsidP="00BF0D78">
            <w:pPr>
              <w:pStyle w:val="Pa5"/>
              <w:ind w:left="720" w:right="100" w:hanging="360"/>
              <w:jc w:val="both"/>
              <w:rPr>
                <w:rFonts w:ascii="Times New Roman" w:hAnsi="Times New Roman" w:cs="Times New Roman"/>
                <w:color w:val="000000"/>
                <w:sz w:val="20"/>
                <w:szCs w:val="20"/>
              </w:rPr>
            </w:pPr>
            <w:r w:rsidRPr="00C86E1C">
              <w:rPr>
                <w:rFonts w:asciiTheme="minorHAnsi" w:eastAsia="Times New Roman" w:hAnsiTheme="minorHAnsi"/>
                <w:color w:val="3F3F3F"/>
                <w:sz w:val="22"/>
                <w:szCs w:val="22"/>
                <w:lang w:eastAsia="en-US" w:bidi="en-US"/>
              </w:rPr>
              <w:t>• Use of proprietary tools such as</w:t>
            </w:r>
            <w:r>
              <w:rPr>
                <w:rStyle w:val="A8"/>
                <w:rFonts w:ascii="Times New Roman" w:hAnsi="Times New Roman" w:cs="Times New Roman"/>
                <w:sz w:val="20"/>
                <w:szCs w:val="20"/>
              </w:rPr>
              <w:t xml:space="preserve"> </w:t>
            </w:r>
            <w:r w:rsidRPr="00C86E1C">
              <w:rPr>
                <w:rFonts w:asciiTheme="minorHAnsi" w:eastAsia="Times New Roman" w:hAnsiTheme="minorHAnsi"/>
                <w:b/>
                <w:color w:val="3F3F3F"/>
                <w:sz w:val="22"/>
                <w:szCs w:val="22"/>
                <w:lang w:eastAsia="en-US" w:bidi="en-US"/>
              </w:rPr>
              <w:t>Data Certifier and Data Profiler</w:t>
            </w:r>
            <w:r>
              <w:rPr>
                <w:rStyle w:val="A8"/>
                <w:rFonts w:ascii="Times New Roman" w:hAnsi="Times New Roman" w:cs="Times New Roman"/>
                <w:sz w:val="20"/>
                <w:szCs w:val="20"/>
              </w:rPr>
              <w:t xml:space="preserve"> </w:t>
            </w:r>
          </w:p>
          <w:p w:rsidR="00BF0D78" w:rsidRDefault="00BF0D78" w:rsidP="00BF0D78">
            <w:pPr>
              <w:pStyle w:val="Pa5"/>
              <w:ind w:left="720" w:right="100" w:hanging="360"/>
              <w:jc w:val="both"/>
              <w:rPr>
                <w:rStyle w:val="A9"/>
                <w:rFonts w:ascii="Times New Roman" w:hAnsi="Times New Roman"/>
              </w:rPr>
            </w:pPr>
            <w:r>
              <w:rPr>
                <w:rStyle w:val="A8"/>
                <w:rFonts w:ascii="Times New Roman" w:hAnsi="Times New Roman" w:cs="Times New Roman"/>
                <w:b/>
                <w:bCs/>
                <w:sz w:val="20"/>
                <w:szCs w:val="20"/>
              </w:rPr>
              <w:t xml:space="preserve">• </w:t>
            </w:r>
            <w:r w:rsidRPr="00C86E1C">
              <w:rPr>
                <w:rFonts w:asciiTheme="minorHAnsi" w:eastAsia="Times New Roman" w:hAnsiTheme="minorHAnsi"/>
                <w:b/>
                <w:color w:val="3F3F3F"/>
                <w:sz w:val="22"/>
                <w:szCs w:val="22"/>
                <w:lang w:eastAsia="en-US" w:bidi="en-US"/>
              </w:rPr>
              <w:t>Data Certifier:</w:t>
            </w:r>
            <w:r w:rsidRPr="00C86E1C">
              <w:rPr>
                <w:rFonts w:asciiTheme="minorHAnsi" w:eastAsia="Times New Roman" w:hAnsiTheme="minorHAnsi"/>
                <w:color w:val="3F3F3F"/>
                <w:sz w:val="22"/>
                <w:szCs w:val="22"/>
                <w:lang w:eastAsia="en-US" w:bidi="en-US"/>
              </w:rPr>
              <w:t xml:space="preserve"> Certifies the data in tables and can validate the Business Rules specified by the users</w:t>
            </w:r>
            <w:r>
              <w:rPr>
                <w:rStyle w:val="A9"/>
                <w:rFonts w:ascii="Times New Roman" w:hAnsi="Times New Roman" w:cs="Times New Roman"/>
                <w:sz w:val="20"/>
                <w:szCs w:val="20"/>
              </w:rPr>
              <w:t xml:space="preserve"> </w:t>
            </w:r>
          </w:p>
          <w:p w:rsidR="00BF0D78" w:rsidRDefault="00BF0D78" w:rsidP="00BF0D78">
            <w:pPr>
              <w:pStyle w:val="Pa5"/>
              <w:ind w:left="720" w:right="100" w:hanging="360"/>
              <w:jc w:val="both"/>
              <w:rPr>
                <w:rFonts w:asciiTheme="minorHAnsi" w:eastAsia="Times New Roman" w:hAnsiTheme="minorHAnsi"/>
                <w:color w:val="3F3F3F"/>
                <w:sz w:val="22"/>
                <w:szCs w:val="22"/>
                <w:lang w:eastAsia="en-US" w:bidi="en-US"/>
              </w:rPr>
            </w:pPr>
            <w:r>
              <w:rPr>
                <w:rStyle w:val="A8"/>
                <w:rFonts w:ascii="Times New Roman" w:hAnsi="Times New Roman" w:cs="Times New Roman"/>
                <w:sz w:val="20"/>
                <w:szCs w:val="20"/>
              </w:rPr>
              <w:t> </w:t>
            </w:r>
            <w:r w:rsidRPr="00C86E1C">
              <w:rPr>
                <w:rFonts w:asciiTheme="minorHAnsi" w:eastAsia="Times New Roman" w:hAnsiTheme="minorHAnsi"/>
                <w:b/>
                <w:color w:val="3F3F3F"/>
                <w:sz w:val="22"/>
                <w:szCs w:val="22"/>
                <w:lang w:eastAsia="en-US" w:bidi="en-US"/>
              </w:rPr>
              <w:t>Data Profiler</w:t>
            </w:r>
            <w:r w:rsidRPr="00C86E1C">
              <w:rPr>
                <w:rFonts w:asciiTheme="minorHAnsi" w:eastAsia="Times New Roman" w:hAnsiTheme="minorHAnsi"/>
                <w:color w:val="3F3F3F"/>
                <w:sz w:val="22"/>
                <w:szCs w:val="22"/>
                <w:lang w:eastAsia="en-US" w:bidi="en-US"/>
              </w:rPr>
              <w:t>: A tool that profiles all the three aspects of data viz. Content, Structure and Relationship</w:t>
            </w:r>
          </w:p>
          <w:p w:rsidR="00BF0D78" w:rsidRDefault="00BF0D78" w:rsidP="00BF0D78">
            <w:pPr>
              <w:pStyle w:val="Pa5"/>
              <w:ind w:left="560" w:right="100"/>
              <w:jc w:val="both"/>
              <w:rPr>
                <w:rStyle w:val="A9"/>
                <w:rFonts w:ascii="Times New Roman" w:hAnsi="Times New Roman" w:cs="Times New Roman"/>
                <w:sz w:val="20"/>
                <w:szCs w:val="20"/>
              </w:rPr>
            </w:pPr>
          </w:p>
          <w:p w:rsidR="00BF0D78" w:rsidRPr="00C86E1C" w:rsidRDefault="00BF0D78" w:rsidP="00BF0D78">
            <w:pPr>
              <w:pStyle w:val="Pa1"/>
              <w:spacing w:after="120"/>
              <w:rPr>
                <w:rFonts w:hint="eastAsia"/>
                <w:b/>
                <w:u w:val="single"/>
              </w:rPr>
            </w:pPr>
            <w:r w:rsidRPr="00C86E1C">
              <w:rPr>
                <w:rFonts w:asciiTheme="minorHAnsi" w:eastAsia="Times New Roman" w:hAnsiTheme="minorHAnsi"/>
                <w:b/>
                <w:color w:val="3F3F3F"/>
                <w:sz w:val="22"/>
                <w:szCs w:val="22"/>
                <w:u w:val="single"/>
                <w:lang w:eastAsia="en-US" w:bidi="en-US"/>
              </w:rPr>
              <w:t xml:space="preserve">Hexaware’s Methodology </w:t>
            </w:r>
          </w:p>
          <w:p w:rsidR="00BF0D78" w:rsidRPr="00064679" w:rsidRDefault="00BF0D78" w:rsidP="00BF0D78">
            <w:pPr>
              <w:pStyle w:val="Pa4"/>
              <w:jc w:val="both"/>
              <w:rPr>
                <w:rFonts w:asciiTheme="minorHAnsi" w:eastAsia="Times New Roman" w:hAnsiTheme="minorHAnsi"/>
                <w:color w:val="3F3F3F"/>
                <w:sz w:val="22"/>
                <w:szCs w:val="22"/>
                <w:lang w:eastAsia="en-US" w:bidi="en-US"/>
              </w:rPr>
            </w:pPr>
            <w:r w:rsidRPr="00064679">
              <w:rPr>
                <w:rFonts w:asciiTheme="minorHAnsi" w:eastAsia="Times New Roman" w:hAnsiTheme="minorHAnsi"/>
                <w:color w:val="3F3F3F"/>
                <w:sz w:val="22"/>
                <w:szCs w:val="22"/>
                <w:lang w:eastAsia="en-US" w:bidi="en-US"/>
              </w:rPr>
              <w:t xml:space="preserve">Hexaware’s Six Sigma Data Quality (SSDQ) methodology is a comprehensive approach based upon the Six Sigma framework, which ensures that client requirements / processes are fully understood, defined, mapped and implemented as per the requirements. The framework is a collaborative one with BI landscape and Six Sigma Methodology. This SSDQ Methodology developed based on both Six Sigma’s Define Measure Analyze Improve Control (DMAIC) and Define Measure Analyze Design &amp; Validate (DMADV) frameworks to accommodate new and existing BI systems and will be implemented based on client’s requirements. At every stage of the framework, structured tollgate reviews with clients/ business users are conducted to ensure that the existing process is understood clearly and the deliverables / output of each phase are targeted towards the final objective. This approach ensures that </w:t>
            </w:r>
            <w:r w:rsidRPr="00064679">
              <w:rPr>
                <w:rFonts w:asciiTheme="minorHAnsi" w:eastAsia="Times New Roman" w:hAnsiTheme="minorHAnsi"/>
                <w:color w:val="3F3F3F"/>
                <w:sz w:val="22"/>
                <w:szCs w:val="22"/>
                <w:lang w:eastAsia="en-US" w:bidi="en-US"/>
              </w:rPr>
              <w:lastRenderedPageBreak/>
              <w:t xml:space="preserve">the project moves forward at the intended pace, while avoiding any ‘surprises’ or unexpected obstacles, and keeps the management team of apprised of the progress. </w:t>
            </w:r>
          </w:p>
          <w:p w:rsidR="00BF0D78" w:rsidRDefault="00BF0D78" w:rsidP="00BF0D78">
            <w:pPr>
              <w:pStyle w:val="Default"/>
              <w:rPr>
                <w:rFonts w:hint="eastAsia"/>
              </w:rPr>
            </w:pPr>
            <w:r>
              <w:rPr>
                <w:noProof/>
                <w:lang w:eastAsia="en-US"/>
              </w:rPr>
              <w:drawing>
                <wp:inline distT="0" distB="0" distL="0" distR="0">
                  <wp:extent cx="3476625" cy="2286000"/>
                  <wp:effectExtent l="19050" t="0" r="9525" b="0"/>
                  <wp:docPr id="8" name="Picture 61" descr="cid:image005.jpg@01CADEEB.6B1A7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id:image005.jpg@01CADEEB.6B1A7FA0"/>
                          <pic:cNvPicPr>
                            <a:picLocks noChangeAspect="1" noChangeArrowheads="1"/>
                          </pic:cNvPicPr>
                        </pic:nvPicPr>
                        <pic:blipFill>
                          <a:blip r:embed="rId47" r:link="rId48" cstate="print"/>
                          <a:srcRect/>
                          <a:stretch>
                            <a:fillRect/>
                          </a:stretch>
                        </pic:blipFill>
                        <pic:spPr bwMode="auto">
                          <a:xfrm>
                            <a:off x="0" y="0"/>
                            <a:ext cx="3476625" cy="2286000"/>
                          </a:xfrm>
                          <a:prstGeom prst="rect">
                            <a:avLst/>
                          </a:prstGeom>
                          <a:noFill/>
                          <a:ln w="9525">
                            <a:noFill/>
                            <a:miter lim="800000"/>
                            <a:headEnd/>
                            <a:tailEnd/>
                          </a:ln>
                        </pic:spPr>
                      </pic:pic>
                    </a:graphicData>
                  </a:graphic>
                </wp:inline>
              </w:drawing>
            </w:r>
          </w:p>
          <w:p w:rsidR="00BF0D78" w:rsidRDefault="00BF0D78" w:rsidP="00BF0D78">
            <w:pPr>
              <w:rPr>
                <w:rFonts w:ascii="Times New Roman" w:hAnsi="Times New Roman"/>
                <w:b/>
                <w:bCs/>
                <w:sz w:val="20"/>
                <w:szCs w:val="20"/>
                <w:u w:val="single"/>
              </w:rPr>
            </w:pP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color w:val="3F3F3F"/>
                <w:sz w:val="22"/>
                <w:szCs w:val="22"/>
                <w:u w:val="single"/>
                <w:lang w:eastAsia="en-US" w:bidi="en-US"/>
              </w:rPr>
              <w:t>4 Ds of Hexaware Data Quality</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Data Certifier (Hexaware’s Proprietary tool)</w:t>
            </w:r>
            <w:r w:rsidRPr="003D3E0E">
              <w:rPr>
                <w:rFonts w:asciiTheme="minorHAnsi" w:eastAsia="Times New Roman" w:hAnsiTheme="minorHAnsi" w:cs="MS PGothic"/>
                <w:color w:val="3F3F3F"/>
                <w:sz w:val="22"/>
                <w:lang w:bidi="en-US"/>
              </w:rPr>
              <w:t xml:space="preserve">  - for certifying incoming data</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Data Profiler  (Hexaware’s Proprietary tool)</w:t>
            </w:r>
            <w:r w:rsidRPr="003D3E0E">
              <w:rPr>
                <w:rFonts w:asciiTheme="minorHAnsi" w:eastAsia="Times New Roman" w:hAnsiTheme="minorHAnsi" w:cs="MS PGothic"/>
                <w:color w:val="3F3F3F"/>
                <w:sz w:val="22"/>
                <w:lang w:bidi="en-US"/>
              </w:rPr>
              <w:t> - for profiling incoming data</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DART  (Hexaware’s Proprietary  tool) </w:t>
            </w:r>
            <w:r w:rsidRPr="003D3E0E">
              <w:rPr>
                <w:rFonts w:asciiTheme="minorHAnsi" w:eastAsia="Times New Roman" w:hAnsiTheme="minorHAnsi" w:cs="MS PGothic"/>
                <w:color w:val="3F3F3F"/>
                <w:sz w:val="22"/>
                <w:lang w:bidi="en-US"/>
              </w:rPr>
              <w:t>- For code review and sanitizing Data Integration</w:t>
            </w:r>
          </w:p>
          <w:p w:rsidR="00BF0D78" w:rsidRPr="003D3E0E" w:rsidRDefault="00BF0D78" w:rsidP="00BF0D78">
            <w:pPr>
              <w:pStyle w:val="ListParagraph"/>
              <w:numPr>
                <w:ilvl w:val="2"/>
                <w:numId w:val="21"/>
              </w:numPr>
              <w:spacing w:after="0" w:afterAutospacing="0" w:line="240" w:lineRule="auto"/>
              <w:ind w:left="63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Data Flux</w:t>
            </w:r>
            <w:r w:rsidRPr="003D3E0E">
              <w:rPr>
                <w:rFonts w:asciiTheme="minorHAnsi" w:eastAsia="Times New Roman" w:hAnsiTheme="minorHAnsi" w:cs="MS PGothic"/>
                <w:color w:val="3F3F3F"/>
                <w:sz w:val="22"/>
                <w:lang w:bidi="en-US"/>
              </w:rPr>
              <w:t xml:space="preserve"> - Experience in executing projects on SAS Data Flux</w:t>
            </w:r>
          </w:p>
          <w:p w:rsidR="00BF0D78" w:rsidRDefault="00BF0D78" w:rsidP="00BF0D78">
            <w:pPr>
              <w:pStyle w:val="ListParagraph"/>
              <w:numPr>
                <w:ilvl w:val="0"/>
                <w:numId w:val="0"/>
              </w:numPr>
              <w:spacing w:after="0" w:afterAutospacing="0" w:line="240" w:lineRule="auto"/>
              <w:ind w:left="2160"/>
              <w:contextualSpacing w:val="0"/>
              <w:jc w:val="left"/>
              <w:rPr>
                <w:rFonts w:ascii="Times New Roman" w:hAnsi="Times New Roman"/>
                <w:sz w:val="20"/>
                <w:szCs w:val="20"/>
              </w:rPr>
            </w:pPr>
          </w:p>
          <w:p w:rsidR="00BF0D78" w:rsidRPr="00C86E1C" w:rsidRDefault="00BF0D78" w:rsidP="00BF0D78">
            <w:pPr>
              <w:pStyle w:val="Pa1"/>
              <w:spacing w:after="120"/>
              <w:rPr>
                <w:rFonts w:asciiTheme="minorHAnsi" w:eastAsia="Times New Roman" w:hAnsiTheme="minorHAnsi"/>
                <w:b/>
                <w:color w:val="3F3F3F"/>
                <w:sz w:val="22"/>
                <w:szCs w:val="22"/>
                <w:u w:val="single"/>
                <w:lang w:eastAsia="en-US" w:bidi="en-US"/>
              </w:rPr>
            </w:pPr>
            <w:r w:rsidRPr="00C86E1C">
              <w:rPr>
                <w:rFonts w:asciiTheme="minorHAnsi" w:eastAsia="Times New Roman" w:hAnsiTheme="minorHAnsi"/>
                <w:b/>
                <w:color w:val="3F3F3F"/>
                <w:sz w:val="22"/>
                <w:szCs w:val="22"/>
                <w:u w:val="single"/>
                <w:lang w:eastAsia="en-US" w:bidi="en-US"/>
              </w:rPr>
              <w:t>5 ways Hexaware helps improve data  </w:t>
            </w:r>
          </w:p>
          <w:p w:rsidR="00BF0D78" w:rsidRPr="00064679" w:rsidRDefault="00BF0D78" w:rsidP="00BF0D78">
            <w:pPr>
              <w:rPr>
                <w:rFonts w:asciiTheme="minorHAnsi" w:eastAsia="Times New Roman" w:hAnsiTheme="minorHAnsi" w:cs="MS PGothic"/>
                <w:color w:val="3F3F3F"/>
                <w:sz w:val="22"/>
                <w:lang w:bidi="en-US"/>
              </w:rPr>
            </w:pPr>
            <w:r w:rsidRPr="00064679">
              <w:rPr>
                <w:rFonts w:asciiTheme="minorHAnsi" w:eastAsia="Times New Roman" w:hAnsiTheme="minorHAnsi" w:cs="MS PGothic"/>
                <w:color w:val="3F3F3F"/>
                <w:sz w:val="22"/>
                <w:lang w:bidi="en-US"/>
              </w:rPr>
              <w:t>Data Profiling, Data Quality improvement, Data Integration, Data Enrichment (Cleansing, Parsing, Clustering, Merging, Deduplication, Householding, Data Monitoring)</w:t>
            </w:r>
          </w:p>
          <w:p w:rsidR="00BF0D78" w:rsidRPr="003D3E0E" w:rsidRDefault="00BF0D78" w:rsidP="00BF0D78">
            <w:pPr>
              <w:pStyle w:val="Pa1"/>
              <w:spacing w:after="120"/>
              <w:rPr>
                <w:rFonts w:asciiTheme="minorHAnsi" w:eastAsia="Times New Roman" w:hAnsiTheme="minorHAnsi"/>
                <w:b/>
                <w:color w:val="3F3F3F"/>
                <w:sz w:val="22"/>
                <w:szCs w:val="22"/>
                <w:u w:val="single"/>
                <w:lang w:eastAsia="en-US" w:bidi="en-US"/>
              </w:rPr>
            </w:pPr>
            <w:r w:rsidRPr="003D3E0E">
              <w:rPr>
                <w:rFonts w:asciiTheme="minorHAnsi" w:eastAsia="Times New Roman" w:hAnsiTheme="minorHAnsi"/>
                <w:b/>
                <w:color w:val="3F3F3F"/>
                <w:sz w:val="22"/>
                <w:szCs w:val="22"/>
                <w:u w:val="single"/>
                <w:lang w:eastAsia="en-US" w:bidi="en-US"/>
              </w:rPr>
              <w:t>6 Hexaware Success stories on Data Quality  </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Microfinance organization</w:t>
            </w:r>
            <w:r w:rsidRPr="003D3E0E">
              <w:rPr>
                <w:rFonts w:asciiTheme="minorHAnsi" w:eastAsia="Times New Roman" w:hAnsiTheme="minorHAnsi" w:cs="MS PGothic"/>
                <w:color w:val="3F3F3F"/>
                <w:sz w:val="22"/>
                <w:lang w:bidi="en-US"/>
              </w:rPr>
              <w:t xml:space="preserve">  (on SAS Data Flux)– negative duplicate customer, non performing assets, integration of existing systems</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Global Telecom major</w:t>
            </w:r>
            <w:r w:rsidRPr="003D3E0E">
              <w:rPr>
                <w:rFonts w:asciiTheme="minorHAnsi" w:eastAsia="Times New Roman" w:hAnsiTheme="minorHAnsi" w:cs="MS PGothic"/>
                <w:color w:val="3F3F3F"/>
                <w:sz w:val="22"/>
                <w:lang w:bidi="en-US"/>
              </w:rPr>
              <w:t xml:space="preserve"> ( on SAS Data Flux)–identify fraud, blacklist default customers and  integration of billing and POS systems</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Global Insurance major</w:t>
            </w:r>
            <w:r w:rsidRPr="003D3E0E">
              <w:rPr>
                <w:rFonts w:asciiTheme="minorHAnsi" w:eastAsia="Times New Roman" w:hAnsiTheme="minorHAnsi" w:cs="MS PGothic"/>
                <w:color w:val="3F3F3F"/>
                <w:sz w:val="22"/>
                <w:lang w:bidi="en-US"/>
              </w:rPr>
              <w:t xml:space="preserve"> ( on Informatica custom built)– identify data perspective on risk and customer aspects</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 Banking product company</w:t>
            </w:r>
            <w:r w:rsidRPr="003D3E0E">
              <w:rPr>
                <w:rFonts w:asciiTheme="minorHAnsi" w:eastAsia="Times New Roman" w:hAnsiTheme="minorHAnsi" w:cs="MS PGothic"/>
                <w:color w:val="3F3F3F"/>
                <w:sz w:val="22"/>
                <w:lang w:bidi="en-US"/>
              </w:rPr>
              <w:t>– Structural ( column &amp; Table profiling)/ Data Discovery (standardization/Frequency/ &amp; DQ rules) and Relational  Discovery( Relation between disparate data)</w:t>
            </w:r>
          </w:p>
          <w:p w:rsidR="00BF0D78" w:rsidRPr="003D3E0E"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World’s largest mining company</w:t>
            </w:r>
            <w:r w:rsidRPr="003D3E0E">
              <w:rPr>
                <w:rFonts w:asciiTheme="minorHAnsi" w:eastAsia="Times New Roman" w:hAnsiTheme="minorHAnsi" w:cs="MS PGothic"/>
                <w:color w:val="3F3F3F"/>
                <w:sz w:val="22"/>
                <w:lang w:bidi="en-US"/>
              </w:rPr>
              <w:t xml:space="preserve"> – Extensive usage of Tools for sanitizing ETL and Data Integration using XMen</w:t>
            </w:r>
          </w:p>
          <w:p w:rsidR="00BF0D78" w:rsidRDefault="00BF0D78" w:rsidP="00BF0D78">
            <w:pPr>
              <w:pStyle w:val="ListParagraph"/>
              <w:numPr>
                <w:ilvl w:val="1"/>
                <w:numId w:val="16"/>
              </w:numPr>
              <w:spacing w:after="0" w:afterAutospacing="0" w:line="240" w:lineRule="auto"/>
              <w:ind w:left="720" w:hanging="450"/>
              <w:contextualSpacing w:val="0"/>
              <w:jc w:val="left"/>
              <w:rPr>
                <w:rFonts w:asciiTheme="minorHAnsi" w:eastAsia="Times New Roman" w:hAnsiTheme="minorHAnsi" w:cs="MS PGothic"/>
                <w:color w:val="3F3F3F"/>
                <w:sz w:val="22"/>
                <w:lang w:bidi="en-US"/>
              </w:rPr>
            </w:pPr>
            <w:r w:rsidRPr="003D3E0E">
              <w:rPr>
                <w:rFonts w:asciiTheme="minorHAnsi" w:eastAsia="Times New Roman" w:hAnsiTheme="minorHAnsi" w:cs="MS PGothic"/>
                <w:b/>
                <w:color w:val="3F3F3F"/>
                <w:sz w:val="22"/>
                <w:lang w:bidi="en-US"/>
              </w:rPr>
              <w:t>An eminent security custodian</w:t>
            </w:r>
            <w:r w:rsidRPr="003D3E0E">
              <w:rPr>
                <w:rFonts w:asciiTheme="minorHAnsi" w:eastAsia="Times New Roman" w:hAnsiTheme="minorHAnsi" w:cs="MS PGothic"/>
                <w:color w:val="3F3F3F"/>
                <w:sz w:val="22"/>
                <w:lang w:bidi="en-US"/>
              </w:rPr>
              <w:t xml:space="preserve"> -  Credit Risk data quality project</w:t>
            </w:r>
          </w:p>
          <w:p w:rsidR="00EC34ED" w:rsidRPr="003D3E0E" w:rsidRDefault="00EC34ED" w:rsidP="00EC34ED">
            <w:pPr>
              <w:pStyle w:val="ListParagraph"/>
              <w:numPr>
                <w:ilvl w:val="0"/>
                <w:numId w:val="0"/>
              </w:numPr>
              <w:spacing w:after="0" w:afterAutospacing="0" w:line="240" w:lineRule="auto"/>
              <w:ind w:left="720"/>
              <w:contextualSpacing w:val="0"/>
              <w:jc w:val="left"/>
              <w:rPr>
                <w:rFonts w:asciiTheme="minorHAnsi" w:eastAsia="Times New Roman" w:hAnsiTheme="minorHAnsi" w:cs="MS PGothic"/>
                <w:color w:val="3F3F3F"/>
                <w:sz w:val="22"/>
                <w:lang w:bidi="en-US"/>
              </w:rPr>
            </w:pPr>
          </w:p>
          <w:p w:rsidR="00A77103" w:rsidRPr="00E17E18" w:rsidRDefault="00A77103" w:rsidP="00E17E18">
            <w:pPr>
              <w:pStyle w:val="DisplayHeading"/>
              <w:rPr>
                <w:rFonts w:asciiTheme="minorHAnsi" w:hAnsiTheme="minorHAnsi" w:cs="Arial"/>
                <w:sz w:val="24"/>
              </w:rPr>
            </w:pPr>
            <w:r w:rsidRPr="00E17E18">
              <w:rPr>
                <w:rFonts w:asciiTheme="minorHAnsi" w:hAnsiTheme="minorHAnsi" w:cs="Arial"/>
                <w:sz w:val="24"/>
              </w:rPr>
              <w:lastRenderedPageBreak/>
              <w:t>Wealth Management Capabilities</w:t>
            </w:r>
          </w:p>
          <w:p w:rsidR="006C0AB0" w:rsidRDefault="006C0AB0" w:rsidP="00D95F82">
            <w:pPr>
              <w:pStyle w:val="BulletList0"/>
              <w:rPr>
                <w:rFonts w:asciiTheme="minorHAnsi" w:hAnsiTheme="minorHAnsi" w:cs="Arial"/>
                <w:b/>
                <w:szCs w:val="22"/>
              </w:rPr>
            </w:pPr>
          </w:p>
          <w:p w:rsidR="00A77103" w:rsidRPr="007B2041" w:rsidRDefault="00A77103" w:rsidP="000519A6">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The Wealth Management practice offers accelerated, end-to-end solutions to support the key transformation imperatives at today’s wealth advisory firm. Hexaware has experts rich in industry experience and expertise who work with wealth management firms to address these challenges. Ability to offer a range of investment products including Deposits, Funds, Fixed Income, Equity &amp; Equity linked products, Forex, Derivatives and Structured Products.</w:t>
            </w:r>
          </w:p>
          <w:p w:rsidR="00A77103" w:rsidRPr="007B2041" w:rsidRDefault="000519A6" w:rsidP="000519A6">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O</w:t>
            </w:r>
            <w:r w:rsidR="00A77103" w:rsidRPr="007B2041">
              <w:rPr>
                <w:rFonts w:asciiTheme="minorHAnsi" w:eastAsia="Times New Roman" w:hAnsiTheme="minorHAnsi"/>
                <w:color w:val="3F3F3F"/>
                <w:sz w:val="22"/>
                <w:lang w:bidi="en-US"/>
              </w:rPr>
              <w:t xml:space="preserve">ur solution domain ranges from Pre-trade to Post-Trade covering front office, middle office and back office operations. We aim at effectively improve Order Routing Systems, providing high-speed connectivity and managing operational risks. </w:t>
            </w:r>
          </w:p>
          <w:p w:rsidR="00A77103" w:rsidRPr="007B2041" w:rsidRDefault="00A77103" w:rsidP="000519A6">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Hexaware has over a decade of experience in providing re-engineering services thereby transforming the legacy systems into high-performance based solutions. Our solutions are developed in latest architecture and build with modern and proven tools and technologies.</w:t>
            </w:r>
          </w:p>
          <w:p w:rsidR="000519A6" w:rsidRPr="007B2041" w:rsidRDefault="000519A6" w:rsidP="006C0AB0">
            <w:pPr>
              <w:spacing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Hexaware has experienced Domain Specialists, Consultants and Project Managers in Asset Management Practice and worked with Leading Global Wealth Managers. Hexaware overall Strong domain focus on the wealth management competency is as follows:</w:t>
            </w:r>
          </w:p>
          <w:tbl>
            <w:tblPr>
              <w:tblW w:w="9015"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180"/>
              <w:gridCol w:w="1900"/>
              <w:gridCol w:w="1935"/>
            </w:tblGrid>
            <w:tr w:rsidR="000519A6" w:rsidRPr="000519A6" w:rsidTr="00B2764C">
              <w:trPr>
                <w:trHeight w:val="330"/>
                <w:tblHeader/>
              </w:trPr>
              <w:tc>
                <w:tcPr>
                  <w:tcW w:w="5180" w:type="dxa"/>
                  <w:shd w:val="clear" w:color="auto" w:fill="auto"/>
                  <w:noWrap/>
                  <w:vAlign w:val="bottom"/>
                  <w:hideMark/>
                </w:tcPr>
                <w:p w:rsidR="000519A6" w:rsidRPr="007B2041" w:rsidRDefault="000519A6" w:rsidP="006B34A7">
                  <w:pPr>
                    <w:rPr>
                      <w:rFonts w:asciiTheme="minorHAnsi" w:eastAsia="Times New Roman" w:hAnsiTheme="minorHAnsi"/>
                      <w:b/>
                      <w:color w:val="3F3F3F"/>
                      <w:sz w:val="22"/>
                      <w:lang w:bidi="en-US"/>
                    </w:rPr>
                  </w:pPr>
                  <w:r w:rsidRPr="007B2041">
                    <w:rPr>
                      <w:rFonts w:asciiTheme="minorHAnsi" w:eastAsia="Times New Roman" w:hAnsiTheme="minorHAnsi"/>
                      <w:b/>
                      <w:color w:val="3F3F3F"/>
                      <w:sz w:val="22"/>
                      <w:lang w:bidi="en-US"/>
                    </w:rPr>
                    <w:t>Wealth Management  Services</w:t>
                  </w:r>
                </w:p>
              </w:tc>
              <w:tc>
                <w:tcPr>
                  <w:tcW w:w="1900" w:type="dxa"/>
                  <w:shd w:val="clear" w:color="auto" w:fill="auto"/>
                  <w:noWrap/>
                  <w:vAlign w:val="bottom"/>
                  <w:hideMark/>
                </w:tcPr>
                <w:p w:rsidR="000519A6" w:rsidRPr="007B2041" w:rsidRDefault="000519A6" w:rsidP="006B34A7">
                  <w:pPr>
                    <w:rPr>
                      <w:rFonts w:asciiTheme="minorHAnsi" w:eastAsia="Times New Roman" w:hAnsiTheme="minorHAnsi"/>
                      <w:b/>
                      <w:color w:val="3F3F3F"/>
                      <w:sz w:val="22"/>
                      <w:lang w:bidi="en-US"/>
                    </w:rPr>
                  </w:pPr>
                  <w:r w:rsidRPr="007B2041">
                    <w:rPr>
                      <w:rFonts w:asciiTheme="minorHAnsi" w:eastAsia="Times New Roman" w:hAnsiTheme="minorHAnsi"/>
                      <w:b/>
                      <w:color w:val="3F3F3F"/>
                      <w:sz w:val="22"/>
                      <w:lang w:bidi="en-US"/>
                    </w:rPr>
                    <w:t>Domain Expertise</w:t>
                  </w:r>
                </w:p>
              </w:tc>
              <w:tc>
                <w:tcPr>
                  <w:tcW w:w="1935" w:type="dxa"/>
                  <w:shd w:val="clear" w:color="auto" w:fill="auto"/>
                  <w:noWrap/>
                  <w:vAlign w:val="bottom"/>
                  <w:hideMark/>
                </w:tcPr>
                <w:p w:rsidR="000519A6" w:rsidRPr="007B2041" w:rsidRDefault="000519A6" w:rsidP="006B34A7">
                  <w:pPr>
                    <w:rPr>
                      <w:rFonts w:asciiTheme="minorHAnsi" w:eastAsia="Times New Roman" w:hAnsiTheme="minorHAnsi"/>
                      <w:b/>
                      <w:color w:val="3F3F3F"/>
                      <w:sz w:val="22"/>
                      <w:lang w:bidi="en-US"/>
                    </w:rPr>
                  </w:pPr>
                  <w:r w:rsidRPr="007B2041">
                    <w:rPr>
                      <w:rFonts w:asciiTheme="minorHAnsi" w:eastAsia="Times New Roman" w:hAnsiTheme="minorHAnsi"/>
                      <w:b/>
                      <w:color w:val="3F3F3F"/>
                      <w:sz w:val="22"/>
                      <w:lang w:bidi="en-US"/>
                    </w:rPr>
                    <w:t>Operational Experience</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Client Relationship Management</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Financial Planning</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FAC09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Asset Allocation Models</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FFFFCC"/>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Account Aggregation</w:t>
                  </w:r>
                </w:p>
              </w:tc>
              <w:tc>
                <w:tcPr>
                  <w:tcW w:w="1900"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c>
                <w:tcPr>
                  <w:tcW w:w="1935" w:type="dxa"/>
                  <w:shd w:val="clear" w:color="000000" w:fill="00B050"/>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Portfolio Management</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Portfolio Performance Measurement &amp; Reporting</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r w:rsidR="000519A6" w:rsidRPr="000519A6" w:rsidTr="006B34A7">
              <w:trPr>
                <w:trHeight w:val="330"/>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Risk &amp; Attribution Analytics</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r w:rsidR="000519A6" w:rsidRPr="000519A6" w:rsidTr="006B34A7">
              <w:trPr>
                <w:trHeight w:val="345"/>
              </w:trPr>
              <w:tc>
                <w:tcPr>
                  <w:tcW w:w="5180" w:type="dxa"/>
                  <w:shd w:val="clear" w:color="auto" w:fill="auto"/>
                  <w:noWrap/>
                  <w:vAlign w:val="bottom"/>
                  <w:hideMark/>
                </w:tcPr>
                <w:p w:rsidR="000519A6" w:rsidRPr="007B2041" w:rsidRDefault="000519A6" w:rsidP="006B34A7">
                  <w:pPr>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Client Statements</w:t>
                  </w:r>
                </w:p>
              </w:tc>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1935"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r>
          </w:tbl>
          <w:p w:rsidR="000519A6" w:rsidRPr="000519A6" w:rsidRDefault="000519A6" w:rsidP="000519A6">
            <w:pPr>
              <w:tabs>
                <w:tab w:val="left" w:pos="3525"/>
              </w:tabs>
              <w:autoSpaceDE w:val="0"/>
              <w:autoSpaceDN w:val="0"/>
              <w:adjustRightInd w:val="0"/>
              <w:spacing w:before="120" w:after="120"/>
              <w:rPr>
                <w:rFonts w:ascii="Calibri" w:hAnsi="Calibri" w:cs="Arial"/>
                <w:b/>
                <w:bCs/>
                <w:color w:val="000080"/>
                <w:sz w:val="20"/>
                <w:szCs w:val="20"/>
              </w:rPr>
            </w:pPr>
          </w:p>
          <w:tbl>
            <w:tblPr>
              <w:tblW w:w="45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0"/>
              <w:gridCol w:w="2680"/>
            </w:tblGrid>
            <w:tr w:rsidR="000519A6" w:rsidRPr="000519A6" w:rsidTr="006B34A7">
              <w:trPr>
                <w:trHeight w:val="330"/>
              </w:trPr>
              <w:tc>
                <w:tcPr>
                  <w:tcW w:w="1900" w:type="dxa"/>
                  <w:shd w:val="clear" w:color="000000" w:fill="00B050"/>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2680" w:type="dxa"/>
                  <w:shd w:val="clear" w:color="auto" w:fill="auto"/>
                  <w:noWrap/>
                  <w:vAlign w:val="bottom"/>
                  <w:hideMark/>
                </w:tcPr>
                <w:p w:rsidR="000519A6" w:rsidRPr="007B2041" w:rsidRDefault="000519A6" w:rsidP="007B2041">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Expert</w:t>
                  </w:r>
                </w:p>
              </w:tc>
            </w:tr>
            <w:tr w:rsidR="000519A6" w:rsidRPr="000519A6" w:rsidTr="006B34A7">
              <w:trPr>
                <w:trHeight w:val="330"/>
              </w:trPr>
              <w:tc>
                <w:tcPr>
                  <w:tcW w:w="1900" w:type="dxa"/>
                  <w:shd w:val="clear" w:color="000000" w:fill="FFFFCC"/>
                  <w:noWrap/>
                  <w:vAlign w:val="bottom"/>
                  <w:hideMark/>
                </w:tcPr>
                <w:p w:rsidR="000519A6" w:rsidRPr="000519A6" w:rsidRDefault="000519A6" w:rsidP="006B34A7">
                  <w:pPr>
                    <w:rPr>
                      <w:rFonts w:ascii="Calibri" w:hAnsi="Calibri"/>
                      <w:color w:val="000000"/>
                      <w:sz w:val="22"/>
                    </w:rPr>
                  </w:pPr>
                  <w:r w:rsidRPr="000519A6">
                    <w:rPr>
                      <w:rFonts w:ascii="Calibri" w:hAnsi="Calibri"/>
                      <w:color w:val="000000"/>
                      <w:sz w:val="22"/>
                    </w:rPr>
                    <w:t> </w:t>
                  </w:r>
                </w:p>
              </w:tc>
              <w:tc>
                <w:tcPr>
                  <w:tcW w:w="2680" w:type="dxa"/>
                  <w:shd w:val="clear" w:color="auto" w:fill="auto"/>
                  <w:noWrap/>
                  <w:vAlign w:val="bottom"/>
                  <w:hideMark/>
                </w:tcPr>
                <w:p w:rsidR="000519A6" w:rsidRPr="007B2041" w:rsidRDefault="000519A6" w:rsidP="007B2041">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Beginner</w:t>
                  </w:r>
                </w:p>
              </w:tc>
            </w:tr>
            <w:tr w:rsidR="000519A6" w:rsidRPr="000519A6" w:rsidTr="006B34A7">
              <w:trPr>
                <w:trHeight w:val="300"/>
              </w:trPr>
              <w:tc>
                <w:tcPr>
                  <w:tcW w:w="1900" w:type="dxa"/>
                  <w:shd w:val="clear" w:color="000000" w:fill="FAC090"/>
                  <w:noWrap/>
                  <w:vAlign w:val="bottom"/>
                  <w:hideMark/>
                </w:tcPr>
                <w:p w:rsidR="000519A6" w:rsidRPr="000519A6" w:rsidRDefault="000519A6" w:rsidP="006B34A7">
                  <w:pPr>
                    <w:rPr>
                      <w:rFonts w:ascii="Calibri" w:hAnsi="Calibri"/>
                      <w:color w:val="FFC000"/>
                      <w:sz w:val="22"/>
                    </w:rPr>
                  </w:pPr>
                  <w:r w:rsidRPr="000519A6">
                    <w:rPr>
                      <w:rFonts w:ascii="Calibri" w:hAnsi="Calibri"/>
                      <w:color w:val="FFC000"/>
                      <w:sz w:val="22"/>
                    </w:rPr>
                    <w:t> </w:t>
                  </w:r>
                </w:p>
              </w:tc>
              <w:tc>
                <w:tcPr>
                  <w:tcW w:w="2680" w:type="dxa"/>
                  <w:shd w:val="clear" w:color="auto" w:fill="auto"/>
                  <w:noWrap/>
                  <w:vAlign w:val="bottom"/>
                  <w:hideMark/>
                </w:tcPr>
                <w:p w:rsidR="000519A6" w:rsidRPr="007B2041" w:rsidRDefault="000519A6" w:rsidP="007B2041">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Average</w:t>
                  </w:r>
                </w:p>
              </w:tc>
            </w:tr>
          </w:tbl>
          <w:p w:rsidR="000519A6" w:rsidRPr="007B2041" w:rsidRDefault="000519A6" w:rsidP="000519A6">
            <w:pPr>
              <w:autoSpaceDE w:val="0"/>
              <w:autoSpaceDN w:val="0"/>
              <w:adjustRightInd w:val="0"/>
              <w:spacing w:before="120" w:after="12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lastRenderedPageBreak/>
              <w:t>Hexaware’s comprehensive Wealth Management product “Wealth Director” helps financial advisor to manage lifetime assets of</w:t>
            </w:r>
            <w:r w:rsidR="005B3EBB" w:rsidRPr="007B2041">
              <w:rPr>
                <w:rFonts w:asciiTheme="minorHAnsi" w:eastAsia="Times New Roman" w:hAnsiTheme="minorHAnsi"/>
                <w:color w:val="3F3F3F"/>
                <w:sz w:val="22"/>
                <w:lang w:bidi="en-US"/>
              </w:rPr>
              <w:t xml:space="preserve"> High </w:t>
            </w:r>
            <w:r w:rsidR="001529AA" w:rsidRPr="007B2041">
              <w:rPr>
                <w:rFonts w:asciiTheme="minorHAnsi" w:eastAsia="Times New Roman" w:hAnsiTheme="minorHAnsi"/>
                <w:color w:val="3F3F3F"/>
                <w:sz w:val="22"/>
                <w:lang w:bidi="en-US"/>
              </w:rPr>
              <w:t>Net worth</w:t>
            </w:r>
            <w:r w:rsidR="005B3EBB" w:rsidRPr="007B2041">
              <w:rPr>
                <w:rFonts w:asciiTheme="minorHAnsi" w:eastAsia="Times New Roman" w:hAnsiTheme="minorHAnsi"/>
                <w:color w:val="3F3F3F"/>
                <w:sz w:val="22"/>
                <w:lang w:bidi="en-US"/>
              </w:rPr>
              <w:t xml:space="preserve"> clients</w:t>
            </w:r>
            <w:r w:rsidR="00BC0422" w:rsidRPr="007B2041">
              <w:rPr>
                <w:rFonts w:asciiTheme="minorHAnsi" w:eastAsia="Times New Roman" w:hAnsiTheme="minorHAnsi"/>
                <w:color w:val="3F3F3F"/>
                <w:sz w:val="22"/>
                <w:lang w:bidi="en-US"/>
              </w:rPr>
              <w:t xml:space="preserve">. The details </w:t>
            </w:r>
            <w:r w:rsidR="005B3EBB" w:rsidRPr="007B2041">
              <w:rPr>
                <w:rFonts w:asciiTheme="minorHAnsi" w:eastAsia="Times New Roman" w:hAnsiTheme="minorHAnsi"/>
                <w:color w:val="3F3F3F"/>
                <w:sz w:val="22"/>
                <w:lang w:bidi="en-US"/>
              </w:rPr>
              <w:t>are</w:t>
            </w:r>
            <w:r w:rsidR="00BC0422" w:rsidRPr="007B2041">
              <w:rPr>
                <w:rFonts w:asciiTheme="minorHAnsi" w:eastAsia="Times New Roman" w:hAnsiTheme="minorHAnsi"/>
                <w:color w:val="3F3F3F"/>
                <w:sz w:val="22"/>
                <w:lang w:bidi="en-US"/>
              </w:rPr>
              <w:t xml:space="preserve"> provided in the next section 6.1.1.</w:t>
            </w:r>
          </w:p>
          <w:p w:rsidR="00E37406" w:rsidRPr="00E17E18" w:rsidRDefault="00E37406" w:rsidP="00E17E18">
            <w:pPr>
              <w:pStyle w:val="DisplayHeading"/>
              <w:rPr>
                <w:rFonts w:asciiTheme="minorHAnsi" w:hAnsiTheme="minorHAnsi" w:cs="Arial"/>
                <w:sz w:val="24"/>
              </w:rPr>
            </w:pPr>
            <w:r w:rsidRPr="00E17E18">
              <w:rPr>
                <w:rFonts w:asciiTheme="minorHAnsi" w:hAnsiTheme="minorHAnsi" w:cs="Arial"/>
                <w:sz w:val="24"/>
              </w:rPr>
              <w:t>Wealth Management Experience</w:t>
            </w:r>
          </w:p>
          <w:p w:rsidR="00E37406" w:rsidRPr="00DE0577" w:rsidRDefault="00E37406" w:rsidP="00BC0422">
            <w:pPr>
              <w:pStyle w:val="Head1"/>
              <w:spacing w:after="0" w:afterAutospacing="0" w:line="240" w:lineRule="auto"/>
              <w:rPr>
                <w:rFonts w:ascii="Calibri" w:hAnsi="Calibri"/>
                <w:sz w:val="22"/>
                <w:szCs w:val="22"/>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Multi Bank Holding Company Based in North America</w:t>
            </w:r>
          </w:p>
          <w:p w:rsidR="00BC0422" w:rsidRPr="007B2041" w:rsidRDefault="00BC0422" w:rsidP="00BC0422">
            <w:pPr>
              <w:pStyle w:val="Level1Text"/>
              <w:spacing w:before="0" w:after="0"/>
              <w:ind w:firstLine="0"/>
              <w:rPr>
                <w:rFonts w:asciiTheme="minorHAnsi" w:hAnsiTheme="minorHAnsi"/>
                <w:color w:val="3F3F3F"/>
                <w:szCs w:val="22"/>
                <w:lang w:bidi="en-US"/>
              </w:rPr>
            </w:pPr>
            <w:r w:rsidRPr="007B2041">
              <w:rPr>
                <w:rFonts w:asciiTheme="minorHAnsi" w:hAnsiTheme="minorHAnsi"/>
                <w:color w:val="3F3F3F"/>
                <w:szCs w:val="22"/>
                <w:lang w:bidi="en-US"/>
              </w:rPr>
              <w:t xml:space="preserve">The Multi Bank Holding Company provides services in the following areas: ‘Investment Management’, ‘Asset &amp; Fund Administration’ and ‘Fiduciary &amp; Banking Solutions’. Their clients include corporations, institutions and affluent individuals worldwide. It has 85 offices in 18 US states and12 locations in North America, Europe and the Asia-Pacific region. </w:t>
            </w:r>
          </w:p>
          <w:p w:rsidR="00BC0422" w:rsidRPr="00DE0577" w:rsidRDefault="00BC0422" w:rsidP="00BC0422">
            <w:pPr>
              <w:pStyle w:val="Level1Text"/>
              <w:spacing w:before="0" w:after="0"/>
              <w:ind w:firstLine="0"/>
              <w:rPr>
                <w:rFonts w:ascii="Calibri" w:hAnsi="Calibri" w:cs="Arial"/>
                <w:szCs w:val="22"/>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Business Need</w:t>
            </w:r>
          </w:p>
          <w:p w:rsidR="00BC0422" w:rsidRPr="007B2041" w:rsidRDefault="00BC0422" w:rsidP="007B2041">
            <w:pPr>
              <w:pStyle w:val="Level1Text"/>
              <w:spacing w:before="0" w:after="0"/>
              <w:ind w:firstLine="0"/>
              <w:rPr>
                <w:rFonts w:asciiTheme="minorHAnsi" w:hAnsiTheme="minorHAnsi"/>
                <w:color w:val="3F3F3F"/>
                <w:szCs w:val="22"/>
                <w:lang w:bidi="en-US"/>
              </w:rPr>
            </w:pPr>
            <w:r w:rsidRPr="007B2041">
              <w:rPr>
                <w:rFonts w:asciiTheme="minorHAnsi" w:hAnsiTheme="minorHAnsi"/>
                <w:color w:val="3F3F3F"/>
                <w:szCs w:val="22"/>
                <w:lang w:bidi="en-US"/>
              </w:rPr>
              <w:t>Provide one stop solution for the Wealth Management clients. The main purpose of this application is to calculate the individual`s Net worth and provide access to both Internal and External Users.</w:t>
            </w:r>
          </w:p>
          <w:p w:rsidR="00BC0422" w:rsidRPr="007B2041" w:rsidRDefault="00BC0422" w:rsidP="007B2041">
            <w:pPr>
              <w:pStyle w:val="Level1Text"/>
              <w:spacing w:before="0" w:after="0"/>
              <w:ind w:firstLine="0"/>
              <w:rPr>
                <w:rFonts w:asciiTheme="minorHAnsi" w:hAnsiTheme="minorHAnsi"/>
                <w:color w:val="3F3F3F"/>
                <w:szCs w:val="22"/>
                <w:lang w:bidi="en-US"/>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Service Offerings</w:t>
            </w:r>
          </w:p>
          <w:p w:rsidR="00BC0422" w:rsidRPr="007B2041" w:rsidRDefault="00BC0422" w:rsidP="007B2041">
            <w:pPr>
              <w:pStyle w:val="Level1Text"/>
              <w:spacing w:before="0" w:after="0"/>
              <w:ind w:firstLine="0"/>
              <w:rPr>
                <w:rFonts w:asciiTheme="minorHAnsi" w:hAnsiTheme="minorHAnsi"/>
                <w:color w:val="3F3F3F"/>
                <w:szCs w:val="22"/>
                <w:lang w:bidi="en-US"/>
              </w:rPr>
            </w:pPr>
            <w:r w:rsidRPr="007B2041">
              <w:rPr>
                <w:rFonts w:asciiTheme="minorHAnsi" w:hAnsiTheme="minorHAnsi"/>
                <w:color w:val="3F3F3F"/>
                <w:szCs w:val="22"/>
                <w:lang w:bidi="en-US"/>
              </w:rPr>
              <w:t xml:space="preserve">Developed and Customized Wealth Management Portal for the Client to address the Business Need </w:t>
            </w:r>
          </w:p>
          <w:p w:rsidR="00BC0422" w:rsidRPr="00DE0577" w:rsidRDefault="00BC0422" w:rsidP="00BC0422">
            <w:pPr>
              <w:pStyle w:val="SubList"/>
              <w:spacing w:before="0" w:after="0"/>
              <w:rPr>
                <w:rFonts w:ascii="Calibri" w:hAnsi="Calibri" w:cs="Arial"/>
                <w:sz w:val="22"/>
                <w:szCs w:val="22"/>
              </w:rPr>
            </w:pPr>
          </w:p>
          <w:p w:rsidR="00BC0422" w:rsidRPr="00E17E18" w:rsidRDefault="00BC0422" w:rsidP="00E17E18">
            <w:pPr>
              <w:pStyle w:val="DisplayHeading"/>
              <w:rPr>
                <w:rFonts w:asciiTheme="minorHAnsi" w:hAnsiTheme="minorHAnsi" w:cs="Arial"/>
                <w:sz w:val="24"/>
              </w:rPr>
            </w:pPr>
            <w:bookmarkStart w:id="23" w:name="_Toc432587272"/>
            <w:bookmarkStart w:id="24" w:name="_Toc435427813"/>
            <w:bookmarkStart w:id="25" w:name="_Toc435475265"/>
            <w:r w:rsidRPr="00E17E18">
              <w:rPr>
                <w:rFonts w:asciiTheme="minorHAnsi" w:hAnsiTheme="minorHAnsi" w:cs="Arial"/>
                <w:sz w:val="24"/>
              </w:rPr>
              <w:t>Portal Key Statistics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No. of Clients / Families using WP – 5000 + </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No. of Portfolios / Accounts – 30,000+</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Average Hits per day </w:t>
            </w:r>
            <w:r w:rsidR="00E37406" w:rsidRPr="007B2041">
              <w:rPr>
                <w:rFonts w:asciiTheme="minorHAnsi" w:hAnsiTheme="minorHAnsi" w:cs="Times New Roman"/>
                <w:color w:val="3F3F3F"/>
                <w:szCs w:val="22"/>
                <w:lang w:val="en-US" w:bidi="en-US"/>
              </w:rPr>
              <w:t>–</w:t>
            </w:r>
            <w:r w:rsidRPr="007B2041">
              <w:rPr>
                <w:rFonts w:asciiTheme="minorHAnsi" w:hAnsiTheme="minorHAnsi" w:cs="Times New Roman"/>
                <w:color w:val="3F3F3F"/>
                <w:szCs w:val="22"/>
                <w:lang w:val="en-US" w:bidi="en-US"/>
              </w:rPr>
              <w:t xml:space="preserve"> 7000+</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Data sourced thru 12 systems</w:t>
            </w:r>
            <w:r w:rsidR="00E37406" w:rsidRPr="007B2041">
              <w:rPr>
                <w:rFonts w:asciiTheme="minorHAnsi" w:hAnsiTheme="minorHAnsi" w:cs="Times New Roman"/>
                <w:color w:val="3F3F3F"/>
                <w:szCs w:val="22"/>
                <w:lang w:val="en-US" w:bidi="en-US"/>
              </w:rPr>
              <w:t>;</w:t>
            </w:r>
            <w:r w:rsidRPr="007B2041">
              <w:rPr>
                <w:rFonts w:asciiTheme="minorHAnsi" w:hAnsiTheme="minorHAnsi" w:cs="Times New Roman"/>
                <w:color w:val="3F3F3F"/>
                <w:szCs w:val="22"/>
                <w:lang w:val="en-US" w:bidi="en-US"/>
              </w:rPr>
              <w:t xml:space="preserve"> nightly batch process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Highly optimized loaders / interfaces to complete a short batch window in time for start of Business day</w:t>
            </w:r>
          </w:p>
          <w:bookmarkEnd w:id="23"/>
          <w:bookmarkEnd w:id="24"/>
          <w:bookmarkEnd w:id="25"/>
          <w:p w:rsidR="00BC0422" w:rsidRPr="00DE0577" w:rsidRDefault="00BC0422" w:rsidP="00BC0422">
            <w:pPr>
              <w:pStyle w:val="Head1"/>
              <w:spacing w:after="0" w:afterAutospacing="0" w:line="240" w:lineRule="auto"/>
              <w:rPr>
                <w:rFonts w:asciiTheme="minorHAnsi" w:hAnsiTheme="minorHAnsi"/>
                <w:sz w:val="22"/>
                <w:szCs w:val="22"/>
              </w:rPr>
            </w:pPr>
          </w:p>
          <w:p w:rsidR="00BC0422" w:rsidRPr="00E17E18" w:rsidRDefault="00BC0422" w:rsidP="00E17E18">
            <w:pPr>
              <w:pStyle w:val="DisplayHeading"/>
              <w:rPr>
                <w:rFonts w:asciiTheme="minorHAnsi" w:hAnsiTheme="minorHAnsi" w:cs="Arial"/>
                <w:sz w:val="24"/>
              </w:rPr>
            </w:pPr>
            <w:r w:rsidRPr="00E17E18">
              <w:rPr>
                <w:rFonts w:asciiTheme="minorHAnsi" w:hAnsiTheme="minorHAnsi" w:cs="Arial"/>
                <w:sz w:val="24"/>
              </w:rPr>
              <w:t>Portal Details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 xml:space="preserve">Online Data Access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Designed as a financial management application for meeting the unique custody, reporting, investment, and financing needs of wealthy individuals and families</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Core purpose of the this application is to calculate an individual’s net worth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WP collects data through Aggregation and Transaction</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Can be accessed by both internal and external users</w:t>
            </w:r>
          </w:p>
          <w:p w:rsidR="00BC0422" w:rsidRPr="007B2041" w:rsidRDefault="00BC0422"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7B2041">
              <w:rPr>
                <w:rFonts w:asciiTheme="minorHAnsi" w:hAnsiTheme="minorHAnsi" w:cs="Times New Roman"/>
                <w:color w:val="3F3F3F"/>
                <w:szCs w:val="22"/>
                <w:lang w:val="en-US" w:bidi="en-US"/>
              </w:rPr>
              <w:t>Key Features</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Consolidated Accounting and Tax Reporting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lastRenderedPageBreak/>
              <w:t xml:space="preserve">Net Worth Summary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Downloading Capabilities </w:t>
            </w:r>
          </w:p>
          <w:p w:rsidR="00BC0422" w:rsidRPr="007B2041" w:rsidRDefault="00BC0422"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7B2041">
              <w:rPr>
                <w:rFonts w:asciiTheme="minorHAnsi" w:eastAsia="Times New Roman" w:hAnsiTheme="minorHAnsi"/>
                <w:color w:val="3F3F3F"/>
                <w:sz w:val="22"/>
                <w:lang w:bidi="en-US"/>
              </w:rPr>
              <w:t xml:space="preserve">Data Aggregation </w:t>
            </w:r>
          </w:p>
          <w:p w:rsidR="00A77103" w:rsidRDefault="00A77103" w:rsidP="00A77103">
            <w:pPr>
              <w:autoSpaceDE w:val="0"/>
              <w:autoSpaceDN w:val="0"/>
              <w:adjustRightInd w:val="0"/>
              <w:spacing w:before="120" w:after="120"/>
              <w:rPr>
                <w:rFonts w:ascii="Trebuchet MS" w:hAnsi="Trebuchet MS" w:cs="Arial"/>
                <w:sz w:val="20"/>
                <w:szCs w:val="20"/>
              </w:rPr>
            </w:pPr>
          </w:p>
          <w:p w:rsidR="00A77103" w:rsidRPr="00A77103" w:rsidRDefault="00A77103" w:rsidP="00D95F82">
            <w:pPr>
              <w:pStyle w:val="BulletList0"/>
              <w:rPr>
                <w:rFonts w:asciiTheme="minorHAnsi" w:hAnsiTheme="minorHAnsi" w:cs="Arial"/>
                <w:b/>
                <w:szCs w:val="22"/>
              </w:rPr>
            </w:pPr>
          </w:p>
        </w:tc>
      </w:tr>
    </w:tbl>
    <w:p w:rsidR="00D95F82" w:rsidRDefault="00D95F82" w:rsidP="00D95F82">
      <w:pPr>
        <w:rPr>
          <w:rFonts w:eastAsia="Times New Roman"/>
          <w:color w:val="1A325E"/>
          <w:sz w:val="32"/>
        </w:rPr>
      </w:pPr>
      <w:bookmarkStart w:id="26" w:name="_Toc258944701"/>
      <w:bookmarkStart w:id="27" w:name="_Toc258955646"/>
      <w:bookmarkEnd w:id="11"/>
      <w:r>
        <w:lastRenderedPageBreak/>
        <w:br w:type="page"/>
      </w:r>
    </w:p>
    <w:p w:rsidR="00363152" w:rsidRPr="00166725" w:rsidRDefault="00363152" w:rsidP="00363152">
      <w:pPr>
        <w:pStyle w:val="Heading1"/>
        <w:keepNext w:val="0"/>
        <w:keepLines w:val="0"/>
        <w:pageBreakBefore w:val="0"/>
        <w:pBdr>
          <w:bottom w:val="single" w:sz="4" w:space="1" w:color="FBD475"/>
        </w:pBdr>
        <w:spacing w:before="360" w:after="240" w:afterAutospacing="0" w:line="240" w:lineRule="auto"/>
        <w:rPr>
          <w:rFonts w:asciiTheme="minorHAnsi" w:hAnsiTheme="minorHAnsi" w:cs="Arial"/>
          <w:szCs w:val="32"/>
        </w:rPr>
      </w:pPr>
      <w:bookmarkStart w:id="28" w:name="_Toc259453502"/>
      <w:r w:rsidRPr="00166725">
        <w:rPr>
          <w:rFonts w:asciiTheme="minorHAnsi" w:hAnsiTheme="minorHAnsi" w:cs="Arial"/>
          <w:szCs w:val="32"/>
        </w:rPr>
        <w:lastRenderedPageBreak/>
        <w:t>Proprietary Products</w:t>
      </w:r>
      <w:bookmarkEnd w:id="26"/>
      <w:bookmarkEnd w:id="27"/>
      <w:bookmarkEnd w:id="28"/>
    </w:p>
    <w:tbl>
      <w:tblPr>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9540"/>
      </w:tblGrid>
      <w:tr w:rsidR="0087720D" w:rsidRPr="00873938" w:rsidTr="00506A30">
        <w:trPr>
          <w:trHeight w:val="737"/>
        </w:trPr>
        <w:tc>
          <w:tcPr>
            <w:tcW w:w="9540" w:type="dxa"/>
            <w:shd w:val="clear" w:color="auto" w:fill="002060"/>
          </w:tcPr>
          <w:p w:rsidR="0087720D" w:rsidRPr="00873938" w:rsidRDefault="0087720D" w:rsidP="00075750">
            <w:pPr>
              <w:pStyle w:val="Heading3"/>
              <w:ind w:left="0" w:firstLine="0"/>
              <w:rPr>
                <w:rFonts w:asciiTheme="minorHAnsi" w:hAnsiTheme="minorHAnsi" w:cs="Arial"/>
                <w:sz w:val="22"/>
              </w:rPr>
            </w:pPr>
            <w:r w:rsidRPr="00873938">
              <w:rPr>
                <w:rFonts w:asciiTheme="minorHAnsi" w:hAnsiTheme="minorHAnsi" w:cs="Arial"/>
                <w:color w:val="FFFFFF" w:themeColor="background1"/>
                <w:sz w:val="22"/>
              </w:rPr>
              <w:t>DS-9. Do you have any packaged product or service offerings in this domain area?</w:t>
            </w:r>
          </w:p>
        </w:tc>
      </w:tr>
      <w:tr w:rsidR="0087720D" w:rsidRPr="00873938" w:rsidTr="00506A30">
        <w:trPr>
          <w:trHeight w:val="737"/>
        </w:trPr>
        <w:tc>
          <w:tcPr>
            <w:tcW w:w="9540" w:type="dxa"/>
            <w:tcBorders>
              <w:bottom w:val="dashed" w:sz="4" w:space="0" w:color="auto"/>
            </w:tcBorders>
            <w:shd w:val="clear" w:color="auto" w:fill="auto"/>
          </w:tcPr>
          <w:p w:rsidR="0087720D" w:rsidRPr="001A72F2" w:rsidRDefault="0087720D" w:rsidP="005C6493">
            <w:pPr>
              <w:pStyle w:val="DisplayHeading"/>
              <w:rPr>
                <w:rFonts w:asciiTheme="minorHAnsi" w:hAnsiTheme="minorHAnsi" w:cs="Arial"/>
                <w:sz w:val="24"/>
              </w:rPr>
            </w:pPr>
            <w:r w:rsidRPr="001A72F2">
              <w:rPr>
                <w:rFonts w:asciiTheme="minorHAnsi" w:hAnsiTheme="minorHAnsi" w:cs="Arial"/>
                <w:sz w:val="24"/>
              </w:rPr>
              <w:t>Response:</w:t>
            </w:r>
          </w:p>
          <w:p w:rsidR="00075750" w:rsidRPr="001A72F2" w:rsidRDefault="00C0086D" w:rsidP="009574C3">
            <w:pPr>
              <w:pStyle w:val="BodyPara1"/>
              <w:rPr>
                <w:rFonts w:asciiTheme="minorHAnsi" w:hAnsiTheme="minorHAnsi" w:cs="Arial"/>
                <w:b/>
                <w:color w:val="000080"/>
                <w:sz w:val="24"/>
                <w:u w:val="single"/>
                <w:lang w:val="en-GB"/>
              </w:rPr>
            </w:pPr>
            <w:r w:rsidRPr="001A72F2">
              <w:rPr>
                <w:rFonts w:asciiTheme="minorHAnsi" w:hAnsiTheme="minorHAnsi" w:cs="Arial"/>
                <w:b/>
                <w:color w:val="000080"/>
                <w:sz w:val="24"/>
                <w:u w:val="single"/>
                <w:lang w:val="en-GB"/>
              </w:rPr>
              <w:t>Proprietary</w:t>
            </w:r>
            <w:r w:rsidR="00075750" w:rsidRPr="001A72F2">
              <w:rPr>
                <w:rFonts w:asciiTheme="minorHAnsi" w:hAnsiTheme="minorHAnsi" w:cs="Arial"/>
                <w:b/>
                <w:color w:val="000080"/>
                <w:sz w:val="24"/>
                <w:u w:val="single"/>
                <w:lang w:val="en-GB"/>
              </w:rPr>
              <w:t xml:space="preserve"> Tools </w:t>
            </w:r>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Hexaware has leveraged its AM capabilities and experience to build tools for helping asset managers to address technological challenges.</w:t>
            </w:r>
          </w:p>
          <w:p w:rsidR="00075750" w:rsidRPr="00873938" w:rsidRDefault="00075750" w:rsidP="00075750">
            <w:pPr>
              <w:jc w:val="center"/>
              <w:rPr>
                <w:rFonts w:asciiTheme="minorHAnsi" w:hAnsiTheme="minorHAnsi" w:cs="Arial"/>
                <w:b/>
                <w:sz w:val="22"/>
              </w:rPr>
            </w:pPr>
            <w:r w:rsidRPr="00873938">
              <w:rPr>
                <w:rFonts w:asciiTheme="minorHAnsi" w:hAnsiTheme="minorHAnsi" w:cs="Arial"/>
                <w:b/>
                <w:noProof/>
                <w:sz w:val="22"/>
              </w:rPr>
              <w:drawing>
                <wp:inline distT="0" distB="0" distL="0" distR="0">
                  <wp:extent cx="4819650" cy="2276475"/>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l="8438" t="14999" r="8438" b="14732"/>
                          <a:stretch>
                            <a:fillRect/>
                          </a:stretch>
                        </pic:blipFill>
                        <pic:spPr bwMode="auto">
                          <a:xfrm>
                            <a:off x="0" y="0"/>
                            <a:ext cx="4819650" cy="2276475"/>
                          </a:xfrm>
                          <a:prstGeom prst="rect">
                            <a:avLst/>
                          </a:prstGeom>
                          <a:noFill/>
                          <a:ln w="9525">
                            <a:noFill/>
                            <a:miter lim="800000"/>
                            <a:headEnd/>
                            <a:tailEnd/>
                          </a:ln>
                        </pic:spPr>
                      </pic:pic>
                    </a:graphicData>
                  </a:graphic>
                </wp:inline>
              </w:drawing>
            </w:r>
          </w:p>
          <w:p w:rsidR="00C0086D" w:rsidRPr="001A72F2" w:rsidRDefault="00C0086D" w:rsidP="00C0086D">
            <w:pPr>
              <w:pStyle w:val="BodyPara1"/>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VERZOENEN– (Reconciliation Tool for pre-defined business rules):</w:t>
            </w:r>
            <w:r w:rsidRPr="001A72F2">
              <w:rPr>
                <w:rFonts w:asciiTheme="minorHAnsi" w:hAnsiTheme="minorHAnsi" w:cs="Times New Roman"/>
                <w:color w:val="3F3F3F"/>
                <w:szCs w:val="22"/>
                <w:lang w:val="en-US" w:bidi="en-US"/>
              </w:rPr>
              <w:t xml:space="preserve"> “Verzoenen” is a reconciliation tool. It reconciles two given files on pre-defined business rules. </w:t>
            </w:r>
          </w:p>
          <w:p w:rsidR="00C0086D" w:rsidRPr="001A72F2" w:rsidRDefault="00C0086D" w:rsidP="00C0086D">
            <w:pPr>
              <w:pStyle w:val="BodyPara1"/>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BELVA – (Data Governance Tool):</w:t>
            </w:r>
            <w:r w:rsidRPr="001A72F2">
              <w:rPr>
                <w:rFonts w:asciiTheme="minorHAnsi" w:hAnsiTheme="minorHAnsi" w:cs="Times New Roman"/>
                <w:color w:val="3F3F3F"/>
                <w:szCs w:val="22"/>
                <w:lang w:val="en-US" w:bidi="en-US"/>
              </w:rPr>
              <w:t xml:space="preserve"> Is a Meta Data summit for Investment Business Information &amp; comes with precise definition of Business Elements spanning across Investment Management domain space &amp; across enterprise wide systems. </w:t>
            </w:r>
          </w:p>
          <w:p w:rsidR="005522ED" w:rsidRPr="001A72F2" w:rsidRDefault="005522ED" w:rsidP="005522ED">
            <w:pPr>
              <w:pStyle w:val="BodyPara1"/>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BMS – (Billing Management Tool):</w:t>
            </w:r>
            <w:r w:rsidRPr="001A72F2">
              <w:rPr>
                <w:rFonts w:asciiTheme="minorHAnsi" w:hAnsiTheme="minorHAnsi" w:cs="Times New Roman"/>
                <w:color w:val="3F3F3F"/>
                <w:szCs w:val="22"/>
                <w:lang w:val="en-US" w:bidi="en-US"/>
              </w:rPr>
              <w:t xml:space="preserve"> The key features are Hierarchic Model, Flexible Fee Definition &amp; Presentment, Account Aggregation, Billing Segments and Cash Flow Upload from Portfolio Accounting System, Custodian Balances, and Audit &amp; Security.</w:t>
            </w:r>
          </w:p>
          <w:p w:rsidR="00C0086D" w:rsidRPr="001A72F2" w:rsidRDefault="00C0086D" w:rsidP="005522ED">
            <w:pPr>
              <w:pStyle w:val="BodyPara1"/>
              <w:tabs>
                <w:tab w:val="left" w:pos="1305"/>
              </w:tabs>
              <w:rPr>
                <w:rFonts w:asciiTheme="minorHAnsi" w:hAnsiTheme="minorHAnsi" w:cs="Times New Roman"/>
                <w:color w:val="3F3F3F"/>
                <w:szCs w:val="22"/>
                <w:lang w:val="en-US" w:bidi="en-US"/>
              </w:rPr>
            </w:pPr>
            <w:r w:rsidRPr="001A72F2">
              <w:rPr>
                <w:rFonts w:asciiTheme="minorHAnsi" w:hAnsiTheme="minorHAnsi" w:cs="Times New Roman"/>
                <w:b/>
                <w:color w:val="3F3F3F"/>
                <w:szCs w:val="22"/>
                <w:lang w:val="en-US" w:bidi="en-US"/>
              </w:rPr>
              <w:t>Wealth Director – (Solution for Wealth Management): “</w:t>
            </w:r>
            <w:r w:rsidRPr="001A72F2">
              <w:rPr>
                <w:rFonts w:asciiTheme="minorHAnsi" w:hAnsiTheme="minorHAnsi" w:cs="Times New Roman"/>
                <w:color w:val="3F3F3F"/>
                <w:szCs w:val="22"/>
                <w:lang w:val="en-US" w:bidi="en-US"/>
              </w:rPr>
              <w:t>Wealth Director” comprehensive wealth management product helps Financial Advisors manage lifetime assets of High Net worth Clients in the proprietary or ASP model. The features include contact management, profile capture, proposal submission, financial planning encompassing Investments, Insurance, Education, Retirement, Estate and Tax Planning.</w:t>
            </w:r>
          </w:p>
          <w:p w:rsidR="00075750" w:rsidRPr="00873938" w:rsidRDefault="00075750" w:rsidP="00075750">
            <w:pPr>
              <w:spacing w:line="264" w:lineRule="auto"/>
              <w:rPr>
                <w:rFonts w:asciiTheme="minorHAnsi" w:eastAsia="Times New Roman" w:hAnsiTheme="minorHAnsi" w:cs="Arial"/>
                <w:color w:val="auto"/>
                <w:sz w:val="22"/>
                <w:lang w:val="pt-BR"/>
              </w:rPr>
            </w:pPr>
            <w:r w:rsidRPr="001A72F2">
              <w:rPr>
                <w:rFonts w:asciiTheme="minorHAnsi" w:eastAsia="Times New Roman" w:hAnsiTheme="minorHAnsi"/>
                <w:b/>
                <w:color w:val="3F3F3F"/>
                <w:sz w:val="22"/>
                <w:lang w:bidi="en-US"/>
              </w:rPr>
              <w:lastRenderedPageBreak/>
              <w:t>NITOR – (PSM Tracking Tool):</w:t>
            </w:r>
            <w:r w:rsidRPr="00873938">
              <w:rPr>
                <w:rFonts w:asciiTheme="minorHAnsi" w:eastAsia="Times New Roman" w:hAnsiTheme="minorHAnsi" w:cs="Arial"/>
                <w:color w:val="auto"/>
                <w:sz w:val="22"/>
                <w:lang w:val="pt-BR"/>
              </w:rPr>
              <w:t xml:space="preserve"> </w:t>
            </w:r>
            <w:r w:rsidRPr="001A72F2">
              <w:rPr>
                <w:rFonts w:asciiTheme="minorHAnsi" w:eastAsia="Times New Roman" w:hAnsiTheme="minorHAnsi"/>
                <w:color w:val="3F3F3F"/>
                <w:sz w:val="22"/>
                <w:lang w:bidi="en-US"/>
              </w:rPr>
              <w:t>Is a tracking tool for Support &amp; Maintenance projects.</w:t>
            </w:r>
          </w:p>
          <w:p w:rsidR="005522ED" w:rsidRPr="001A72F2" w:rsidRDefault="005522ED" w:rsidP="00075750">
            <w:pPr>
              <w:spacing w:line="264" w:lineRule="auto"/>
              <w:rPr>
                <w:rFonts w:asciiTheme="minorHAnsi" w:eastAsia="Times New Roman" w:hAnsiTheme="minorHAnsi"/>
                <w:color w:val="3F3F3F"/>
                <w:sz w:val="22"/>
                <w:lang w:bidi="en-US"/>
              </w:rPr>
            </w:pPr>
            <w:r w:rsidRPr="001A72F2">
              <w:rPr>
                <w:rFonts w:asciiTheme="minorHAnsi" w:eastAsia="Times New Roman" w:hAnsiTheme="minorHAnsi"/>
                <w:b/>
                <w:color w:val="3F3F3F"/>
                <w:sz w:val="22"/>
                <w:lang w:bidi="en-US"/>
              </w:rPr>
              <w:t>ProFra (Proprietary Framework for Rapid Product Development):</w:t>
            </w:r>
            <w:r w:rsidRPr="00873938">
              <w:rPr>
                <w:rFonts w:asciiTheme="minorHAnsi" w:eastAsia="Times New Roman" w:hAnsiTheme="minorHAnsi" w:cs="Arial"/>
                <w:color w:val="auto"/>
                <w:sz w:val="22"/>
                <w:lang w:val="pt-BR"/>
              </w:rPr>
              <w:t xml:space="preserve"> </w:t>
            </w:r>
            <w:r w:rsidRPr="001A72F2">
              <w:rPr>
                <w:rFonts w:asciiTheme="minorHAnsi" w:eastAsia="Times New Roman" w:hAnsiTheme="minorHAnsi"/>
                <w:color w:val="3F3F3F"/>
                <w:sz w:val="22"/>
                <w:lang w:bidi="en-US"/>
              </w:rPr>
              <w:t>ProFra is developed by Hexaware has a workable framework towards creating an instant base for building any product.</w:t>
            </w:r>
          </w:p>
          <w:p w:rsidR="00075750" w:rsidRPr="00873938" w:rsidRDefault="00075750" w:rsidP="00E017D0">
            <w:pPr>
              <w:pStyle w:val="DisplayHeadingOrange"/>
              <w:rPr>
                <w:sz w:val="22"/>
                <w:szCs w:val="22"/>
              </w:rPr>
            </w:pPr>
            <w:bookmarkStart w:id="29" w:name="_Toc258944702"/>
            <w:bookmarkStart w:id="30" w:name="_Toc258955647"/>
            <w:r w:rsidRPr="00873938">
              <w:rPr>
                <w:sz w:val="22"/>
                <w:szCs w:val="22"/>
              </w:rPr>
              <w:t>Verzoenen</w:t>
            </w:r>
            <w:bookmarkEnd w:id="29"/>
            <w:bookmarkEnd w:id="30"/>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Reconciliation plays a major role in the areas of Pre and Post Trade Validations, Position Management, Confirmations, Cash Management, Payment Processing, GL Accounting, and Back Office Settlements. </w:t>
            </w:r>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As the businesses grow, organizations frequently migrate to newer systems or integrate multiple legacy systems into newer applications. This initiates a complex scheme of data validation and certification of complete business data transformation into the new system. </w:t>
            </w:r>
          </w:p>
          <w:p w:rsidR="00075750" w:rsidRPr="001A72F2" w:rsidRDefault="00075750" w:rsidP="005C6493">
            <w:pPr>
              <w:pStyle w:val="BodyPara1"/>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Added to this complexity are industry process changes and regulatory compliance changes that end up in product upgrades of existing implemented systems. </w:t>
            </w:r>
          </w:p>
          <w:p w:rsidR="00075750" w:rsidRPr="00E17E18" w:rsidRDefault="00075750" w:rsidP="00E17E18">
            <w:pPr>
              <w:pStyle w:val="DisplayHeading"/>
              <w:rPr>
                <w:rFonts w:asciiTheme="minorHAnsi" w:hAnsiTheme="minorHAnsi" w:cs="Arial"/>
                <w:sz w:val="24"/>
                <w:u w:val="single"/>
              </w:rPr>
            </w:pPr>
            <w:r w:rsidRPr="00E17E18">
              <w:rPr>
                <w:rFonts w:asciiTheme="minorHAnsi" w:hAnsiTheme="minorHAnsi" w:cs="Arial"/>
                <w:sz w:val="24"/>
                <w:u w:val="single"/>
              </w:rPr>
              <w:t>Verzoenen – Key Features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Source Data Management</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Multiple input file format definition with options for manual entry or bulk upload.</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Pre-process such as data cleaning and sub-totaling can be done prior to upload.</w:t>
            </w:r>
          </w:p>
          <w:p w:rsidR="00075750" w:rsidRPr="00E17E18" w:rsidRDefault="00075750" w:rsidP="00166725">
            <w:pPr>
              <w:pStyle w:val="DisplayHeading"/>
              <w:rPr>
                <w:rFonts w:asciiTheme="minorHAnsi" w:hAnsiTheme="minorHAnsi" w:cs="Arial"/>
                <w:sz w:val="24"/>
              </w:rPr>
            </w:pPr>
            <w:r w:rsidRPr="00E17E18">
              <w:rPr>
                <w:rFonts w:asciiTheme="minorHAnsi" w:hAnsiTheme="minorHAnsi" w:cs="Arial"/>
                <w:sz w:val="24"/>
              </w:rPr>
              <w:t>Data Pairing Definition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Ability to do manual entry / upload metadata definitions for new file formats for comparison.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Intuitive UI for pairing fields of the data set to a common recon format through </w:t>
            </w:r>
          </w:p>
          <w:p w:rsidR="00075750" w:rsidRPr="001A72F2" w:rsidRDefault="00075750"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1A72F2">
              <w:rPr>
                <w:rFonts w:asciiTheme="minorHAnsi" w:eastAsia="Times New Roman" w:hAnsiTheme="minorHAnsi"/>
                <w:color w:val="3F3F3F"/>
                <w:sz w:val="22"/>
                <w:lang w:bidi="en-US"/>
              </w:rPr>
              <w:t>Ready to use transformation rules with options for custom rules.</w:t>
            </w:r>
          </w:p>
          <w:p w:rsidR="00075750" w:rsidRPr="001A72F2" w:rsidRDefault="00075750" w:rsidP="003453B3">
            <w:pPr>
              <w:numPr>
                <w:ilvl w:val="1"/>
                <w:numId w:val="19"/>
              </w:numPr>
              <w:spacing w:after="0" w:afterAutospacing="0" w:line="240" w:lineRule="auto"/>
              <w:ind w:left="900"/>
              <w:rPr>
                <w:rFonts w:asciiTheme="minorHAnsi" w:eastAsia="Times New Roman" w:hAnsiTheme="minorHAnsi"/>
                <w:color w:val="3F3F3F"/>
                <w:sz w:val="22"/>
                <w:lang w:bidi="en-US"/>
              </w:rPr>
            </w:pPr>
            <w:r w:rsidRPr="001A72F2">
              <w:rPr>
                <w:rFonts w:asciiTheme="minorHAnsi" w:eastAsia="Times New Roman" w:hAnsiTheme="minorHAnsi"/>
                <w:color w:val="3F3F3F"/>
                <w:sz w:val="22"/>
                <w:lang w:bidi="en-US"/>
              </w:rPr>
              <w:t>X Ref tables for cross validation.</w:t>
            </w:r>
          </w:p>
          <w:p w:rsidR="00075750" w:rsidRPr="00E17E18" w:rsidRDefault="00075750" w:rsidP="00166725">
            <w:pPr>
              <w:pStyle w:val="DisplayHeading"/>
              <w:rPr>
                <w:rFonts w:asciiTheme="minorHAnsi" w:hAnsiTheme="minorHAnsi" w:cs="Arial"/>
                <w:sz w:val="24"/>
              </w:rPr>
            </w:pPr>
            <w:r w:rsidRPr="00E17E18">
              <w:rPr>
                <w:rFonts w:asciiTheme="minorHAnsi" w:hAnsiTheme="minorHAnsi" w:cs="Arial"/>
                <w:sz w:val="24"/>
              </w:rPr>
              <w:t>Recon Definition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Define flexible parameters for recon key formation and field level matching.</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Capable of defining sequence of recursive recon.</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Options for matching tolerances by amount, %, or range.</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Reconciliation Process</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Online / offline scheduled recon process for identifying matches, mismatches, and discrepant data. </w:t>
            </w:r>
          </w:p>
          <w:p w:rsidR="00075750" w:rsidRPr="001A72F2"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 xml:space="preserve">Multiple level of recursive reconciliations based on earlier level mismatch data. </w:t>
            </w:r>
          </w:p>
          <w:p w:rsidR="00075750"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A72F2">
              <w:rPr>
                <w:rFonts w:asciiTheme="minorHAnsi" w:hAnsiTheme="minorHAnsi" w:cs="Times New Roman"/>
                <w:color w:val="3F3F3F"/>
                <w:szCs w:val="22"/>
                <w:lang w:val="en-US" w:bidi="en-US"/>
              </w:rPr>
              <w:t>Ability to refine the results by changing recon parameters and rerun reconciliations.</w:t>
            </w:r>
          </w:p>
          <w:p w:rsidR="00D23EE4" w:rsidRDefault="00D23EE4" w:rsidP="00D23EE4">
            <w:pPr>
              <w:pStyle w:val="BulletList0"/>
              <w:spacing w:line="276" w:lineRule="auto"/>
              <w:ind w:left="360"/>
              <w:jc w:val="both"/>
              <w:rPr>
                <w:rFonts w:asciiTheme="minorHAnsi" w:hAnsiTheme="minorHAnsi" w:cs="Times New Roman"/>
                <w:color w:val="3F3F3F"/>
                <w:szCs w:val="22"/>
                <w:lang w:val="en-US" w:bidi="en-US"/>
              </w:rPr>
            </w:pPr>
          </w:p>
          <w:p w:rsidR="00D23EE4" w:rsidRPr="001A72F2" w:rsidRDefault="00D23EE4" w:rsidP="00D23EE4">
            <w:pPr>
              <w:pStyle w:val="BulletList0"/>
              <w:spacing w:line="276" w:lineRule="auto"/>
              <w:ind w:left="360"/>
              <w:jc w:val="both"/>
              <w:rPr>
                <w:rFonts w:asciiTheme="minorHAnsi" w:hAnsiTheme="minorHAnsi" w:cs="Times New Roman"/>
                <w:color w:val="3F3F3F"/>
                <w:szCs w:val="22"/>
                <w:lang w:val="en-US" w:bidi="en-US"/>
              </w:rPr>
            </w:pP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Reporting</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Flexible Report Builder with predefined set of Mismatch Analysis, Recon Performance &amp; MIS.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Options for the user to customize standard reports or create custom reports.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Ability to save report filter data profile for rerun of report at later time.</w:t>
            </w:r>
          </w:p>
          <w:p w:rsidR="00075750" w:rsidRPr="00873938" w:rsidRDefault="005C6493"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 xml:space="preserve">Verzoenen - </w:t>
            </w:r>
            <w:r w:rsidR="00075750" w:rsidRPr="00873938">
              <w:rPr>
                <w:rFonts w:asciiTheme="minorHAnsi" w:hAnsiTheme="minorHAnsi" w:cs="Arial"/>
                <w:b/>
                <w:color w:val="000080"/>
                <w:szCs w:val="22"/>
                <w:u w:val="single"/>
                <w:lang w:val="en-GB"/>
              </w:rPr>
              <w:t>Case Study</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About Client</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Client is a leading provider of investment management, asset and fund administration, fiduciary and banking solutions for corporations, institutions and affluent individuals worldwide.</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 financial holding company based in North America, has a network of 85 offices in 18 U.S. states, and has international offices in North America, Europe, the Middle East and the Asia-Pacific region.</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Execution Model: Onsite and Offshore.</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Project Objectives</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objective of this project is to provide an automated solution for Corporate Transitions, Conversions, TBA and Valuation Reporting of Fund Accounting Team for the reconciliation of data based upon defined business rules for various events. Reconciliation tool must eliminates dependencies on excel macros and standardizes the reconciliation process across both partner groups.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Key Project Requirements</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client specific project requirements for Verzoenen implementation are as below:</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reconciliation tool should reconcile data between prior custodian and internal system data using a pair and compare methodology.</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must have the capability to remove special characters from asset identifiers fields such as SEDOL/ISIN/CUSIP prior to running Reconciliation.</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should have the capability to do calculations for missing data using a unit price, a market price, or an FX rate.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When there is more than one entry posted into Internal system that adds up to one entry from the prior custodian, there needs to be ability to subtotal the same assets for each account.</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should perform at least a two level (but not limited to two) matching process between prior custodian and Internal System data based on identifier.</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unmatched data should appear on a screen where they can be matched from the prior custodian to internal system data manually.</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tool should have the ability to customize the output as reported.</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Existing Systems and Processes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Prior Custodian Data</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Prior custodian data are custodial system data for Transitions, Conversions, TBA and Valuation Reporting modules.</w:t>
            </w:r>
          </w:p>
          <w:p w:rsidR="00075750" w:rsidRPr="00E17E18" w:rsidRDefault="00075750" w:rsidP="00260241">
            <w:pPr>
              <w:pStyle w:val="DisplayHeading"/>
              <w:rPr>
                <w:rFonts w:asciiTheme="minorHAnsi" w:hAnsiTheme="minorHAnsi" w:cs="Arial"/>
                <w:sz w:val="24"/>
              </w:rPr>
            </w:pPr>
            <w:r w:rsidRPr="00E17E18">
              <w:rPr>
                <w:rFonts w:asciiTheme="minorHAnsi" w:hAnsiTheme="minorHAnsi" w:cs="Arial"/>
                <w:sz w:val="24"/>
              </w:rPr>
              <w:t>Internal System Data</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These are data for Transitions, Conversions, TBA and Valuation Reporting coming from Client’s Internal System.</w:t>
            </w:r>
          </w:p>
          <w:p w:rsidR="00075750" w:rsidRPr="00041586" w:rsidRDefault="00075750" w:rsidP="00260241">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Currently, client performs reconciliation between prior custodian data and internal system data using the following methods: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An Excel pivot table with a True/False methodology, or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Manually auditing client records using a tic and tie methodology or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Macros.</w:t>
            </w:r>
          </w:p>
          <w:p w:rsidR="00075750" w:rsidRPr="00E17E18" w:rsidRDefault="00075750" w:rsidP="00260241">
            <w:pPr>
              <w:pStyle w:val="DisplayHeading"/>
              <w:rPr>
                <w:rFonts w:asciiTheme="minorHAnsi" w:hAnsiTheme="minorHAnsi" w:cs="Arial"/>
                <w:sz w:val="24"/>
              </w:rPr>
            </w:pPr>
            <w:r w:rsidRPr="00E17E18">
              <w:rPr>
                <w:rFonts w:asciiTheme="minorHAnsi" w:hAnsiTheme="minorHAnsi" w:cs="Arial"/>
                <w:sz w:val="24"/>
              </w:rPr>
              <w:t>Challenges in the Current Process</w:t>
            </w:r>
          </w:p>
          <w:p w:rsidR="00075750" w:rsidRPr="00041586" w:rsidRDefault="00075750" w:rsidP="00260241">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challenges faced by the client during current reconciliation process are given below:</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Manual reconciliation leads to huge human errors and consumes more time.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There is no uniformity of reconciliation process followed between different business partners.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pivot table or Excel Macros are not flexible to handle changes in reconciliation parameters.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Due to varying settlement time zones across location throughout the calendar month, the coordinator needs to continually reformat the pivot table to include new settlements.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macros are not completely reliable, and it is not technically supported by bank.</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Excel macros can be easily tampered which results in its functional failure.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business user performs repeated reconciliation to ensure the accuracy of data which is also time-consuming.</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Hexaware’s Contribution</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With Technical and Business expertise in the Reconciliation space, Hexaware had been part of implementing the Tool in several ways such as,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Requirement gathering from various Business Users.</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Evaluation and identification of available options to meet Clients business need.</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Recommendation of suitable reconciliation solution.</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Customization of Verzoenen tool as per client business requirements.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Project Work Flow</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reconciliation process consists of the following levels:</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Uploading Data</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Prior custodian Data and Internal system data are uploaded into Verzoenen through excel.</w:t>
            </w: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t>Data Cleaning &amp; Validation</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Prior custodian and internal system data are uploaded into Verzoenen</w:t>
            </w:r>
          </w:p>
          <w:p w:rsidR="00075750" w:rsidRPr="00041586" w:rsidRDefault="00075750" w:rsidP="0004158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Verzoenen performs data cleaning and validation activities such as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Special Characters removal</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Missing data calculations </w:t>
            </w:r>
          </w:p>
          <w:p w:rsidR="00075750"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Subtotalling of multiple records of same account</w:t>
            </w:r>
          </w:p>
          <w:p w:rsidR="00041586" w:rsidRPr="00041586" w:rsidRDefault="00041586" w:rsidP="00041586">
            <w:pPr>
              <w:pStyle w:val="BulletList0"/>
              <w:spacing w:line="276" w:lineRule="auto"/>
              <w:ind w:left="360"/>
              <w:jc w:val="both"/>
              <w:rPr>
                <w:rFonts w:asciiTheme="minorHAnsi" w:hAnsiTheme="minorHAnsi" w:cs="Times New Roman"/>
                <w:color w:val="3F3F3F"/>
                <w:szCs w:val="22"/>
                <w:lang w:val="en-US" w:bidi="en-US"/>
              </w:rPr>
            </w:pPr>
          </w:p>
          <w:p w:rsidR="00075750" w:rsidRPr="00041586"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Sometimes Prior custodian and internal system data come with special characters/junk characters in key fields, such as SEDOL/ISIN/CUSIP, while extracting from their respective systems. </w:t>
            </w:r>
          </w:p>
          <w:p w:rsidR="00075750"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Verzoenen tool removes such special characters while uploading into the system and keeps clean data ready for actual reconciliation.</w:t>
            </w:r>
          </w:p>
          <w:p w:rsidR="00041586" w:rsidRPr="00041586" w:rsidRDefault="00041586" w:rsidP="00F33A06">
            <w:pPr>
              <w:pStyle w:val="BulletList0"/>
              <w:jc w:val="both"/>
              <w:rPr>
                <w:rFonts w:asciiTheme="minorHAnsi" w:hAnsiTheme="minorHAnsi" w:cs="Times New Roman"/>
                <w:color w:val="3F3F3F"/>
                <w:szCs w:val="22"/>
                <w:lang w:val="en-US" w:bidi="en-US"/>
              </w:rPr>
            </w:pPr>
          </w:p>
          <w:p w:rsidR="00075750"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Conversions, Transitions and TBA team’s prior custodian/internal system data also contain missing data in columns such as </w:t>
            </w:r>
          </w:p>
          <w:p w:rsidR="00041586" w:rsidRPr="00041586" w:rsidRDefault="00041586" w:rsidP="00F33A06">
            <w:pPr>
              <w:pStyle w:val="BulletList0"/>
              <w:jc w:val="both"/>
              <w:rPr>
                <w:rFonts w:asciiTheme="minorHAnsi" w:hAnsiTheme="minorHAnsi" w:cs="Times New Roman"/>
                <w:color w:val="3F3F3F"/>
                <w:szCs w:val="22"/>
                <w:lang w:val="en-US" w:bidi="en-US"/>
              </w:rPr>
            </w:pP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Total Market Value </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Local Net Income</w:t>
            </w:r>
          </w:p>
          <w:p w:rsidR="00075750" w:rsidRPr="00041586"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 xml:space="preserve">Local Gross Income </w:t>
            </w:r>
          </w:p>
          <w:p w:rsidR="00075750" w:rsidRPr="00041586" w:rsidRDefault="00075750" w:rsidP="00F33A06">
            <w:pPr>
              <w:pStyle w:val="BulletList0"/>
              <w:jc w:val="both"/>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Verzoenen perform calculations if this column data are missing using formulas such as MARKET VALUE + ACCRUALS = TOTAL MARKET VALUE and calculated values are entered. That is, the MARKET VALUE column data will be added to ACCRUALS column data and will be filled in TOTAL MARKET VALUE column.</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internal system data will also contain more than one record for the same account that can add up to single record. The Verzoenen tool will identify the records based on defined subtotaling keys and add all similar records of same account into one record which is then used for reconciliation with prior custodian data.</w:t>
            </w:r>
          </w:p>
          <w:p w:rsidR="00075750"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All the above data cleaning and validation process are done as part of uploading process and cleaned and validated records are kept ready for reconciliation.</w:t>
            </w:r>
          </w:p>
          <w:p w:rsidR="00D23EE4" w:rsidRPr="00041586" w:rsidRDefault="00D23EE4" w:rsidP="00F33A06">
            <w:pPr>
              <w:pStyle w:val="BodyPara1"/>
              <w:rPr>
                <w:rFonts w:asciiTheme="minorHAnsi" w:hAnsiTheme="minorHAnsi" w:cs="Times New Roman"/>
                <w:color w:val="3F3F3F"/>
                <w:szCs w:val="22"/>
                <w:lang w:val="en-US" w:bidi="en-US"/>
              </w:rPr>
            </w:pPr>
          </w:p>
          <w:p w:rsidR="00075750" w:rsidRPr="00E17E18" w:rsidRDefault="00075750" w:rsidP="00401DEE">
            <w:pPr>
              <w:pStyle w:val="DisplayHeading"/>
              <w:rPr>
                <w:rFonts w:asciiTheme="minorHAnsi" w:hAnsiTheme="minorHAnsi" w:cs="Arial"/>
                <w:sz w:val="24"/>
              </w:rPr>
            </w:pPr>
            <w:r w:rsidRPr="00E17E18">
              <w:rPr>
                <w:rFonts w:asciiTheme="minorHAnsi" w:hAnsiTheme="minorHAnsi" w:cs="Arial"/>
                <w:sz w:val="24"/>
              </w:rPr>
              <w:lastRenderedPageBreak/>
              <w:t>Multi-Level Matching (Auto Recon)</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Once the user initiates the reconciliation process, the system automatically tries to match records. First, recon keys are generated based keys defined in the system. This is called level 1 recon key. If recon keys of prior custodian data are matching with internal system data, then it is treated as Matched Records. If recon keys are not matching, the system creates level 2 recon keys which are defined. If this recon key matches for prior custodian data &amp; internal system data, then it is treated as Matched Records. Similarly, this reconciliation process is repeated by the system based on number of level of recon keys defined.</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At every level of reconciliation process, the records for which recon keys are matching but other column data are not matching based on parameters such as tolerance check, compare check, round off check, etc., then it is treated as Unmatched Records. The user correct these data and upload once again and run the reconciliation process to move this records from unmatched to matched status.</w:t>
            </w:r>
          </w:p>
          <w:p w:rsidR="00075750" w:rsidRPr="00041586" w:rsidRDefault="00075750" w:rsidP="00075750">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Those records for which recon keys are not matching, they are treated as Orphan Records.</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records which are having similar recon keys are treated as Duplicate Records.</w:t>
            </w:r>
          </w:p>
          <w:p w:rsidR="00075750" w:rsidRPr="00E17E18" w:rsidRDefault="00075750" w:rsidP="00F33A06">
            <w:pPr>
              <w:pStyle w:val="DisplayHeading"/>
              <w:rPr>
                <w:rFonts w:asciiTheme="minorHAnsi" w:hAnsiTheme="minorHAnsi" w:cs="Arial"/>
                <w:sz w:val="24"/>
              </w:rPr>
            </w:pPr>
            <w:r w:rsidRPr="00E17E18">
              <w:rPr>
                <w:rFonts w:asciiTheme="minorHAnsi" w:hAnsiTheme="minorHAnsi" w:cs="Arial"/>
                <w:sz w:val="24"/>
              </w:rPr>
              <w:t>Generation of Matched, Unmatched, Orphans and Duplicate Records</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Once reconciliation process is completed, the system creates Matched, Unmatched, Orphans and Duplicate Records.</w:t>
            </w:r>
          </w:p>
          <w:p w:rsidR="00075750" w:rsidRPr="00E17E18" w:rsidRDefault="00075750" w:rsidP="00F33A06">
            <w:pPr>
              <w:pStyle w:val="DisplayHeading"/>
              <w:rPr>
                <w:rFonts w:asciiTheme="minorHAnsi" w:hAnsiTheme="minorHAnsi" w:cs="Arial"/>
                <w:sz w:val="24"/>
              </w:rPr>
            </w:pPr>
            <w:r w:rsidRPr="00E17E18">
              <w:rPr>
                <w:rFonts w:asciiTheme="minorHAnsi" w:hAnsiTheme="minorHAnsi" w:cs="Arial"/>
                <w:sz w:val="24"/>
              </w:rPr>
              <w:t>Orphan Matching (Manual Recon)</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The Orphan and Duplicate records of prior custodian and internal system data are manually matched using ad hoc recon keys which are specified by the users. During this process, the system creates the recon keys based on keys defined for internal system record and overwrite the recon keys of prior custodian record.</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Now, on rerunning the reconciliation process, the recon keys of prior custodian and internal system data matches and all this orphan records move to Matched status.</w:t>
            </w:r>
          </w:p>
          <w:p w:rsidR="00075750" w:rsidRPr="00E17E18" w:rsidRDefault="00075750" w:rsidP="00F33A06">
            <w:pPr>
              <w:pStyle w:val="DisplayHeading"/>
              <w:rPr>
                <w:rFonts w:asciiTheme="minorHAnsi" w:hAnsiTheme="minorHAnsi" w:cs="Arial"/>
                <w:sz w:val="24"/>
              </w:rPr>
            </w:pPr>
            <w:r w:rsidRPr="00E17E18">
              <w:rPr>
                <w:rFonts w:asciiTheme="minorHAnsi" w:hAnsiTheme="minorHAnsi" w:cs="Arial"/>
                <w:sz w:val="24"/>
              </w:rPr>
              <w:t>Reports Generation (Standard and Custom Reports)</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Once the reconciliation process is over, the user generates reports for Matched, Unmatched and Orphan Records. These are Standard Reports that are available to the users instantly. The users also have the option to generate reports based on various column parameters of prior custodian and internal system records that are used for their analysis purpose using expression builder, Filter and Sort</w:t>
            </w:r>
            <w:r w:rsidRPr="00873938">
              <w:rPr>
                <w:rFonts w:asciiTheme="minorHAnsi" w:hAnsiTheme="minorHAnsi" w:cs="Arial"/>
                <w:szCs w:val="22"/>
              </w:rPr>
              <w:t xml:space="preserve"> </w:t>
            </w:r>
            <w:r w:rsidRPr="00041586">
              <w:rPr>
                <w:rFonts w:asciiTheme="minorHAnsi" w:hAnsiTheme="minorHAnsi" w:cs="Times New Roman"/>
                <w:color w:val="3F3F3F"/>
                <w:szCs w:val="22"/>
                <w:lang w:val="en-US" w:bidi="en-US"/>
              </w:rPr>
              <w:t xml:space="preserve">configuration. These are called Custom Reports. </w:t>
            </w:r>
          </w:p>
          <w:p w:rsidR="00075750" w:rsidRPr="00041586" w:rsidRDefault="00075750" w:rsidP="00F33A06">
            <w:pPr>
              <w:pStyle w:val="BodyPara1"/>
              <w:rPr>
                <w:rFonts w:asciiTheme="minorHAnsi" w:hAnsiTheme="minorHAnsi" w:cs="Times New Roman"/>
                <w:color w:val="3F3F3F"/>
                <w:szCs w:val="22"/>
                <w:lang w:val="en-US" w:bidi="en-US"/>
              </w:rPr>
            </w:pPr>
            <w:r w:rsidRPr="00041586">
              <w:rPr>
                <w:rFonts w:asciiTheme="minorHAnsi" w:hAnsiTheme="minorHAnsi" w:cs="Times New Roman"/>
                <w:color w:val="3F3F3F"/>
                <w:szCs w:val="22"/>
                <w:lang w:val="en-US" w:bidi="en-US"/>
              </w:rPr>
              <w:t>All reports can be exported to excel files and can be</w:t>
            </w:r>
            <w:r w:rsidR="00086C4B">
              <w:rPr>
                <w:rFonts w:asciiTheme="minorHAnsi" w:hAnsiTheme="minorHAnsi" w:cs="Times New Roman"/>
                <w:color w:val="3F3F3F"/>
                <w:szCs w:val="22"/>
                <w:lang w:val="en-US" w:bidi="en-US"/>
              </w:rPr>
              <w:t>;</w:t>
            </w:r>
            <w:r w:rsidRPr="00041586">
              <w:rPr>
                <w:rFonts w:asciiTheme="minorHAnsi" w:hAnsiTheme="minorHAnsi" w:cs="Times New Roman"/>
                <w:color w:val="3F3F3F"/>
                <w:szCs w:val="22"/>
                <w:lang w:val="en-US" w:bidi="en-US"/>
              </w:rPr>
              <w:t xml:space="preserve"> directed to any client’s local printers.</w:t>
            </w:r>
          </w:p>
          <w:p w:rsidR="00C0086D" w:rsidRPr="00873938" w:rsidRDefault="00C0086D" w:rsidP="00F33A06">
            <w:pPr>
              <w:pStyle w:val="DisplayHeadingOrange"/>
              <w:rPr>
                <w:sz w:val="22"/>
                <w:szCs w:val="22"/>
              </w:rPr>
            </w:pPr>
            <w:bookmarkStart w:id="31" w:name="_Toc258944704"/>
            <w:bookmarkStart w:id="32" w:name="_Toc258955649"/>
            <w:bookmarkStart w:id="33" w:name="_Toc258944703"/>
            <w:bookmarkStart w:id="34" w:name="_Toc258955648"/>
            <w:r w:rsidRPr="00873938">
              <w:rPr>
                <w:sz w:val="22"/>
                <w:szCs w:val="22"/>
              </w:rPr>
              <w:lastRenderedPageBreak/>
              <w:t>Belva</w:t>
            </w:r>
            <w:bookmarkEnd w:id="31"/>
            <w:bookmarkEnd w:id="32"/>
          </w:p>
          <w:p w:rsidR="00C0086D" w:rsidRPr="001E38F1" w:rsidRDefault="00C0086D" w:rsidP="00F33A06">
            <w:pPr>
              <w:pStyle w:val="BodyPara1"/>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drawing>
                <wp:anchor distT="0" distB="0" distL="114300" distR="114300" simplePos="0" relativeHeight="251686400" behindDoc="1" locked="0" layoutInCell="1" allowOverlap="1">
                  <wp:simplePos x="0" y="0"/>
                  <wp:positionH relativeFrom="column">
                    <wp:posOffset>2701290</wp:posOffset>
                  </wp:positionH>
                  <wp:positionV relativeFrom="paragraph">
                    <wp:posOffset>110490</wp:posOffset>
                  </wp:positionV>
                  <wp:extent cx="3086100" cy="2837815"/>
                  <wp:effectExtent l="19050" t="0" r="0" b="0"/>
                  <wp:wrapTight wrapText="bothSides">
                    <wp:wrapPolygon edited="0">
                      <wp:start x="-133" y="0"/>
                      <wp:lineTo x="-133" y="21460"/>
                      <wp:lineTo x="21600" y="21460"/>
                      <wp:lineTo x="21600" y="0"/>
                      <wp:lineTo x="-133" y="0"/>
                    </wp:wrapPolygon>
                  </wp:wrapTight>
                  <wp:docPr id="25" name="Picture 1" descr="Untitle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3"/>
                          <pic:cNvPicPr>
                            <a:picLocks noChangeAspect="1" noChangeArrowheads="1"/>
                          </pic:cNvPicPr>
                        </pic:nvPicPr>
                        <pic:blipFill>
                          <a:blip r:embed="rId50" cstate="print"/>
                          <a:srcRect/>
                          <a:stretch>
                            <a:fillRect/>
                          </a:stretch>
                        </pic:blipFill>
                        <pic:spPr bwMode="auto">
                          <a:xfrm>
                            <a:off x="0" y="0"/>
                            <a:ext cx="3086100" cy="2837815"/>
                          </a:xfrm>
                          <a:prstGeom prst="rect">
                            <a:avLst/>
                          </a:prstGeom>
                          <a:noFill/>
                          <a:ln w="9525">
                            <a:noFill/>
                            <a:miter lim="800000"/>
                            <a:headEnd/>
                            <a:tailEnd/>
                          </a:ln>
                        </pic:spPr>
                      </pic:pic>
                    </a:graphicData>
                  </a:graphic>
                </wp:anchor>
              </w:drawing>
            </w:r>
            <w:r w:rsidRPr="001E38F1">
              <w:rPr>
                <w:rFonts w:asciiTheme="minorHAnsi" w:hAnsiTheme="minorHAnsi" w:cs="Times New Roman"/>
                <w:color w:val="3F3F3F"/>
                <w:szCs w:val="22"/>
                <w:lang w:val="en-US" w:bidi="en-US"/>
              </w:rPr>
              <w:t>As an Investment Management enterprise grows rapidly or expands across multiple business lines or companies, the number of disparate systems, sub-units &amp; interfaces multiply.  This leads to the same business data existing in different state/ format/ consistency across systems.</w:t>
            </w:r>
          </w:p>
          <w:p w:rsidR="00C0086D" w:rsidRPr="001E38F1" w:rsidRDefault="00C0086D" w:rsidP="00F33A06">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This needs a central repository to track and trace business data across multiple systems and identify the transformations and links.  Such a system forces the organization to specify and delineate the data flow between various systems thru a centralized data store. </w:t>
            </w:r>
          </w:p>
          <w:p w:rsidR="00C0086D" w:rsidRPr="000573A0" w:rsidRDefault="00C0086D" w:rsidP="005522ED">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Overview</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Belva is a Meta data summit for investment business.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Belva captures how the business elements are represented in multiple systems across the enterprise.</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Belva also visualizes the end-to-end flow of an investment data during the lifecycle of the transaction across system. </w:t>
            </w:r>
          </w:p>
          <w:p w:rsidR="00C0086D" w:rsidRPr="000573A0" w:rsidRDefault="00C0086D" w:rsidP="00D572F3">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Belva Highlights</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Data Dictionary</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Mapping of Data Elements across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Data Elements linked by a common Business Element</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Preloaded Repository of</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Business Element Definitions applicable to Investment Management Industry</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Data Elements of standard products</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Repository for</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Specification for Data Migration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Specification for Data Uploading </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Features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Upload/Download capabilities – For data definitions of products, spreadsheets, etc.</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Comprehensive Cross-referencing against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Detailed Reporting Capabilities &amp; Ad-hoc Querying.</w:t>
            </w:r>
          </w:p>
          <w:p w:rsidR="00C0086D" w:rsidRPr="000573A0" w:rsidRDefault="00C0086D" w:rsidP="00D572F3">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Key Features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Individual/block level data upload.</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link system elements based on their business definitions.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 view on end-to-end mapping of business data across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define Extract, transformation load rules.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add transformation tables for mapping.</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Handling of multiple versions / upgrades of a system and its mappings.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Definition of central repository and its inflows and outflows can be setup inherently.</w:t>
            </w:r>
          </w:p>
          <w:p w:rsidR="00C0086D" w:rsidRPr="000573A0" w:rsidRDefault="00C0086D" w:rsidP="000573A0">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Framework Features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Flexible user access definition.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Framework on data and GUI screens.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Structured report generation.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Generic search/lookup/print.</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access allows creation of roles/ groups for a business user.</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Provides an ‘Export data’ high speed utility that enables the user to quickly extract the data from the tables in the system either for processing or for future usage of the data. </w:t>
            </w:r>
          </w:p>
          <w:p w:rsidR="00C0086D" w:rsidRPr="000573A0" w:rsidRDefault="00C0086D" w:rsidP="000573A0">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Reporting Features</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Analysis Reports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Detailed view of Business Elements and its mapped report elements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Detailed view of used and unused system data for reporting</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Detailed view of critical Business Elements in terms of report usage </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Matrix view of end-to-end mapping a report generation from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Detailed and Graphical representation of BE mapping status </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Mapping Transformation</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Detailed view of ETL and XReference tables used in Report Elements mapping</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Mapping Tree View</w:t>
            </w:r>
          </w:p>
          <w:p w:rsidR="00C0086D" w:rsidRPr="001E38F1" w:rsidRDefault="00C0086D" w:rsidP="00D572F3">
            <w:pPr>
              <w:pStyle w:val="BulletList0"/>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Tree view of BE  and end-to-end mapping between source and target </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Report Catalog</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Displays the total number of available reports in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Tree view of the reports and the categorization</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Detailed view of the report and the field mappings</w:t>
            </w:r>
          </w:p>
          <w:p w:rsidR="00C0086D" w:rsidRPr="000573A0" w:rsidRDefault="00C0086D" w:rsidP="00D572F3">
            <w:pPr>
              <w:pStyle w:val="BodyPara1"/>
              <w:rPr>
                <w:rFonts w:asciiTheme="minorHAnsi" w:hAnsiTheme="minorHAnsi" w:cs="Arial"/>
                <w:b/>
                <w:color w:val="002060"/>
                <w:sz w:val="24"/>
                <w:u w:val="single"/>
                <w:lang w:bidi="en-US"/>
              </w:rPr>
            </w:pPr>
            <w:r w:rsidRPr="000573A0">
              <w:rPr>
                <w:rFonts w:asciiTheme="minorHAnsi" w:hAnsiTheme="minorHAnsi" w:cs="Arial"/>
                <w:b/>
                <w:color w:val="002060"/>
                <w:sz w:val="24"/>
                <w:u w:val="single"/>
                <w:lang w:bidi="en-US"/>
              </w:rPr>
              <w:t>Benefits</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Business Managers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Unified view of business data across multiple systems.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Clear definition of possible values and transitions for an element.</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Load of educating technical users reduced</w:t>
            </w:r>
          </w:p>
          <w:p w:rsidR="00C0086D" w:rsidRPr="000573A0" w:rsidRDefault="00C0086D" w:rsidP="00D572F3">
            <w:pPr>
              <w:pStyle w:val="DisplayHeading"/>
              <w:rPr>
                <w:rFonts w:asciiTheme="minorHAnsi" w:hAnsiTheme="minorHAnsi" w:cs="Arial"/>
                <w:sz w:val="24"/>
              </w:rPr>
            </w:pPr>
            <w:r w:rsidRPr="000573A0">
              <w:rPr>
                <w:rFonts w:asciiTheme="minorHAnsi" w:hAnsiTheme="minorHAnsi" w:cs="Arial"/>
                <w:sz w:val="24"/>
              </w:rPr>
              <w:t>Technology Managers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Single repository for all the migration and import specifications.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Dependency on Persons with in-depth knowledge reduced due to creation of repository of transitions.</w:t>
            </w:r>
          </w:p>
          <w:p w:rsidR="00C0086D" w:rsidRPr="001E38F1" w:rsidRDefault="00C0086D"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Handling of version updates made very easy and transparent.</w:t>
            </w:r>
          </w:p>
          <w:p w:rsidR="00075750" w:rsidRPr="00873938" w:rsidRDefault="00075750" w:rsidP="00E017D0">
            <w:pPr>
              <w:pStyle w:val="DisplayHeadingOrange"/>
              <w:rPr>
                <w:sz w:val="22"/>
                <w:szCs w:val="22"/>
              </w:rPr>
            </w:pPr>
            <w:r w:rsidRPr="00873938">
              <w:rPr>
                <w:sz w:val="22"/>
                <w:szCs w:val="22"/>
              </w:rPr>
              <w:t>Billing Management System (BMS)</w:t>
            </w:r>
            <w:bookmarkEnd w:id="33"/>
            <w:bookmarkEnd w:id="34"/>
          </w:p>
          <w:p w:rsidR="00075750" w:rsidRPr="00873938" w:rsidRDefault="00075750"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Environment</w:t>
            </w:r>
          </w:p>
          <w:p w:rsidR="00075750" w:rsidRPr="001E38F1" w:rsidRDefault="00075750" w:rsidP="005C6493">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BMS is designed to obtain basic account and balances information from one or more underlying portfolio accounting systems.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will provide for maintenance of additional billing related information, and for doing all the processing required to perform accruals, calculate invoices, review and release invoices, and to create extracts to accounting and AUM type of systems.</w:t>
            </w:r>
          </w:p>
          <w:p w:rsidR="00075750" w:rsidRPr="00873938" w:rsidRDefault="00075750" w:rsidP="005522ED">
            <w:pPr>
              <w:pStyle w:val="BodyPara1"/>
              <w:rPr>
                <w:rFonts w:asciiTheme="minorHAnsi" w:hAnsiTheme="minorHAnsi" w:cs="Arial"/>
                <w:b/>
                <w:color w:val="000080"/>
                <w:szCs w:val="22"/>
                <w:u w:val="single"/>
                <w:lang w:val="en-GB"/>
              </w:rPr>
            </w:pPr>
            <w:bookmarkStart w:id="35" w:name="_Toc168308607"/>
            <w:r w:rsidRPr="00873938">
              <w:rPr>
                <w:rFonts w:asciiTheme="minorHAnsi" w:hAnsiTheme="minorHAnsi" w:cs="Arial"/>
                <w:b/>
                <w:color w:val="000080"/>
                <w:szCs w:val="22"/>
                <w:u w:val="single"/>
                <w:lang w:val="en-GB"/>
              </w:rPr>
              <w:t>Operating Cycle</w:t>
            </w:r>
            <w:bookmarkEnd w:id="35"/>
          </w:p>
          <w:p w:rsidR="00075750" w:rsidRPr="00873938" w:rsidRDefault="00075750" w:rsidP="00075750">
            <w:pPr>
              <w:autoSpaceDE w:val="0"/>
              <w:autoSpaceDN w:val="0"/>
              <w:adjustRightInd w:val="0"/>
              <w:jc w:val="center"/>
              <w:rPr>
                <w:rFonts w:asciiTheme="minorHAnsi" w:hAnsiTheme="minorHAnsi" w:cs="Arial"/>
                <w:sz w:val="22"/>
              </w:rPr>
            </w:pPr>
            <w:r w:rsidRPr="00873938">
              <w:rPr>
                <w:rFonts w:asciiTheme="minorHAnsi" w:hAnsiTheme="minorHAnsi" w:cs="Arial"/>
                <w:noProof/>
                <w:sz w:val="22"/>
              </w:rPr>
              <w:lastRenderedPageBreak/>
              <w:drawing>
                <wp:inline distT="0" distB="0" distL="0" distR="0">
                  <wp:extent cx="5715000" cy="4752975"/>
                  <wp:effectExtent l="19050" t="0" r="0" b="0"/>
                  <wp:docPr id="31" name="Picture 9" descr="BMS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MS flow"/>
                          <pic:cNvPicPr>
                            <a:picLocks noChangeAspect="1" noChangeArrowheads="1"/>
                          </pic:cNvPicPr>
                        </pic:nvPicPr>
                        <pic:blipFill>
                          <a:blip r:embed="rId51" cstate="print"/>
                          <a:srcRect/>
                          <a:stretch>
                            <a:fillRect/>
                          </a:stretch>
                        </pic:blipFill>
                        <pic:spPr bwMode="auto">
                          <a:xfrm>
                            <a:off x="0" y="0"/>
                            <a:ext cx="5715000" cy="4752975"/>
                          </a:xfrm>
                          <a:prstGeom prst="rect">
                            <a:avLst/>
                          </a:prstGeom>
                          <a:noFill/>
                          <a:ln w="9525">
                            <a:noFill/>
                            <a:miter lim="800000"/>
                            <a:headEnd/>
                            <a:tailEnd/>
                          </a:ln>
                        </pic:spPr>
                      </pic:pic>
                    </a:graphicData>
                  </a:graphic>
                </wp:inline>
              </w:drawing>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BMS uploads new account information on a daily basis. All account balances are month-end balances. Account balances for any given month can be uploaded many times – initially at the month-end itself, and subsequently if there are any changes to the balance.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also provides for uploading balances as “provisional” balances, and then subsequently uploading a “final” balance that has been reviewed and approved.</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Once the basic account information has been uploaded to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additional billing parameters can be entered directly into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in the form of billing rules. These rules define the calculation and billing frequency, in-advance or in-arrears billing, the asset bases (e.g. billing based on period starting assets, ending assets, or different flavors of average asset balance), minimum and maximum billing limits, discounts, and various other parameters that define the billing requirements.</w:t>
            </w:r>
          </w:p>
          <w:p w:rsidR="00075750" w:rsidRPr="001E38F1" w:rsidRDefault="00075750" w:rsidP="001E38F1">
            <w:pPr>
              <w:pStyle w:val="BodyPara1"/>
              <w:rPr>
                <w:rFonts w:asciiTheme="minorHAnsi" w:hAnsiTheme="minorHAnsi" w:cs="Times New Roman"/>
                <w:color w:val="3F3F3F"/>
                <w:szCs w:val="22"/>
                <w:lang w:val="en-US" w:bidi="en-US"/>
              </w:rPr>
            </w:pP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then provides functionalities to manage both the monthly accruals process as well as the billing process. It provides for auto generation and release of invoices at scheduled periods, selectively </w:t>
            </w:r>
            <w:r w:rsidRPr="001E38F1">
              <w:rPr>
                <w:rFonts w:asciiTheme="minorHAnsi" w:hAnsiTheme="minorHAnsi" w:cs="Times New Roman"/>
                <w:color w:val="3F3F3F"/>
                <w:szCs w:val="22"/>
                <w:lang w:val="en-US" w:bidi="en-US"/>
              </w:rPr>
              <w:lastRenderedPageBreak/>
              <w:t>“holding” accounts for review prior to releasing the bills, as well as adding adjustments to the bill. Numerous work-flow notifications are also included to facilitate operations.</w:t>
            </w:r>
          </w:p>
          <w:p w:rsidR="00075750" w:rsidRPr="00873938" w:rsidRDefault="00075750" w:rsidP="0043494C">
            <w:pPr>
              <w:autoSpaceDE w:val="0"/>
              <w:autoSpaceDN w:val="0"/>
              <w:adjustRightInd w:val="0"/>
              <w:rPr>
                <w:rFonts w:asciiTheme="minorHAnsi" w:hAnsiTheme="minorHAnsi" w:cs="Arial"/>
                <w:b/>
                <w:color w:val="000080"/>
                <w:sz w:val="22"/>
                <w:u w:val="single"/>
                <w:lang w:val="en-GB"/>
              </w:rPr>
            </w:pPr>
            <w:r w:rsidRPr="00873938">
              <w:rPr>
                <w:rFonts w:asciiTheme="minorHAnsi" w:hAnsiTheme="minorHAnsi" w:cs="Arial"/>
                <w:sz w:val="22"/>
              </w:rPr>
              <w:br w:type="page"/>
            </w:r>
            <w:bookmarkStart w:id="36" w:name="_Toc167881229"/>
            <w:bookmarkStart w:id="37" w:name="_Toc168308608"/>
            <w:r w:rsidRPr="00873938">
              <w:rPr>
                <w:rFonts w:asciiTheme="minorHAnsi" w:hAnsiTheme="minorHAnsi" w:cs="Arial"/>
                <w:b/>
                <w:color w:val="000080"/>
                <w:sz w:val="22"/>
                <w:u w:val="single"/>
                <w:lang w:val="en-GB"/>
              </w:rPr>
              <w:t>Functional Architecture</w:t>
            </w:r>
            <w:bookmarkEnd w:id="36"/>
            <w:bookmarkEnd w:id="37"/>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following schematic provides a high-level overview of the </w:t>
            </w:r>
            <w:smartTag w:uri="urn:schemas-microsoft-com:office:smarttags" w:element="stockticker">
              <w:r w:rsidRPr="001E38F1">
                <w:rPr>
                  <w:rFonts w:asciiTheme="minorHAnsi" w:hAnsiTheme="minorHAnsi" w:cs="Times New Roman"/>
                  <w:color w:val="3F3F3F"/>
                  <w:szCs w:val="22"/>
                  <w:lang w:val="en-US" w:bidi="en-US"/>
                </w:rPr>
                <w:t>BMS</w:t>
              </w:r>
            </w:smartTag>
            <w:r w:rsidRPr="001E38F1">
              <w:rPr>
                <w:rFonts w:asciiTheme="minorHAnsi" w:hAnsiTheme="minorHAnsi" w:cs="Times New Roman"/>
                <w:color w:val="3F3F3F"/>
                <w:szCs w:val="22"/>
                <w:lang w:val="en-US" w:bidi="en-US"/>
              </w:rPr>
              <w:t xml:space="preserve"> design</w:t>
            </w:r>
            <w:r w:rsidR="005C6493" w:rsidRPr="001E38F1">
              <w:rPr>
                <w:rFonts w:asciiTheme="minorHAnsi" w:hAnsiTheme="minorHAnsi" w:cs="Times New Roman"/>
                <w:color w:val="3F3F3F"/>
                <w:szCs w:val="22"/>
                <w:lang w:val="en-US" w:bidi="en-US"/>
              </w:rPr>
              <w:t>:</w:t>
            </w:r>
          </w:p>
          <w:p w:rsidR="00075750" w:rsidRPr="00873938" w:rsidRDefault="00075750" w:rsidP="00075750">
            <w:pPr>
              <w:pStyle w:val="SubList"/>
              <w:tabs>
                <w:tab w:val="left" w:pos="1080"/>
                <w:tab w:val="left" w:pos="2160"/>
                <w:tab w:val="left" w:pos="2880"/>
                <w:tab w:val="left" w:pos="3600"/>
                <w:tab w:val="left" w:pos="4320"/>
                <w:tab w:val="left" w:pos="5040"/>
                <w:tab w:val="left" w:pos="5760"/>
                <w:tab w:val="left" w:pos="6480"/>
                <w:tab w:val="left" w:pos="7200"/>
                <w:tab w:val="left" w:pos="7920"/>
                <w:tab w:val="left" w:pos="8640"/>
              </w:tabs>
              <w:spacing w:before="0" w:after="0"/>
              <w:ind w:left="0"/>
              <w:jc w:val="center"/>
              <w:rPr>
                <w:rFonts w:asciiTheme="minorHAnsi" w:hAnsiTheme="minorHAnsi" w:cs="Arial"/>
                <w:b/>
                <w:bCs/>
                <w:color w:val="000000"/>
                <w:sz w:val="22"/>
                <w:szCs w:val="22"/>
              </w:rPr>
            </w:pPr>
            <w:r w:rsidRPr="00873938">
              <w:rPr>
                <w:rFonts w:asciiTheme="minorHAnsi" w:hAnsiTheme="minorHAnsi" w:cs="Arial"/>
                <w:noProof/>
                <w:sz w:val="22"/>
                <w:szCs w:val="22"/>
              </w:rPr>
              <w:drawing>
                <wp:inline distT="0" distB="0" distL="0" distR="0">
                  <wp:extent cx="5476875" cy="3286125"/>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srcRect/>
                          <a:stretch>
                            <a:fillRect/>
                          </a:stretch>
                        </pic:blipFill>
                        <pic:spPr bwMode="auto">
                          <a:xfrm>
                            <a:off x="0" y="0"/>
                            <a:ext cx="5476875" cy="3286125"/>
                          </a:xfrm>
                          <a:prstGeom prst="rect">
                            <a:avLst/>
                          </a:prstGeom>
                          <a:noFill/>
                          <a:ln w="9525">
                            <a:noFill/>
                            <a:miter lim="800000"/>
                            <a:headEnd/>
                            <a:tailEnd/>
                          </a:ln>
                        </pic:spPr>
                      </pic:pic>
                    </a:graphicData>
                  </a:graphic>
                </wp:inline>
              </w:drawing>
            </w:r>
          </w:p>
          <w:p w:rsidR="00075750" w:rsidRPr="00873938" w:rsidRDefault="00075750" w:rsidP="00075750">
            <w:pPr>
              <w:jc w:val="center"/>
              <w:rPr>
                <w:rFonts w:asciiTheme="minorHAnsi" w:hAnsiTheme="minorHAnsi" w:cs="Arial"/>
                <w:sz w:val="22"/>
                <w:lang w:val="en-GB"/>
              </w:rPr>
            </w:pPr>
          </w:p>
          <w:p w:rsidR="00075750" w:rsidRPr="000573A0" w:rsidRDefault="00075750" w:rsidP="000573A0">
            <w:pPr>
              <w:pStyle w:val="DisplayHeading"/>
              <w:rPr>
                <w:rFonts w:asciiTheme="minorHAnsi" w:hAnsiTheme="minorHAnsi" w:cs="Arial"/>
                <w:sz w:val="24"/>
                <w:u w:val="single"/>
              </w:rPr>
            </w:pPr>
            <w:bookmarkStart w:id="38" w:name="_Toc167881230"/>
            <w:bookmarkStart w:id="39" w:name="_Toc168308609"/>
            <w:r w:rsidRPr="000573A0">
              <w:rPr>
                <w:rFonts w:asciiTheme="minorHAnsi" w:hAnsiTheme="minorHAnsi" w:cs="Arial"/>
                <w:sz w:val="24"/>
                <w:u w:val="single"/>
              </w:rPr>
              <w:t>Key Features</w:t>
            </w:r>
            <w:bookmarkEnd w:id="38"/>
            <w:bookmarkEnd w:id="39"/>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has the following key features:</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Hierarchic Model</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supports definition of an ACCOUNT, PORTFOLIO, PORTFOLIO-SEGMENT, CUSIP, and TAX-LOT. All balances are stored at the portfolio-segment level, and lower level balances at the cusip or tax-lot level are only uploaded if they are needed for the billing calculations.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(Common cases are where certain cusips must be excluded because they are not actively managed, or where mutual funds sponsored by the investment manager have to be backed out to avoid double-billing the clients).</w:t>
            </w:r>
          </w:p>
          <w:p w:rsidR="00075750" w:rsidRPr="00873938" w:rsidRDefault="00075750" w:rsidP="00075750">
            <w:pPr>
              <w:pStyle w:val="BodyPara1"/>
              <w:rPr>
                <w:rFonts w:asciiTheme="minorHAnsi" w:hAnsiTheme="minorHAnsi" w:cs="Arial"/>
                <w:szCs w:val="22"/>
              </w:rPr>
            </w:pPr>
            <w:r w:rsidRPr="001E38F1">
              <w:rPr>
                <w:rFonts w:asciiTheme="minorHAnsi" w:hAnsiTheme="minorHAnsi" w:cs="Times New Roman"/>
                <w:color w:val="3F3F3F"/>
                <w:szCs w:val="22"/>
                <w:lang w:val="en-US" w:bidi="en-US"/>
              </w:rPr>
              <w:t>Billing rules can be defined at the client, account, or the portfolio level. The rule applies to all entities</w:t>
            </w:r>
            <w:r w:rsidRPr="00873938">
              <w:rPr>
                <w:rFonts w:asciiTheme="minorHAnsi" w:hAnsiTheme="minorHAnsi" w:cs="Arial"/>
                <w:szCs w:val="22"/>
              </w:rPr>
              <w:t xml:space="preserve"> </w:t>
            </w:r>
            <w:r w:rsidRPr="001E38F1">
              <w:rPr>
                <w:rFonts w:asciiTheme="minorHAnsi" w:hAnsiTheme="minorHAnsi" w:cs="Times New Roman"/>
                <w:color w:val="3F3F3F"/>
                <w:szCs w:val="22"/>
                <w:lang w:val="en-US" w:bidi="en-US"/>
              </w:rPr>
              <w:lastRenderedPageBreak/>
              <w:t>that roll up to that level.</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Flexible Fee Definition and Presentment</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definition of any number of rules for an account, and therefore, any number of fee types for an account. Each rule can specify its own calculation and billing frequency, asset basis, minimum/maximums, discounts, and so on. Each fee can be charged to the clients in multiple ways such as direct deduct, hard-copy invoice, etc. In addition, each fee can be presented in a separate invoice, or multiple fees may be combined into one invoice for presentment to the customer.</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Any number of formats can be defined for an invoice, and BMS can be configured to automatically send additional copies of invoices to other addresses.</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Account Aggregation</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provides supports definition of a RELATIONSHIP that links multiple accounts. Billing rules can be defined at the relationship level also, and BMS will aggregate assets across accounts for the purposes of determining the appropriate billing rate. This allows customers, whether institutional or private client, to pool their assets to obtain a more beneficial billing rate.</w:t>
            </w:r>
          </w:p>
          <w:p w:rsidR="00075750" w:rsidRPr="00873938" w:rsidRDefault="00075750" w:rsidP="00401DEE">
            <w:pPr>
              <w:pStyle w:val="DisplayHeading"/>
              <w:rPr>
                <w:rFonts w:asciiTheme="minorHAnsi" w:hAnsiTheme="minorHAnsi" w:cs="Arial"/>
                <w:szCs w:val="22"/>
              </w:rPr>
            </w:pPr>
            <w:r w:rsidRPr="000573A0">
              <w:rPr>
                <w:rFonts w:asciiTheme="minorHAnsi" w:hAnsiTheme="minorHAnsi" w:cs="Arial"/>
                <w:sz w:val="24"/>
              </w:rPr>
              <w:t>Billing Segments</w:t>
            </w:r>
            <w:r w:rsidRPr="00873938">
              <w:rPr>
                <w:rFonts w:asciiTheme="minorHAnsi" w:hAnsiTheme="minorHAnsi" w:cs="Arial"/>
                <w:szCs w:val="22"/>
              </w:rPr>
              <w:tab/>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upload of portfolio balances by segment. Therefore, BMS provides flexibilities such as excluding CASH from the billable assets, or in applying certain functions only to the EQUITIES portion of the portfolio, and so on.</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Cash Flows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upload of cash flow information (contributions and withdrawals) from the underlying portfolio accounting system. Portfolios can be marked to reflect the impact of these cash flows on the invoice in multiple ways. An account can be marked to always adjust for cash flows, to never adjust for cash flows, or to selectively adjust only if the cash flows exceed a defined threshold. All system adjustments are notified via work-flow to the concerned account owner for review and approval prior to release of the invoice.</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Custodial Balances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BMS allows data entry of account balances as reported by the custodian. The account can be set up to calculate bills based on these balances rather than on the balances uploaded from the portfolio accounting system.</w:t>
            </w:r>
          </w:p>
          <w:p w:rsidR="00075750" w:rsidRPr="000573A0" w:rsidRDefault="00075750" w:rsidP="00401DEE">
            <w:pPr>
              <w:pStyle w:val="DisplayHeading"/>
              <w:rPr>
                <w:rFonts w:asciiTheme="minorHAnsi" w:hAnsiTheme="minorHAnsi" w:cs="Arial"/>
                <w:sz w:val="24"/>
              </w:rPr>
            </w:pPr>
            <w:r w:rsidRPr="000573A0">
              <w:rPr>
                <w:rFonts w:asciiTheme="minorHAnsi" w:hAnsiTheme="minorHAnsi" w:cs="Arial"/>
                <w:sz w:val="24"/>
              </w:rPr>
              <w:t>Audit and Security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BMS provides for a flexible setup of users and groups, and allows different access levels to each group </w:t>
            </w:r>
            <w:r w:rsidRPr="001E38F1">
              <w:rPr>
                <w:rFonts w:asciiTheme="minorHAnsi" w:hAnsiTheme="minorHAnsi" w:cs="Times New Roman"/>
                <w:color w:val="3F3F3F"/>
                <w:szCs w:val="22"/>
                <w:lang w:val="en-US" w:bidi="en-US"/>
              </w:rPr>
              <w:lastRenderedPageBreak/>
              <w:t>for all functions provided. In addition, an audit trail is maintained of all maintenance activity as well as any adjustments done to billing parameters or invoices, for audit control purposes.</w:t>
            </w:r>
            <w:bookmarkStart w:id="40" w:name="_Toc167881231"/>
            <w:bookmarkStart w:id="41" w:name="_Toc168308611"/>
            <w:r w:rsidRPr="001E38F1">
              <w:rPr>
                <w:rFonts w:asciiTheme="minorHAnsi" w:hAnsiTheme="minorHAnsi" w:cs="Times New Roman"/>
                <w:color w:val="3F3F3F"/>
                <w:szCs w:val="22"/>
                <w:lang w:val="en-US" w:bidi="en-US"/>
              </w:rPr>
              <w:t xml:space="preserve"> </w:t>
            </w:r>
          </w:p>
          <w:p w:rsidR="00075750" w:rsidRPr="00873938" w:rsidRDefault="00075750"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Technology</w:t>
            </w:r>
            <w:bookmarkEnd w:id="40"/>
            <w:r w:rsidRPr="00873938">
              <w:rPr>
                <w:rFonts w:asciiTheme="minorHAnsi" w:hAnsiTheme="minorHAnsi" w:cs="Arial"/>
                <w:b/>
                <w:color w:val="000080"/>
                <w:szCs w:val="22"/>
                <w:u w:val="single"/>
                <w:lang w:val="en-GB"/>
              </w:rPr>
              <w:t xml:space="preserve"> Architecture</w:t>
            </w:r>
            <w:bookmarkEnd w:id="41"/>
          </w:p>
          <w:p w:rsidR="00075750" w:rsidRPr="00873938" w:rsidRDefault="00075750" w:rsidP="00401DEE">
            <w:pPr>
              <w:pStyle w:val="DisplayHeading"/>
              <w:rPr>
                <w:rFonts w:asciiTheme="minorHAnsi" w:hAnsiTheme="minorHAnsi" w:cs="Arial"/>
                <w:szCs w:val="22"/>
              </w:rPr>
            </w:pPr>
          </w:p>
          <w:p w:rsidR="00075750" w:rsidRPr="00873938" w:rsidRDefault="00075750" w:rsidP="00075750">
            <w:pPr>
              <w:rPr>
                <w:rFonts w:asciiTheme="minorHAnsi" w:hAnsiTheme="minorHAnsi" w:cs="Arial"/>
                <w:sz w:val="22"/>
              </w:rPr>
            </w:pPr>
            <w:r w:rsidRPr="00873938">
              <w:rPr>
                <w:rFonts w:asciiTheme="minorHAnsi" w:hAnsiTheme="minorHAnsi" w:cs="Arial"/>
                <w:noProof/>
                <w:sz w:val="22"/>
              </w:rPr>
              <w:drawing>
                <wp:inline distT="0" distB="0" distL="0" distR="0">
                  <wp:extent cx="5581650" cy="3295650"/>
                  <wp:effectExtent l="19050" t="0" r="0" b="0"/>
                  <wp:docPr id="97" name="Picture 9" descr="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1"/>
                          <pic:cNvPicPr>
                            <a:picLocks noChangeAspect="1" noChangeArrowheads="1"/>
                          </pic:cNvPicPr>
                        </pic:nvPicPr>
                        <pic:blipFill>
                          <a:blip r:embed="rId53" cstate="print"/>
                          <a:srcRect/>
                          <a:stretch>
                            <a:fillRect/>
                          </a:stretch>
                        </pic:blipFill>
                        <pic:spPr bwMode="auto">
                          <a:xfrm>
                            <a:off x="0" y="0"/>
                            <a:ext cx="5581650" cy="3295650"/>
                          </a:xfrm>
                          <a:prstGeom prst="rect">
                            <a:avLst/>
                          </a:prstGeom>
                          <a:noFill/>
                          <a:ln w="9525">
                            <a:noFill/>
                            <a:miter lim="800000"/>
                            <a:headEnd/>
                            <a:tailEnd/>
                          </a:ln>
                        </pic:spPr>
                      </pic:pic>
                    </a:graphicData>
                  </a:graphic>
                </wp:inline>
              </w:drawing>
            </w:r>
          </w:p>
          <w:p w:rsidR="00075750" w:rsidRPr="00873938" w:rsidRDefault="00075750" w:rsidP="0043494C">
            <w:pPr>
              <w:rPr>
                <w:rFonts w:asciiTheme="minorHAnsi" w:hAnsiTheme="minorHAnsi" w:cs="Arial"/>
                <w:sz w:val="22"/>
              </w:rPr>
            </w:pPr>
            <w:r w:rsidRPr="00873938">
              <w:rPr>
                <w:rFonts w:asciiTheme="minorHAnsi" w:hAnsiTheme="minorHAnsi" w:cs="Arial"/>
                <w:sz w:val="22"/>
              </w:rPr>
              <w:br w:type="page"/>
            </w:r>
            <w:bookmarkStart w:id="42" w:name="_Toc210825865"/>
            <w:bookmarkEnd w:id="42"/>
            <w:r w:rsidR="0043494C" w:rsidRPr="00873938">
              <w:rPr>
                <w:rFonts w:asciiTheme="minorHAnsi" w:hAnsiTheme="minorHAnsi" w:cs="Arial"/>
                <w:sz w:val="22"/>
              </w:rPr>
              <w:tab/>
            </w:r>
          </w:p>
          <w:p w:rsidR="00075750" w:rsidRPr="00873938" w:rsidRDefault="00075750" w:rsidP="00E017D0">
            <w:pPr>
              <w:pStyle w:val="DisplayHeadingOrange"/>
              <w:rPr>
                <w:sz w:val="22"/>
                <w:szCs w:val="22"/>
              </w:rPr>
            </w:pPr>
            <w:bookmarkStart w:id="43" w:name="_Toc258944705"/>
            <w:bookmarkStart w:id="44" w:name="_Toc258955650"/>
            <w:r w:rsidRPr="00873938">
              <w:rPr>
                <w:sz w:val="22"/>
                <w:szCs w:val="22"/>
              </w:rPr>
              <w:t>Wealth Director</w:t>
            </w:r>
            <w:bookmarkEnd w:id="43"/>
            <w:bookmarkEnd w:id="44"/>
          </w:p>
          <w:p w:rsidR="00075750" w:rsidRPr="00873938" w:rsidRDefault="00075750" w:rsidP="005522ED">
            <w:pPr>
              <w:pStyle w:val="BodyPara1"/>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Overview</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 DirectorTM helps Financial Advisors manage lifetime assets of high net worth Clients with ease.  WD provides accessibility to both Financial Advisors and Individual Investors across offices worldwide. Wealth DirectorTM gathers information of all assets, liabilities and products of the client and applies this information to the customer's lifestyle and events to create positive and profitable experiences for the clients. In addition to the above, with the aim of better serving high net worth clients, it enables definitions of sophisticated asset allocation models and risk management technologies used by the big financial houses.</w:t>
            </w:r>
          </w:p>
          <w:p w:rsidR="00075750" w:rsidRPr="001E38F1" w:rsidRDefault="00075750" w:rsidP="001E38F1">
            <w:pPr>
              <w:pStyle w:val="BodyPara1"/>
              <w:jc w:val="center"/>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lastRenderedPageBreak/>
              <w:drawing>
                <wp:inline distT="0" distB="0" distL="0" distR="0">
                  <wp:extent cx="4152900" cy="4791075"/>
                  <wp:effectExtent l="38100" t="19050" r="19050" b="28575"/>
                  <wp:docPr id="99" name="Picture 1" descr="two-pa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o-pager"/>
                          <pic:cNvPicPr>
                            <a:picLocks noChangeAspect="1" noChangeArrowheads="1"/>
                          </pic:cNvPicPr>
                        </pic:nvPicPr>
                        <pic:blipFill>
                          <a:blip r:embed="rId54" cstate="print"/>
                          <a:srcRect/>
                          <a:stretch>
                            <a:fillRect/>
                          </a:stretch>
                        </pic:blipFill>
                        <pic:spPr bwMode="auto">
                          <a:xfrm>
                            <a:off x="0" y="0"/>
                            <a:ext cx="4152900" cy="4791075"/>
                          </a:xfrm>
                          <a:prstGeom prst="rect">
                            <a:avLst/>
                          </a:prstGeom>
                          <a:noFill/>
                          <a:ln w="19050" cmpd="sng">
                            <a:solidFill>
                              <a:srgbClr val="000000"/>
                            </a:solidFill>
                            <a:miter lim="800000"/>
                            <a:headEnd/>
                            <a:tailEnd/>
                          </a:ln>
                          <a:effectLst/>
                        </pic:spPr>
                      </pic:pic>
                    </a:graphicData>
                  </a:graphic>
                </wp:inline>
              </w:drawing>
            </w:r>
          </w:p>
          <w:p w:rsidR="00075750" w:rsidRPr="001E38F1" w:rsidRDefault="00075750" w:rsidP="001E38F1">
            <w:pPr>
              <w:pStyle w:val="BodyPara1"/>
              <w:rPr>
                <w:rFonts w:asciiTheme="minorHAnsi" w:hAnsiTheme="minorHAnsi" w:cs="Times New Roman"/>
                <w:color w:val="3F3F3F"/>
                <w:szCs w:val="22"/>
                <w:lang w:val="en-US" w:bidi="en-US"/>
              </w:rPr>
            </w:pP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WealthDirector was developed in association with HnetWorth Inc,New Jersey, US based financial solutions company. Hexaware is the technical development partner and owns the right for implementing the software and doing client customizations.</w:t>
            </w:r>
          </w:p>
          <w:p w:rsidR="00075750" w:rsidRPr="000573A0" w:rsidRDefault="00075750" w:rsidP="005522ED">
            <w:pPr>
              <w:pStyle w:val="BodyPara1"/>
              <w:rPr>
                <w:rFonts w:asciiTheme="minorHAnsi" w:hAnsiTheme="minorHAnsi" w:cs="Arial"/>
                <w:b/>
                <w:color w:val="002060"/>
                <w:sz w:val="24"/>
                <w:lang w:bidi="en-US"/>
              </w:rPr>
            </w:pPr>
            <w:bookmarkStart w:id="45" w:name="_Toc183279462"/>
            <w:r w:rsidRPr="000573A0">
              <w:rPr>
                <w:rFonts w:asciiTheme="minorHAnsi" w:hAnsiTheme="minorHAnsi" w:cs="Arial"/>
                <w:b/>
                <w:color w:val="002060"/>
                <w:sz w:val="24"/>
                <w:lang w:bidi="en-US"/>
              </w:rPr>
              <w:t>Key Features</w:t>
            </w:r>
            <w:bookmarkEnd w:id="45"/>
            <w:r w:rsidRPr="000573A0">
              <w:rPr>
                <w:rFonts w:asciiTheme="minorHAnsi" w:hAnsiTheme="minorHAnsi" w:cs="Arial"/>
                <w:b/>
                <w:color w:val="002060"/>
                <w:sz w:val="24"/>
                <w:lang w:bidi="en-US"/>
              </w:rPr>
              <w:t xml:space="preserv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Captures prospective client details, portfolio and risk profile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Recommends market segment specific and risk specific asset allocation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Recommends relevant Equity, Mutual Funds, Bonds etc. based on the predefined algorithms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Executes financial plan on approval by client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Gateways with banks, portfolio management systems, pricing vendors and other agencies.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 xml:space="preserve">Tracks holdings against model portfolios for deviations and returns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Allows client to review risk profile and re-align financial plan at frequent intervals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Has CRM capabilities - tasks, reminders, meetings etc for better planned customer interactions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Dynamic User Access Controls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Generic Risk Questionnaire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Document Management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Enables single point contact for client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Supports client with specialists for each sector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Supports in-house/external Financial Advisors/Specialists </w:t>
            </w:r>
          </w:p>
          <w:p w:rsidR="00075750" w:rsidRPr="000573A0" w:rsidRDefault="00075750" w:rsidP="005522ED">
            <w:pPr>
              <w:pStyle w:val="BodyPara1"/>
              <w:rPr>
                <w:rFonts w:asciiTheme="minorHAnsi" w:hAnsiTheme="minorHAnsi" w:cs="Arial"/>
                <w:b/>
                <w:color w:val="002060"/>
                <w:sz w:val="24"/>
                <w:lang w:bidi="en-US"/>
              </w:rPr>
            </w:pPr>
            <w:bookmarkStart w:id="46" w:name="_Toc183279463"/>
            <w:r w:rsidRPr="000573A0">
              <w:rPr>
                <w:rFonts w:asciiTheme="minorHAnsi" w:hAnsiTheme="minorHAnsi" w:cs="Arial"/>
                <w:b/>
                <w:color w:val="002060"/>
                <w:sz w:val="24"/>
                <w:lang w:bidi="en-US"/>
              </w:rPr>
              <w:t>Asset Classes Covered</w:t>
            </w:r>
            <w:bookmarkEnd w:id="46"/>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Wealth DirectorTM proposes to capture of information and advisory agencies for the following segments.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Stocks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Bonds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Funds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Other Assets &amp; Liabilities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Cash Flows (income &amp; expenses) </w:t>
            </w:r>
          </w:p>
          <w:p w:rsidR="00075750" w:rsidRPr="00873938" w:rsidRDefault="00075750" w:rsidP="003453B3">
            <w:pPr>
              <w:pStyle w:val="BulletList0"/>
              <w:numPr>
                <w:ilvl w:val="0"/>
                <w:numId w:val="13"/>
              </w:numPr>
              <w:spacing w:line="276" w:lineRule="auto"/>
              <w:ind w:hanging="288"/>
              <w:jc w:val="both"/>
              <w:rPr>
                <w:rFonts w:asciiTheme="minorHAnsi" w:hAnsiTheme="minorHAnsi" w:cs="Arial"/>
                <w:b/>
                <w:bCs/>
                <w:color w:val="2D406A"/>
                <w:szCs w:val="22"/>
              </w:rPr>
            </w:pPr>
            <w:r w:rsidRPr="001E38F1">
              <w:rPr>
                <w:rFonts w:asciiTheme="minorHAnsi" w:hAnsiTheme="minorHAnsi" w:cs="Times New Roman"/>
                <w:color w:val="3F3F3F"/>
                <w:szCs w:val="22"/>
                <w:lang w:val="en-US" w:bidi="en-US"/>
              </w:rPr>
              <w:t>Insurance</w:t>
            </w:r>
            <w:bookmarkStart w:id="47" w:name="_Toc183279464"/>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Benefits</w:t>
            </w:r>
            <w:bookmarkEnd w:id="47"/>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 DirectorTM offers numerous benefits for global deployment of a centralized asset management solution. Some of the salient benefits include:</w:t>
            </w:r>
          </w:p>
          <w:p w:rsidR="00075750" w:rsidRPr="00873938" w:rsidRDefault="00075750" w:rsidP="000573A0">
            <w:pPr>
              <w:pStyle w:val="BodyPara1"/>
              <w:rPr>
                <w:rFonts w:asciiTheme="minorHAnsi" w:hAnsiTheme="minorHAnsi" w:cs="Arial"/>
                <w:szCs w:val="22"/>
              </w:rPr>
            </w:pPr>
            <w:r w:rsidRPr="00873938">
              <w:rPr>
                <w:rStyle w:val="heading12"/>
                <w:rFonts w:asciiTheme="minorHAnsi" w:hAnsiTheme="minorHAnsi"/>
                <w:b w:val="0"/>
                <w:bCs w:val="0"/>
                <w:color w:val="002060"/>
                <w:sz w:val="22"/>
                <w:szCs w:val="22"/>
              </w:rPr>
              <w:br w:type="page"/>
            </w:r>
            <w:r w:rsidRPr="000573A0">
              <w:rPr>
                <w:rFonts w:asciiTheme="minorHAnsi" w:hAnsiTheme="minorHAnsi" w:cs="Arial"/>
                <w:b/>
                <w:color w:val="002060"/>
                <w:sz w:val="24"/>
                <w:lang w:bidi="en-US"/>
              </w:rPr>
              <w:t>For Clients</w:t>
            </w:r>
            <w:r w:rsidRPr="00873938">
              <w:rPr>
                <w:rFonts w:asciiTheme="minorHAnsi" w:hAnsiTheme="minorHAnsi" w:cs="Arial"/>
                <w:szCs w:val="22"/>
              </w:rPr>
              <w:t xml:space="preserv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Multiple revisions of risk profile is possible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Consolidated view of all their assets/cash flows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Umbrella services covering major products addition to tradable portfolio planning available.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Online access to returns, risks and recommendations for the entire spectrum of assets.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Safe, Reliable and Scalable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For Business Users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Online proposal generation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Multiple investment scenario analysis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Availability of advisory services and advisors to provide recommendations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 xml:space="preserve">Asset allocation and manager selection tailoring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Strategic investment planning as client needs evolve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Monitoring significant changes in client's portfolio</w:t>
            </w:r>
          </w:p>
          <w:p w:rsidR="00075750" w:rsidRPr="00873938" w:rsidRDefault="00075750" w:rsidP="005522ED">
            <w:pPr>
              <w:pStyle w:val="BodyPara1"/>
              <w:rPr>
                <w:rFonts w:asciiTheme="minorHAnsi" w:hAnsiTheme="minorHAnsi" w:cs="Arial"/>
                <w:b/>
                <w:color w:val="000080"/>
                <w:szCs w:val="22"/>
                <w:u w:val="single"/>
                <w:lang w:val="en-GB"/>
              </w:rPr>
            </w:pPr>
            <w:bookmarkStart w:id="48" w:name="_Toc148426240"/>
            <w:bookmarkStart w:id="49" w:name="_Toc148429405"/>
            <w:bookmarkStart w:id="50" w:name="_Toc183279465"/>
            <w:r w:rsidRPr="00873938">
              <w:rPr>
                <w:rFonts w:asciiTheme="minorHAnsi" w:hAnsiTheme="minorHAnsi" w:cs="Arial"/>
                <w:b/>
                <w:color w:val="000080"/>
                <w:szCs w:val="22"/>
                <w:u w:val="single"/>
                <w:lang w:val="en-GB"/>
              </w:rPr>
              <w:t>Functional Architecture</w:t>
            </w:r>
            <w:bookmarkEnd w:id="48"/>
            <w:bookmarkEnd w:id="49"/>
            <w:bookmarkEnd w:id="50"/>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drawing>
                <wp:anchor distT="0" distB="0" distL="114300" distR="114300" simplePos="0" relativeHeight="251673088" behindDoc="1" locked="0" layoutInCell="1" allowOverlap="1">
                  <wp:simplePos x="0" y="0"/>
                  <wp:positionH relativeFrom="column">
                    <wp:posOffset>1986280</wp:posOffset>
                  </wp:positionH>
                  <wp:positionV relativeFrom="paragraph">
                    <wp:posOffset>57150</wp:posOffset>
                  </wp:positionV>
                  <wp:extent cx="4091940" cy="3022600"/>
                  <wp:effectExtent l="19050" t="0" r="3810" b="0"/>
                  <wp:wrapTight wrapText="bothSides">
                    <wp:wrapPolygon edited="0">
                      <wp:start x="-101" y="0"/>
                      <wp:lineTo x="-101" y="21509"/>
                      <wp:lineTo x="21620" y="21509"/>
                      <wp:lineTo x="21620" y="0"/>
                      <wp:lineTo x="-101" y="0"/>
                    </wp:wrapPolygon>
                  </wp:wrapTight>
                  <wp:docPr id="100" name="Picture 2" descr="functional arch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nctional arch picture"/>
                          <pic:cNvPicPr>
                            <a:picLocks noChangeAspect="1" noChangeArrowheads="1"/>
                          </pic:cNvPicPr>
                        </pic:nvPicPr>
                        <pic:blipFill>
                          <a:blip r:embed="rId55" cstate="print"/>
                          <a:srcRect/>
                          <a:stretch>
                            <a:fillRect/>
                          </a:stretch>
                        </pic:blipFill>
                        <pic:spPr bwMode="auto">
                          <a:xfrm>
                            <a:off x="0" y="0"/>
                            <a:ext cx="4091940" cy="3022600"/>
                          </a:xfrm>
                          <a:prstGeom prst="rect">
                            <a:avLst/>
                          </a:prstGeom>
                          <a:noFill/>
                          <a:ln w="9525">
                            <a:noFill/>
                            <a:miter lim="800000"/>
                            <a:headEnd/>
                            <a:tailEnd/>
                          </a:ln>
                        </pic:spPr>
                      </pic:pic>
                    </a:graphicData>
                  </a:graphic>
                </wp:anchor>
              </w:drawing>
            </w:r>
            <w:r w:rsidRPr="001E38F1">
              <w:rPr>
                <w:rFonts w:asciiTheme="minorHAnsi" w:hAnsiTheme="minorHAnsi" w:cs="Times New Roman"/>
                <w:color w:val="3F3F3F"/>
                <w:szCs w:val="22"/>
                <w:lang w:val="en-US" w:bidi="en-US"/>
              </w:rPr>
              <w:t>Wealth Director is powered by ProFra (Hexaware’s proprietary framework for rapid product development), which makes it more robust and open for structured upgrades.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ProFra supports dynamic menu formation, user access control, and generic tablets in home pages, flexible sort and filter conditions, specific lookup searches etc. ProFra provides print, email, document management, error handling and cache management services in an integrated manner.</w:t>
            </w:r>
          </w:p>
          <w:p w:rsidR="00075750" w:rsidRPr="001E38F1" w:rsidRDefault="00075750" w:rsidP="00075750">
            <w:pPr>
              <w:pStyle w:val="BodyPara1"/>
              <w:rPr>
                <w:rFonts w:asciiTheme="minorHAnsi" w:hAnsiTheme="minorHAnsi" w:cs="Times New Roman"/>
                <w:color w:val="3F3F3F"/>
                <w:szCs w:val="22"/>
                <w:lang w:val="en-US" w:bidi="en-US"/>
              </w:rPr>
            </w:pPr>
            <w:bookmarkStart w:id="51" w:name="_Toc146950155"/>
            <w:r w:rsidRPr="001E38F1">
              <w:rPr>
                <w:rFonts w:asciiTheme="minorHAnsi" w:hAnsiTheme="minorHAnsi" w:cs="Times New Roman"/>
                <w:color w:val="3F3F3F"/>
                <w:szCs w:val="22"/>
                <w:lang w:val="en-US" w:bidi="en-US"/>
              </w:rPr>
              <w:t>The product has the following major components:</w:t>
            </w:r>
          </w:p>
          <w:p w:rsidR="00075750" w:rsidRPr="000573A0" w:rsidRDefault="00075750" w:rsidP="000573A0">
            <w:pPr>
              <w:pStyle w:val="BodyPara1"/>
              <w:rPr>
                <w:rFonts w:asciiTheme="minorHAnsi" w:hAnsiTheme="minorHAnsi" w:cs="Arial"/>
                <w:b/>
                <w:color w:val="002060"/>
                <w:sz w:val="24"/>
                <w:lang w:bidi="en-US"/>
              </w:rPr>
            </w:pPr>
            <w:bookmarkStart w:id="52" w:name="_Toc146950156"/>
            <w:bookmarkEnd w:id="51"/>
            <w:r w:rsidRPr="000573A0">
              <w:rPr>
                <w:rFonts w:asciiTheme="minorHAnsi" w:hAnsiTheme="minorHAnsi" w:cs="Arial"/>
                <w:b/>
                <w:color w:val="002060"/>
                <w:sz w:val="24"/>
                <w:lang w:bidi="en-US"/>
              </w:rPr>
              <w:t>Core Engine</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Core engine contains customizable modules which can work independently or work together to suit needs.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Contact Tracker: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module handles the capture of contact info either manually or uploads from host systems and assigning, tracking and conversion of contact into a prospect by the FA. The system automatically generates a new user ID and password for the prospects.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Profile Collator: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This module enables either the prospect or FA to enter the investments, goals and personal information of client / dependants. It also has a dynamic risk profile questionnaire. This will build </w:t>
            </w:r>
            <w:r w:rsidRPr="001E38F1">
              <w:rPr>
                <w:rFonts w:asciiTheme="minorHAnsi" w:hAnsiTheme="minorHAnsi" w:cs="Times New Roman"/>
                <w:color w:val="3F3F3F"/>
                <w:szCs w:val="22"/>
                <w:lang w:val="en-US" w:bidi="en-US"/>
              </w:rPr>
              <w:lastRenderedPageBreak/>
              <w:t>the client profile which is the base for asset allocation.</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Proposal Generator: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module generated the asset allocation proposal based on the profile of the client and on approval generates the individual product recommendation for the asset classes. It enables the individual specialists for each asset class to make / refine the recommendations. It enables the FA to co-ordinates the proposal and send the final plan to client for approval.</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Performance Tracker: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module tracks the assets of the client as per the approved asset allocation / product recommendation Benchmark. It tracks the deviation in terms of allocation or risk or return on the investment on a periodic basis. This gives a web based holistic view of the investment to the client at all times.</w:t>
            </w:r>
          </w:p>
          <w:p w:rsidR="00075750" w:rsidRPr="000573A0" w:rsidRDefault="00075750" w:rsidP="000573A0">
            <w:pPr>
              <w:pStyle w:val="BodyPara1"/>
              <w:rPr>
                <w:rFonts w:asciiTheme="minorHAnsi" w:hAnsiTheme="minorHAnsi" w:cs="Arial"/>
                <w:b/>
                <w:color w:val="002060"/>
                <w:sz w:val="24"/>
                <w:lang w:bidi="en-US"/>
              </w:rPr>
            </w:pPr>
            <w:bookmarkStart w:id="53" w:name="_Toc146950158"/>
            <w:r w:rsidRPr="000573A0">
              <w:rPr>
                <w:rFonts w:asciiTheme="minorHAnsi" w:hAnsiTheme="minorHAnsi" w:cs="Arial"/>
                <w:b/>
                <w:color w:val="002060"/>
                <w:sz w:val="24"/>
                <w:lang w:bidi="en-US"/>
              </w:rPr>
              <w:t>Import / Export Gateways</w:t>
            </w:r>
            <w:bookmarkEnd w:id="53"/>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Wealth Director™ uses its own default gateways for interactions with external system.</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insulates the system from changes influenced by external systems and impacts on multiple customizations. The defined Gateways for imports and exports are listed below.</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Import Gateways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Banking Systems – Day end balances of Savings / Money market accounts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Mutual funds – Net Asset Values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Pricing Vendors – Forex Rates, Equity / Bond Pricing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Trading Systems – Trade Confirmations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Accounting Systems – New accounts, Client Holdings , client transactions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Export Gateways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Banking Systems – Funds Transfer between accounts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Trading Systems – Orders arising out of portfolio tracking / mismatch</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Portfolio Accounting System – Client Cash flows</w:t>
            </w:r>
          </w:p>
          <w:p w:rsidR="00075750"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When interacting with Clients systems, WD expects the local system to deliver the data to the gateway in the CSV format for the specific gateway.  If the Local system delivers the data in other format, the same need to be customized at additional cost.</w:t>
            </w:r>
          </w:p>
          <w:p w:rsidR="00D23EE4" w:rsidRPr="001E38F1" w:rsidRDefault="00D23EE4" w:rsidP="00075750">
            <w:pPr>
              <w:pStyle w:val="BodyPara1"/>
              <w:rPr>
                <w:rFonts w:asciiTheme="minorHAnsi" w:hAnsiTheme="minorHAnsi" w:cs="Times New Roman"/>
                <w:color w:val="3F3F3F"/>
                <w:szCs w:val="22"/>
                <w:lang w:val="en-US" w:bidi="en-US"/>
              </w:rPr>
            </w:pP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lastRenderedPageBreak/>
              <w:t>CRM Support Services</w:t>
            </w:r>
            <w:bookmarkEnd w:id="52"/>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Interactions between clients, prospects and advisors are managed by sending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Alerts / Meeting requests / Reminders</w:t>
            </w:r>
          </w:p>
          <w:p w:rsidR="00075750" w:rsidRPr="001E38F1" w:rsidRDefault="00075750" w:rsidP="001E38F1">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Task creation</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To track and complete activities including profile submission</w:t>
            </w:r>
          </w:p>
          <w:p w:rsidR="00075750" w:rsidRPr="000573A0" w:rsidRDefault="00075750" w:rsidP="000573A0">
            <w:pPr>
              <w:pStyle w:val="BodyPara1"/>
              <w:rPr>
                <w:rFonts w:asciiTheme="minorHAnsi" w:hAnsiTheme="minorHAnsi" w:cs="Arial"/>
                <w:b/>
                <w:color w:val="002060"/>
                <w:sz w:val="24"/>
                <w:lang w:bidi="en-US"/>
              </w:rPr>
            </w:pPr>
            <w:bookmarkStart w:id="54" w:name="_Toc146950157"/>
            <w:r w:rsidRPr="000573A0">
              <w:rPr>
                <w:rFonts w:asciiTheme="minorHAnsi" w:hAnsiTheme="minorHAnsi" w:cs="Arial"/>
                <w:b/>
                <w:color w:val="002060"/>
                <w:sz w:val="24"/>
                <w:lang w:bidi="en-US"/>
              </w:rPr>
              <w:t>Information Delivery Channels</w:t>
            </w:r>
            <w:bookmarkEnd w:id="54"/>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File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Uploading documents in a secured location in the company servers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Uploading documents types such as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873938">
              <w:t>.</w:t>
            </w:r>
            <w:r w:rsidRPr="001E38F1">
              <w:rPr>
                <w:rFonts w:asciiTheme="minorHAnsi" w:hAnsiTheme="minorHAnsi" w:cs="Times New Roman"/>
                <w:color w:val="3F3F3F"/>
                <w:szCs w:val="22"/>
                <w:lang w:val="en-US" w:bidi="en-US"/>
              </w:rPr>
              <w:t xml:space="preserve">xls – MS Excel files,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.doc – MS Word files,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.pdf – Adobe Portable Document format,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.jpg – Images,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.txt – Generic text files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Storing the uploaded files under a directory specific to the prospect / client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Restricting unauthorized users to access / open the documents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Dynamic linking of documents to a related transaction for ease of reference</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Email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mails follow specified email patterns stored as templates.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Generation Options - Online or  Batch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Option to specify </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Importance – High / Normal / Low</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Sensitivity – Personal / Private / Confidential</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Bcc to a specified email –id</w:t>
            </w:r>
          </w:p>
          <w:p w:rsidR="00075750" w:rsidRPr="001E38F1" w:rsidRDefault="00075750" w:rsidP="003453B3">
            <w:pPr>
              <w:pStyle w:val="BulletList3"/>
              <w:numPr>
                <w:ilvl w:val="0"/>
                <w:numId w:val="20"/>
              </w:numPr>
              <w:ind w:left="810"/>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Reply to  for the FA for system generated mails</w:t>
            </w:r>
          </w:p>
          <w:p w:rsidR="00075750" w:rsidRPr="00873938" w:rsidRDefault="00075750" w:rsidP="00921841">
            <w:pPr>
              <w:pStyle w:val="BodyText2"/>
              <w:rPr>
                <w:rFonts w:asciiTheme="minorHAnsi" w:hAnsiTheme="minorHAnsi" w:cs="Arial"/>
                <w:color w:val="6E7376"/>
                <w:sz w:val="22"/>
                <w:szCs w:val="22"/>
              </w:rPr>
            </w:pPr>
            <w:bookmarkStart w:id="55" w:name="_Toc146950159"/>
            <w:r w:rsidRPr="00873938">
              <w:rPr>
                <w:rFonts w:asciiTheme="minorHAnsi" w:hAnsiTheme="minorHAnsi" w:cs="Arial"/>
                <w:b/>
                <w:sz w:val="22"/>
                <w:szCs w:val="22"/>
              </w:rPr>
              <w:br w:type="page"/>
            </w:r>
            <w:bookmarkEnd w:id="55"/>
          </w:p>
          <w:p w:rsidR="00075750" w:rsidRPr="00873938" w:rsidRDefault="00075750" w:rsidP="00E017D0">
            <w:pPr>
              <w:pStyle w:val="DisplayHeadingOrange"/>
              <w:rPr>
                <w:sz w:val="22"/>
                <w:szCs w:val="22"/>
              </w:rPr>
            </w:pPr>
            <w:bookmarkStart w:id="56" w:name="_Toc258944706"/>
            <w:bookmarkStart w:id="57" w:name="_Toc258955651"/>
            <w:bookmarkStart w:id="58" w:name="_Toc258431704"/>
            <w:bookmarkStart w:id="59" w:name="_Toc258540917"/>
            <w:r w:rsidRPr="00873938">
              <w:rPr>
                <w:sz w:val="22"/>
                <w:szCs w:val="22"/>
              </w:rPr>
              <w:t>Nitor</w:t>
            </w:r>
            <w:bookmarkEnd w:id="56"/>
            <w:bookmarkEnd w:id="57"/>
            <w:r w:rsidRPr="00873938">
              <w:rPr>
                <w:sz w:val="22"/>
                <w:szCs w:val="22"/>
              </w:rPr>
              <w:t xml:space="preserve"> </w:t>
            </w:r>
            <w:bookmarkEnd w:id="58"/>
            <w:bookmarkEnd w:id="59"/>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Nitor framework developed by Hexaware captures and maintains production support data, so that SLAs can be calculated, analysis done and reports can be derived out of the data captured.  Nitor is web-based and intuitive. Customized reports/ graphs are useful for support analysis and system enhancements.</w:t>
            </w:r>
          </w:p>
          <w:p w:rsidR="00075750" w:rsidRPr="000573A0" w:rsidRDefault="00075750" w:rsidP="005522ED">
            <w:pPr>
              <w:pStyle w:val="BodyPara1"/>
              <w:rPr>
                <w:rFonts w:asciiTheme="minorHAnsi" w:hAnsiTheme="minorHAnsi" w:cs="Arial"/>
                <w:b/>
                <w:color w:val="002060"/>
                <w:sz w:val="24"/>
                <w:lang w:bidi="en-US"/>
              </w:rPr>
            </w:pPr>
            <w:bookmarkStart w:id="60" w:name="_Toc258418466"/>
            <w:bookmarkStart w:id="61" w:name="_Toc258418467"/>
            <w:bookmarkStart w:id="62" w:name="_Toc258418469"/>
            <w:bookmarkStart w:id="63" w:name="_Toc258418470"/>
            <w:bookmarkStart w:id="64" w:name="_Toc258418471"/>
            <w:bookmarkStart w:id="65" w:name="_Toc258431705"/>
            <w:bookmarkStart w:id="66" w:name="_Toc258540918"/>
            <w:bookmarkEnd w:id="60"/>
            <w:bookmarkEnd w:id="61"/>
            <w:bookmarkEnd w:id="62"/>
            <w:bookmarkEnd w:id="63"/>
            <w:bookmarkEnd w:id="64"/>
            <w:r w:rsidRPr="000573A0">
              <w:rPr>
                <w:rFonts w:asciiTheme="minorHAnsi" w:hAnsiTheme="minorHAnsi" w:cs="Arial"/>
                <w:b/>
                <w:color w:val="002060"/>
                <w:sz w:val="24"/>
                <w:lang w:bidi="en-US"/>
              </w:rPr>
              <w:lastRenderedPageBreak/>
              <w:t>Key Features of Nitor</w:t>
            </w:r>
            <w:bookmarkEnd w:id="65"/>
            <w:bookmarkEnd w:id="66"/>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define multiple entities of same enterprise and track the performance / support separately.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handle multiple projects under different environment maintained by different support groups spread across global locations working in different shifts / time zones  – In short Global Batch Support Monitor.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display online across the globe the current batch job status and projected Up-time for business start.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collate data for day-to-day batch execution and support analysis of jobs based on threshold limits and job history over a period.</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This is achieved by the slickly designed modules, which are covered in detail in the following sections.</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User Access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Maintenance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User Application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Capture Master Data</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Company details, like name, location, contacts.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Projects details, like project name, billing type and company.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System details, like environment, version, project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Location details, like name and type of location i.e. maintenance/ development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Shifts details of all the locations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Feeds details to the System</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Environment details like software and versions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common Issue of the project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SLA Maintenance details</w:t>
            </w:r>
          </w:p>
          <w:p w:rsidR="00075750" w:rsidRPr="00873938" w:rsidRDefault="00075750" w:rsidP="003453B3">
            <w:pPr>
              <w:pStyle w:val="BulletList0"/>
              <w:numPr>
                <w:ilvl w:val="0"/>
                <w:numId w:val="13"/>
              </w:numPr>
              <w:spacing w:line="276" w:lineRule="auto"/>
              <w:ind w:hanging="288"/>
              <w:jc w:val="both"/>
              <w:rPr>
                <w:rFonts w:asciiTheme="minorHAnsi" w:hAnsiTheme="minorHAnsi" w:cs="Arial"/>
                <w:szCs w:val="22"/>
              </w:rPr>
            </w:pPr>
            <w:r w:rsidRPr="001E38F1">
              <w:rPr>
                <w:rFonts w:asciiTheme="minorHAnsi" w:hAnsiTheme="minorHAnsi" w:cs="Times New Roman"/>
                <w:color w:val="3F3F3F"/>
                <w:szCs w:val="22"/>
                <w:lang w:val="en-US" w:bidi="en-US"/>
              </w:rPr>
              <w:t>The list value details for the system. Like List Value Master Code, List Value Details Code, List Value Details Description.</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Job Setup </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 Job Setup, the details captured are job name, description, Start time, End time, dependency details and also the criticality of the Job. Job Run Time will always be the difference between the Start Time and the End time of the job.</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Upload Production Data </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 xml:space="preserve">The upload feature of Nitor handles upload of production batch log, system up time and user feedback.  This module does not allow the entry of invalid data/ faulty through the upload excel file / Job Setup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 xml:space="preserve">Reports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Product Log Data</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can view the Failed Job Status details for the given company, Project, Start date, End Date. User can view the report of failure jobs count in monthly wise, Monthly user requests, Severity Based open and closed requests for a given company, project, application and the date range.</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Critical Reports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Critical job Reports is used to identify all the Completed, In Process and In Queue Jobs which are Critical in a particular Process Center. </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System Availability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can track and view the details of missed systems like Stream, Start Time, End Time, Cut off Time, Delayed, Delay reason, etc.</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SLA Maintenance</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can view the SLA details for the failed jobs in an Application like Availability, Response time and Resolution Time.</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Feedback</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feedback for the resources can be uploaded through data upload option. The feedback details can be viewed through a report.</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Job Runtime History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job status details monitoring can be done on daily basis can add and view through this report.</w:t>
            </w:r>
          </w:p>
          <w:p w:rsidR="00075750" w:rsidRPr="000573A0" w:rsidRDefault="00075750" w:rsidP="000573A0">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Batch Job Status Monitor</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batch job status populates a Tree View report, used to identify all the Completed, In Process and In Queue Jobs, irrespective of their Criticality, for a particular Process Center. This Tree View also represents the Dependencies (if any) of the Jobs.</w:t>
            </w:r>
          </w:p>
          <w:p w:rsidR="00075750" w:rsidRPr="00873938" w:rsidRDefault="00075750" w:rsidP="000573A0">
            <w:pPr>
              <w:pStyle w:val="BodyPara1"/>
              <w:rPr>
                <w:rFonts w:asciiTheme="minorHAnsi" w:hAnsiTheme="minorHAnsi" w:cs="Arial"/>
                <w:b/>
                <w:color w:val="000080"/>
                <w:u w:val="single"/>
                <w:lang w:val="en-GB"/>
              </w:rPr>
            </w:pPr>
            <w:r w:rsidRPr="00873938">
              <w:rPr>
                <w:rFonts w:asciiTheme="minorHAnsi" w:hAnsiTheme="minorHAnsi" w:cs="Arial"/>
              </w:rPr>
              <w:br w:type="page"/>
            </w:r>
            <w:r w:rsidRPr="000573A0">
              <w:rPr>
                <w:rFonts w:asciiTheme="minorHAnsi" w:hAnsiTheme="minorHAnsi" w:cs="Arial"/>
                <w:b/>
                <w:color w:val="002060"/>
                <w:sz w:val="24"/>
                <w:lang w:bidi="en-US"/>
              </w:rPr>
              <w:t>Benefits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Nitor framework is primarily used for application support, where status tracking of jobs running in the scheduler needs to be done. Analysis of the current batch jobs can be done to generate reports on job status for a specific period. The graphical representation of the reports helps in understanding which category of jobs fail or do not meet tolerance limits. Tracking of job dependencies and reasons for delay can be done through the rich reports of Nitor. Job failures based on feeds can also be tracked. One of the advantages of Nitor is the ability to store historical job status details.</w:t>
            </w:r>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Nitor’s Value-add</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All job details can be fetched from the database, and every job has a unique identification, which enables tracking.</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Failure job details can be tracked which can provide an insight into the reason of job failure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With Nitor the critical users can be given access to Job status, which can facilitate corrective action without time delay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Jobs that have crossed the threshold/tolerance limits are reported separately</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Jobs that have been successful according to the status will be checked for validity based on size/no. of records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Analysis of the frequently failing critical and non critical jobs for a specified duration, pro-actively, giving the users the advantage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Reports on failed critical and non critical jobs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Graphical  reports ensure quick analysis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Reports can be exported to excel or as pdf files</w:t>
            </w:r>
          </w:p>
          <w:p w:rsidR="0043494C" w:rsidRPr="00873938" w:rsidRDefault="00075750" w:rsidP="00D23EE4">
            <w:pPr>
              <w:jc w:val="left"/>
              <w:rPr>
                <w:sz w:val="22"/>
              </w:rPr>
            </w:pPr>
            <w:r w:rsidRPr="00873938">
              <w:rPr>
                <w:rFonts w:asciiTheme="minorHAnsi" w:hAnsiTheme="minorHAnsi" w:cs="Arial"/>
                <w:sz w:val="22"/>
              </w:rPr>
              <w:br w:type="page"/>
            </w:r>
          </w:p>
          <w:p w:rsidR="00075750" w:rsidRPr="00873938" w:rsidRDefault="00075750" w:rsidP="00E017D0">
            <w:pPr>
              <w:pStyle w:val="DisplayHeadingOrange"/>
              <w:rPr>
                <w:sz w:val="22"/>
                <w:szCs w:val="22"/>
              </w:rPr>
            </w:pPr>
            <w:bookmarkStart w:id="67" w:name="_Toc258944707"/>
            <w:bookmarkStart w:id="68" w:name="_Toc258955652"/>
            <w:r w:rsidRPr="00873938">
              <w:rPr>
                <w:sz w:val="22"/>
                <w:szCs w:val="22"/>
              </w:rPr>
              <w:t>ProFra</w:t>
            </w:r>
            <w:bookmarkEnd w:id="67"/>
            <w:bookmarkEnd w:id="68"/>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About ProFra</w:t>
            </w:r>
          </w:p>
          <w:p w:rsidR="00075750" w:rsidRPr="001E38F1" w:rsidRDefault="00075750" w:rsidP="000E4FDA">
            <w:pPr>
              <w:pStyle w:val="BodyPara1"/>
              <w:rPr>
                <w:rFonts w:asciiTheme="minorHAnsi" w:hAnsiTheme="minorHAnsi" w:cs="Times New Roman"/>
                <w:color w:val="3F3F3F"/>
                <w:szCs w:val="22"/>
                <w:lang w:val="en-US" w:bidi="en-US"/>
              </w:rPr>
            </w:pPr>
            <w:r w:rsidRPr="00873938">
              <w:rPr>
                <w:rFonts w:asciiTheme="minorHAnsi" w:hAnsiTheme="minorHAnsi" w:cs="Arial"/>
                <w:b/>
                <w:color w:val="000080"/>
                <w:szCs w:val="22"/>
                <w:lang w:val="en-US"/>
              </w:rPr>
              <w:t>ProFra</w:t>
            </w:r>
            <w:r w:rsidRPr="00873938">
              <w:rPr>
                <w:rFonts w:asciiTheme="minorHAnsi" w:hAnsiTheme="minorHAnsi" w:cs="Arial"/>
                <w:szCs w:val="22"/>
                <w:lang w:val="en-US"/>
              </w:rPr>
              <w:t xml:space="preserve"> </w:t>
            </w:r>
            <w:r w:rsidRPr="001E38F1">
              <w:rPr>
                <w:rFonts w:asciiTheme="minorHAnsi" w:hAnsiTheme="minorHAnsi" w:cs="Times New Roman"/>
                <w:color w:val="3F3F3F"/>
                <w:szCs w:val="22"/>
                <w:lang w:val="en-US" w:bidi="en-US"/>
              </w:rPr>
              <w:t>(Proprietary Framework for Rapid Product Development) - is developed by Hexaware has a workable framework towards creating an instant base for building any product. ProFra supports dynamic menu formation, user access control, flexible sort and filter conditions, generic lookup searches and hosts print, email, document management, error handling and cache management services.</w:t>
            </w:r>
          </w:p>
          <w:p w:rsidR="00075750" w:rsidRPr="001E38F1" w:rsidRDefault="000E4FDA" w:rsidP="000E4FDA">
            <w:pPr>
              <w:pStyle w:val="BodyPara1"/>
              <w:rPr>
                <w:rFonts w:asciiTheme="minorHAnsi" w:hAnsiTheme="minorHAnsi" w:cs="Times New Roman"/>
                <w:color w:val="3F3F3F"/>
                <w:szCs w:val="22"/>
                <w:lang w:val="en-US" w:bidi="en-US"/>
              </w:rPr>
            </w:pPr>
            <w:r w:rsidRPr="001E38F1">
              <w:rPr>
                <w:rFonts w:asciiTheme="minorHAnsi" w:hAnsiTheme="minorHAnsi" w:cs="Times New Roman"/>
                <w:noProof/>
                <w:color w:val="3F3F3F"/>
                <w:szCs w:val="22"/>
                <w:lang w:val="en-US"/>
              </w:rPr>
              <w:lastRenderedPageBreak/>
              <w:drawing>
                <wp:anchor distT="0" distB="0" distL="114300" distR="114300" simplePos="0" relativeHeight="251678208" behindDoc="0" locked="0" layoutInCell="1" allowOverlap="1">
                  <wp:simplePos x="0" y="0"/>
                  <wp:positionH relativeFrom="column">
                    <wp:posOffset>2819400</wp:posOffset>
                  </wp:positionH>
                  <wp:positionV relativeFrom="paragraph">
                    <wp:posOffset>-1130935</wp:posOffset>
                  </wp:positionV>
                  <wp:extent cx="3162935" cy="3248025"/>
                  <wp:effectExtent l="19050" t="0" r="0" b="0"/>
                  <wp:wrapSquare wrapText="bothSides"/>
                  <wp:docPr id="10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cstate="print"/>
                          <a:srcRect l="18750" t="8749" r="18750" b="15375"/>
                          <a:stretch>
                            <a:fillRect/>
                          </a:stretch>
                        </pic:blipFill>
                        <pic:spPr bwMode="auto">
                          <a:xfrm>
                            <a:off x="0" y="0"/>
                            <a:ext cx="3162935" cy="3248025"/>
                          </a:xfrm>
                          <a:prstGeom prst="rect">
                            <a:avLst/>
                          </a:prstGeom>
                          <a:noFill/>
                          <a:ln w="9525">
                            <a:noFill/>
                            <a:miter lim="800000"/>
                            <a:headEnd/>
                            <a:tailEnd/>
                          </a:ln>
                        </pic:spPr>
                      </pic:pic>
                    </a:graphicData>
                  </a:graphic>
                </wp:anchor>
              </w:drawing>
            </w:r>
            <w:r w:rsidR="00075750" w:rsidRPr="001E38F1">
              <w:rPr>
                <w:rFonts w:asciiTheme="minorHAnsi" w:hAnsiTheme="minorHAnsi" w:cs="Times New Roman"/>
                <w:color w:val="3F3F3F"/>
                <w:szCs w:val="22"/>
                <w:lang w:val="en-US" w:bidi="en-US"/>
              </w:rPr>
              <w:t xml:space="preserve">With ProFra, any product development can save more than 25% of their effort while the team needs to focus only on the business components development. Using ProFra definitely adds economic value of the product and enables to ramp up for quick deliverables. </w:t>
            </w:r>
          </w:p>
          <w:p w:rsidR="00075750" w:rsidRPr="000573A0" w:rsidRDefault="00075750" w:rsidP="000E4FDA">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Framework Services</w:t>
            </w:r>
          </w:p>
          <w:p w:rsidR="00075750" w:rsidRPr="001E38F1" w:rsidRDefault="00075750" w:rsidP="000E4FDA">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 basic services that are common across the major products are depicted in the schematic diagram.</w:t>
            </w:r>
          </w:p>
          <w:p w:rsidR="00075750" w:rsidRPr="001E38F1" w:rsidRDefault="00075750" w:rsidP="000E4FDA">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ProFra is flexible to handle future enhancements too. Most services can be configured by changes to the table data instead of changing the code or configuration files. In case of Projects, specific components such as questionnaire, email services can also be plugged in. The functionality of ProFra includes: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Framework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Information Delivery Channels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Import/Export Gateways</w:t>
            </w:r>
          </w:p>
          <w:p w:rsidR="0043494C"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Management Services</w:t>
            </w:r>
            <w:r w:rsidRPr="001E38F1">
              <w:rPr>
                <w:rFonts w:asciiTheme="minorHAnsi" w:hAnsiTheme="minorHAnsi" w:cs="Times New Roman"/>
                <w:color w:val="3F3F3F"/>
                <w:szCs w:val="22"/>
                <w:lang w:val="en-US" w:bidi="en-US"/>
              </w:rPr>
              <w:br w:type="page"/>
            </w:r>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color w:val="002060"/>
                <w:sz w:val="24"/>
                <w:lang w:bidi="en-US"/>
              </w:rPr>
              <w:t>Services Available in ProFra</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bookmarkStart w:id="69" w:name="_Toc190176775"/>
            <w:r w:rsidRPr="001E38F1">
              <w:rPr>
                <w:rFonts w:asciiTheme="minorHAnsi" w:hAnsiTheme="minorHAnsi" w:cs="Times New Roman"/>
                <w:noProof/>
                <w:color w:val="3F3F3F"/>
                <w:szCs w:val="22"/>
                <w:lang w:val="en-US"/>
              </w:rPr>
              <w:drawing>
                <wp:anchor distT="0" distB="0" distL="114300" distR="114300" simplePos="0" relativeHeight="251676160" behindDoc="1" locked="0" layoutInCell="1" allowOverlap="1">
                  <wp:simplePos x="0" y="0"/>
                  <wp:positionH relativeFrom="column">
                    <wp:posOffset>2971800</wp:posOffset>
                  </wp:positionH>
                  <wp:positionV relativeFrom="paragraph">
                    <wp:posOffset>9525</wp:posOffset>
                  </wp:positionV>
                  <wp:extent cx="3048000" cy="2769235"/>
                  <wp:effectExtent l="19050" t="0" r="0" b="0"/>
                  <wp:wrapTight wrapText="left">
                    <wp:wrapPolygon edited="0">
                      <wp:start x="-135" y="0"/>
                      <wp:lineTo x="-135" y="21397"/>
                      <wp:lineTo x="21600" y="21397"/>
                      <wp:lineTo x="21600" y="0"/>
                      <wp:lineTo x="-135" y="0"/>
                    </wp:wrapPolygon>
                  </wp:wrapTight>
                  <wp:docPr id="102" name="Picture 16" descr="profr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rofra diagram"/>
                          <pic:cNvPicPr>
                            <a:picLocks noChangeAspect="1" noChangeArrowheads="1"/>
                          </pic:cNvPicPr>
                        </pic:nvPicPr>
                        <pic:blipFill>
                          <a:blip r:embed="rId57" cstate="print"/>
                          <a:srcRect/>
                          <a:stretch>
                            <a:fillRect/>
                          </a:stretch>
                        </pic:blipFill>
                        <pic:spPr bwMode="auto">
                          <a:xfrm>
                            <a:off x="0" y="0"/>
                            <a:ext cx="3048000" cy="2769235"/>
                          </a:xfrm>
                          <a:prstGeom prst="rect">
                            <a:avLst/>
                          </a:prstGeom>
                          <a:noFill/>
                          <a:ln w="9525">
                            <a:noFill/>
                            <a:miter lim="800000"/>
                            <a:headEnd/>
                            <a:tailEnd/>
                          </a:ln>
                        </pic:spPr>
                      </pic:pic>
                    </a:graphicData>
                  </a:graphic>
                </wp:anchor>
              </w:drawing>
            </w:r>
            <w:r w:rsidRPr="001E38F1">
              <w:rPr>
                <w:rFonts w:asciiTheme="minorHAnsi" w:hAnsiTheme="minorHAnsi" w:cs="Times New Roman"/>
                <w:color w:val="3F3F3F"/>
                <w:szCs w:val="22"/>
                <w:lang w:val="en-US" w:bidi="en-US"/>
              </w:rPr>
              <w:t>Private Branding to customize the screens.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Access Control.</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Menu Creation and formation according to user/roles.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Predefined Home pages with multiple Tables.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User Interface – Overview/Details Pane.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Reports/Graph Definition, Generation &amp; View.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Document Upload/View/Linking Screens.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Hierarchical Questionnaire Definition &amp; Scoring Screens.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Email Templates and Generation process.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Error Message Definitions and Display screens.</w:t>
            </w:r>
          </w:p>
          <w:p w:rsidR="00075750" w:rsidRPr="000E4FDA" w:rsidRDefault="00075750" w:rsidP="003453B3">
            <w:pPr>
              <w:pStyle w:val="BulletList0"/>
              <w:numPr>
                <w:ilvl w:val="0"/>
                <w:numId w:val="13"/>
              </w:numPr>
              <w:spacing w:line="276" w:lineRule="auto"/>
              <w:ind w:hanging="288"/>
              <w:jc w:val="both"/>
              <w:rPr>
                <w:rFonts w:asciiTheme="minorHAnsi" w:hAnsiTheme="minorHAnsi" w:cs="Arial"/>
              </w:rPr>
            </w:pPr>
            <w:r w:rsidRPr="001E38F1">
              <w:rPr>
                <w:rFonts w:asciiTheme="minorHAnsi" w:hAnsiTheme="minorHAnsi" w:cs="Times New Roman"/>
                <w:color w:val="3F3F3F"/>
                <w:szCs w:val="22"/>
                <w:lang w:val="en-US" w:bidi="en-US"/>
              </w:rPr>
              <w:t>Context Sensitive Help for each Screen/Field.</w:t>
            </w:r>
            <w:r w:rsidRPr="000E4FDA">
              <w:rPr>
                <w:rFonts w:asciiTheme="minorHAnsi" w:hAnsiTheme="minorHAnsi" w:cs="Arial"/>
              </w:rPr>
              <w:tab/>
            </w:r>
          </w:p>
          <w:p w:rsidR="00075750" w:rsidRPr="000573A0" w:rsidRDefault="00075750" w:rsidP="005522ED">
            <w:pPr>
              <w:pStyle w:val="BodyPara1"/>
              <w:rPr>
                <w:rFonts w:asciiTheme="minorHAnsi" w:hAnsiTheme="minorHAnsi" w:cs="Arial"/>
                <w:b/>
                <w:color w:val="002060"/>
                <w:sz w:val="24"/>
                <w:lang w:bidi="en-US"/>
              </w:rPr>
            </w:pPr>
            <w:r w:rsidRPr="000573A0">
              <w:rPr>
                <w:rFonts w:asciiTheme="minorHAnsi" w:hAnsiTheme="minorHAnsi" w:cs="Arial"/>
                <w:b/>
                <w:noProof/>
                <w:color w:val="002060"/>
                <w:sz w:val="24"/>
                <w:lang w:val="en-US"/>
              </w:rPr>
              <w:drawing>
                <wp:anchor distT="0" distB="0" distL="114300" distR="114300" simplePos="0" relativeHeight="251677184" behindDoc="1" locked="0" layoutInCell="1" allowOverlap="1">
                  <wp:simplePos x="0" y="0"/>
                  <wp:positionH relativeFrom="column">
                    <wp:posOffset>3257550</wp:posOffset>
                  </wp:positionH>
                  <wp:positionV relativeFrom="paragraph">
                    <wp:posOffset>267970</wp:posOffset>
                  </wp:positionV>
                  <wp:extent cx="2733675" cy="2190750"/>
                  <wp:effectExtent l="19050" t="0" r="9525" b="0"/>
                  <wp:wrapTight wrapText="bothSides">
                    <wp:wrapPolygon edited="0">
                      <wp:start x="-151" y="0"/>
                      <wp:lineTo x="-151" y="21412"/>
                      <wp:lineTo x="21675" y="21412"/>
                      <wp:lineTo x="21675" y="0"/>
                      <wp:lineTo x="-151" y="0"/>
                    </wp:wrapPolygon>
                  </wp:wrapTight>
                  <wp:docPr id="104" name="Picture 17" descr="technic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chnical architecture"/>
                          <pic:cNvPicPr>
                            <a:picLocks noChangeAspect="1" noChangeArrowheads="1"/>
                          </pic:cNvPicPr>
                        </pic:nvPicPr>
                        <pic:blipFill>
                          <a:blip r:embed="rId58" cstate="print"/>
                          <a:srcRect/>
                          <a:stretch>
                            <a:fillRect/>
                          </a:stretch>
                        </pic:blipFill>
                        <pic:spPr bwMode="auto">
                          <a:xfrm>
                            <a:off x="0" y="0"/>
                            <a:ext cx="2733675" cy="2190750"/>
                          </a:xfrm>
                          <a:prstGeom prst="rect">
                            <a:avLst/>
                          </a:prstGeom>
                          <a:noFill/>
                          <a:ln w="9525">
                            <a:noFill/>
                            <a:miter lim="800000"/>
                            <a:headEnd/>
                            <a:tailEnd/>
                          </a:ln>
                        </pic:spPr>
                      </pic:pic>
                    </a:graphicData>
                  </a:graphic>
                </wp:anchor>
              </w:drawing>
            </w:r>
            <w:r w:rsidRPr="000573A0">
              <w:rPr>
                <w:rFonts w:asciiTheme="minorHAnsi" w:hAnsiTheme="minorHAnsi" w:cs="Arial"/>
                <w:b/>
                <w:color w:val="002060"/>
                <w:sz w:val="24"/>
                <w:lang w:bidi="en-US"/>
              </w:rPr>
              <w:t>Technical Architecture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Thin Client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Internet Explorer 5.5+</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Mozilla Fire Fox 1.0+</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Web Layer/Application Layer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JBOSS 4.0.2</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Data Store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MySql 4.1</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Support Applications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Jasper 1.1</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JFree Charts 1.0</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Struts Framework 1.1</w:t>
            </w:r>
            <w:r w:rsidRPr="001E38F1">
              <w:rPr>
                <w:rFonts w:asciiTheme="minorHAnsi" w:hAnsiTheme="minorHAnsi" w:cs="Times New Roman"/>
                <w:color w:val="3F3F3F"/>
                <w:szCs w:val="22"/>
                <w:lang w:val="en-US" w:bidi="en-US"/>
              </w:rPr>
              <w:br w:type="page"/>
            </w:r>
          </w:p>
          <w:p w:rsidR="00075750" w:rsidRPr="000573A0" w:rsidRDefault="00075750" w:rsidP="0051106F">
            <w:pPr>
              <w:pStyle w:val="BodyPara1"/>
              <w:spacing w:after="0"/>
              <w:rPr>
                <w:rFonts w:asciiTheme="minorHAnsi" w:hAnsiTheme="minorHAnsi" w:cs="Arial"/>
                <w:b/>
                <w:color w:val="002060"/>
                <w:sz w:val="24"/>
                <w:lang w:bidi="en-US"/>
              </w:rPr>
            </w:pPr>
            <w:r w:rsidRPr="000573A0">
              <w:rPr>
                <w:rFonts w:asciiTheme="minorHAnsi" w:hAnsiTheme="minorHAnsi" w:cs="Arial"/>
                <w:b/>
                <w:color w:val="002060"/>
                <w:sz w:val="24"/>
                <w:lang w:bidi="en-US"/>
              </w:rPr>
              <w:t>Key Technical Features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bookmarkStart w:id="70" w:name="_Toc190176776"/>
            <w:bookmarkEnd w:id="69"/>
            <w:r w:rsidRPr="001E38F1">
              <w:rPr>
                <w:rFonts w:asciiTheme="minorHAnsi" w:hAnsiTheme="minorHAnsi" w:cs="Times New Roman"/>
                <w:color w:val="3F3F3F"/>
                <w:szCs w:val="22"/>
                <w:lang w:val="en-US" w:bidi="en-US"/>
              </w:rPr>
              <w:t>The base web–frame work is implemented using struts/tiles and custom tags.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Validation and error handing has been customized to take care of functional requirements.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All business logic is hosted in applications server making it Database-independent.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Most of the code is generic so that it can be ported to other Application servers with manageable effort.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MBean services are created through JBoss Mbean services.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Services like Caching are implemented using MBeans. This enables online refreshing of the cache incase of changed </w:t>
            </w:r>
            <w:r w:rsidR="001529AA" w:rsidRPr="001E38F1">
              <w:rPr>
                <w:rFonts w:asciiTheme="minorHAnsi" w:hAnsiTheme="minorHAnsi" w:cs="Times New Roman"/>
                <w:color w:val="3F3F3F"/>
                <w:szCs w:val="22"/>
                <w:lang w:val="en-US" w:bidi="en-US"/>
              </w:rPr>
              <w:t>without</w:t>
            </w:r>
            <w:r w:rsidRPr="001E38F1">
              <w:rPr>
                <w:rFonts w:asciiTheme="minorHAnsi" w:hAnsiTheme="minorHAnsi" w:cs="Times New Roman"/>
                <w:color w:val="3F3F3F"/>
                <w:szCs w:val="22"/>
                <w:lang w:val="en-US" w:bidi="en-US"/>
              </w:rPr>
              <w:t xml:space="preserve"> shut down of the server.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Messaging is implemented using “Java Message Service” </w:t>
            </w:r>
            <w:smartTag w:uri="urn:schemas-microsoft-com:office:smarttags" w:element="stockticker">
              <w:r w:rsidRPr="001E38F1">
                <w:rPr>
                  <w:rFonts w:asciiTheme="minorHAnsi" w:hAnsiTheme="minorHAnsi" w:cs="Times New Roman"/>
                  <w:color w:val="3F3F3F"/>
                  <w:szCs w:val="22"/>
                  <w:lang w:val="en-US" w:bidi="en-US"/>
                </w:rPr>
                <w:t>API</w:t>
              </w:r>
            </w:smartTag>
            <w:r w:rsidRPr="001E38F1">
              <w:rPr>
                <w:rFonts w:asciiTheme="minorHAnsi" w:hAnsiTheme="minorHAnsi" w:cs="Times New Roman"/>
                <w:color w:val="3F3F3F"/>
                <w:szCs w:val="22"/>
                <w:lang w:val="en-US" w:bidi="en-US"/>
              </w:rPr>
              <w:t xml:space="preserve"> and Message Driven Enterprise Beans.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Process intensive jobs like report generation, sending emails is implemented using Messaging.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job once done is communicated to application users by task/messages in the application. </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Reports Framework is implemented using Jasper reports.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General reports use Jasper 1.1 reports for creating the reports in various formats.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List printing used i-Text to generate reports in PDF format.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Graph Framework.</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Graph framework is based on JFreecharts 1.0. This framework allows drill down images, display of 3D graphs, save options in JPG and </w:t>
            </w:r>
            <w:smartTag w:uri="urn:schemas-microsoft-com:office:smarttags" w:element="stockticker">
              <w:r w:rsidRPr="001E38F1">
                <w:rPr>
                  <w:rFonts w:asciiTheme="minorHAnsi" w:hAnsiTheme="minorHAnsi" w:cs="Times New Roman"/>
                  <w:color w:val="3F3F3F"/>
                  <w:szCs w:val="22"/>
                  <w:lang w:val="en-US" w:bidi="en-US"/>
                </w:rPr>
                <w:t>PNG</w:t>
              </w:r>
            </w:smartTag>
            <w:r w:rsidRPr="001E38F1">
              <w:rPr>
                <w:rFonts w:asciiTheme="minorHAnsi" w:hAnsiTheme="minorHAnsi" w:cs="Times New Roman"/>
                <w:color w:val="3F3F3F"/>
                <w:szCs w:val="22"/>
                <w:lang w:val="en-US" w:bidi="en-US"/>
              </w:rPr>
              <w:t xml:space="preserve"> formats.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Custom Framework.</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Single point data access and manipulation.</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Custom Error handling mechanism, screen validation mechanism.</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Screen rendering mechanisms.</w:t>
            </w:r>
          </w:p>
          <w:p w:rsidR="00075750" w:rsidRPr="00873938" w:rsidRDefault="00075750" w:rsidP="003453B3">
            <w:pPr>
              <w:pStyle w:val="BulletList0"/>
              <w:numPr>
                <w:ilvl w:val="0"/>
                <w:numId w:val="13"/>
              </w:numPr>
              <w:spacing w:line="276" w:lineRule="auto"/>
              <w:ind w:hanging="288"/>
              <w:jc w:val="both"/>
              <w:rPr>
                <w:rFonts w:asciiTheme="minorHAnsi" w:hAnsiTheme="minorHAnsi" w:cs="Arial"/>
                <w:szCs w:val="22"/>
              </w:rPr>
            </w:pPr>
            <w:r w:rsidRPr="001E38F1">
              <w:rPr>
                <w:rFonts w:asciiTheme="minorHAnsi" w:hAnsiTheme="minorHAnsi" w:cs="Times New Roman"/>
                <w:color w:val="3F3F3F"/>
                <w:szCs w:val="22"/>
                <w:lang w:val="en-US" w:bidi="en-US"/>
              </w:rPr>
              <w:t>Context Sensitive Help</w:t>
            </w:r>
            <w:r w:rsidRPr="00873938">
              <w:rPr>
                <w:rFonts w:asciiTheme="minorHAnsi" w:hAnsiTheme="minorHAnsi" w:cs="Arial"/>
                <w:szCs w:val="22"/>
              </w:rPr>
              <w:t>.</w:t>
            </w:r>
          </w:p>
          <w:p w:rsidR="00075750" w:rsidRPr="00873938" w:rsidRDefault="00075750" w:rsidP="0051106F">
            <w:pPr>
              <w:pStyle w:val="BodyPara1"/>
              <w:spacing w:after="0"/>
              <w:rPr>
                <w:rFonts w:asciiTheme="minorHAnsi" w:hAnsiTheme="minorHAnsi" w:cs="Arial"/>
                <w:b/>
                <w:color w:val="000080"/>
                <w:szCs w:val="22"/>
                <w:u w:val="single"/>
                <w:lang w:val="en-GB"/>
              </w:rPr>
            </w:pPr>
            <w:r w:rsidRPr="00873938">
              <w:rPr>
                <w:rFonts w:asciiTheme="minorHAnsi" w:hAnsiTheme="minorHAnsi" w:cs="Arial"/>
                <w:b/>
                <w:color w:val="000080"/>
                <w:szCs w:val="22"/>
                <w:u w:val="single"/>
                <w:lang w:val="en-GB"/>
              </w:rPr>
              <w:t>Benefits</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Generic application to be used as Regular or ASP model.</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Implementation of product features using open source technologies and free ware tools for cost-effective deployment.</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Online updation of cache without restarting the server.</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customize the screen content with minimal change in code.</w:t>
            </w:r>
          </w:p>
          <w:p w:rsidR="00075750" w:rsidRPr="001E38F1" w:rsidRDefault="00075750" w:rsidP="003453B3">
            <w:pPr>
              <w:pStyle w:val="BulletList0"/>
              <w:numPr>
                <w:ilvl w:val="0"/>
                <w:numId w:val="13"/>
              </w:numPr>
              <w:spacing w:line="276" w:lineRule="auto"/>
              <w:ind w:hanging="288"/>
              <w:jc w:val="both"/>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Ability to implement in multiple databases and application servers.</w:t>
            </w:r>
          </w:p>
          <w:bookmarkEnd w:id="70"/>
          <w:p w:rsidR="00075750" w:rsidRPr="00873938" w:rsidRDefault="00075750" w:rsidP="0051106F">
            <w:pPr>
              <w:spacing w:before="120" w:after="0" w:afterAutospacing="0" w:line="300" w:lineRule="atLeast"/>
              <w:rPr>
                <w:rFonts w:asciiTheme="minorHAnsi" w:hAnsiTheme="minorHAnsi" w:cs="Arial"/>
                <w:b/>
                <w:color w:val="000080"/>
                <w:sz w:val="22"/>
                <w:u w:val="single"/>
                <w:lang w:val="en-GB"/>
              </w:rPr>
            </w:pPr>
            <w:r w:rsidRPr="00873938">
              <w:rPr>
                <w:rFonts w:asciiTheme="minorHAnsi" w:hAnsiTheme="minorHAnsi" w:cs="Arial"/>
                <w:sz w:val="22"/>
              </w:rPr>
              <w:br w:type="page"/>
            </w:r>
            <w:r w:rsidRPr="00873938">
              <w:rPr>
                <w:rFonts w:asciiTheme="minorHAnsi" w:hAnsiTheme="minorHAnsi" w:cs="Arial"/>
                <w:b/>
                <w:color w:val="000080"/>
                <w:sz w:val="22"/>
                <w:u w:val="single"/>
                <w:lang w:val="en-GB"/>
              </w:rPr>
              <w:t>Accomplishments</w:t>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szCs w:val="22"/>
              </w:rPr>
              <w:t>Creation of proprietary products using ProFra</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Using this base framework Hexaware has already built two of its key products, catering to Wealth Management (Wealth Director) and Client Fee Billing (BMS)</w:t>
            </w:r>
          </w:p>
          <w:p w:rsidR="00075750" w:rsidRPr="00873938" w:rsidRDefault="00075750" w:rsidP="00075750">
            <w:pPr>
              <w:pStyle w:val="BodyPara1"/>
              <w:rPr>
                <w:rFonts w:asciiTheme="minorHAnsi" w:hAnsiTheme="minorHAnsi" w:cs="Arial"/>
                <w:b/>
                <w:color w:val="000080"/>
                <w:szCs w:val="22"/>
                <w:lang w:val="en-US"/>
              </w:rPr>
            </w:pPr>
            <w:r w:rsidRPr="00873938">
              <w:rPr>
                <w:rFonts w:asciiTheme="minorHAnsi" w:hAnsiTheme="minorHAnsi" w:cs="Arial"/>
                <w:b/>
                <w:noProof/>
                <w:color w:val="000080"/>
                <w:szCs w:val="22"/>
                <w:lang w:val="en-US"/>
              </w:rPr>
              <w:drawing>
                <wp:anchor distT="0" distB="0" distL="114300" distR="114300" simplePos="0" relativeHeight="251674112" behindDoc="0" locked="0" layoutInCell="1" allowOverlap="1">
                  <wp:simplePos x="0" y="0"/>
                  <wp:positionH relativeFrom="column">
                    <wp:posOffset>1243965</wp:posOffset>
                  </wp:positionH>
                  <wp:positionV relativeFrom="paragraph">
                    <wp:posOffset>196215</wp:posOffset>
                  </wp:positionV>
                  <wp:extent cx="329565" cy="318770"/>
                  <wp:effectExtent l="19050" t="0" r="0" b="0"/>
                  <wp:wrapSquare wrapText="bothSides"/>
                  <wp:docPr id="1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cstate="print"/>
                          <a:srcRect l="85687" t="9625" r="8719" b="83250"/>
                          <a:stretch>
                            <a:fillRect/>
                          </a:stretch>
                        </pic:blipFill>
                        <pic:spPr bwMode="auto">
                          <a:xfrm>
                            <a:off x="0" y="0"/>
                            <a:ext cx="329565" cy="318770"/>
                          </a:xfrm>
                          <a:prstGeom prst="rect">
                            <a:avLst/>
                          </a:prstGeom>
                          <a:noFill/>
                          <a:ln w="9525" algn="ctr">
                            <a:noFill/>
                            <a:miter lim="800000"/>
                            <a:headEnd/>
                            <a:tailEnd/>
                          </a:ln>
                        </pic:spPr>
                      </pic:pic>
                    </a:graphicData>
                  </a:graphic>
                </wp:anchor>
              </w:drawing>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szCs w:val="22"/>
              </w:rPr>
              <w:t>Wealth Director</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 xml:space="preserve">The </w:t>
            </w:r>
            <w:r w:rsidRPr="00873938">
              <w:rPr>
                <w:rFonts w:asciiTheme="minorHAnsi" w:hAnsiTheme="minorHAnsi" w:cs="Arial"/>
                <w:color w:val="000080"/>
                <w:szCs w:val="22"/>
                <w:lang w:val="en-US"/>
              </w:rPr>
              <w:t>WealthDirector</w:t>
            </w:r>
            <w:r w:rsidRPr="00873938">
              <w:rPr>
                <w:rFonts w:asciiTheme="minorHAnsi" w:hAnsiTheme="minorHAnsi" w:cs="Arial"/>
                <w:szCs w:val="22"/>
                <w:lang w:val="en-US"/>
              </w:rPr>
              <w:t xml:space="preserve"> </w:t>
            </w:r>
            <w:r w:rsidRPr="001E38F1">
              <w:rPr>
                <w:rFonts w:asciiTheme="minorHAnsi" w:hAnsiTheme="minorHAnsi" w:cs="Times New Roman"/>
                <w:color w:val="3F3F3F"/>
                <w:szCs w:val="22"/>
                <w:lang w:val="en-US" w:bidi="en-US"/>
              </w:rPr>
              <w:t>(WD) product serves needs of banking, brokerage and financial planning companies. The platform is a turnkey asset management program, to provide technology and business-process outsourcing for sponsors who wish to offer managed accounts to retail investors. It provides a wide range of services to wealth managers, financial advisors, financial planners, retirement planners, asset &amp; fund managers, trust managers and most importantly individual investors directly.</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WD provides a user friendly web interface encompassing client’s lifetime investments. It helps financial planners and managers analyze their investor-clients' need and keep track of their goals and investments.</w:t>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noProof/>
                <w:szCs w:val="22"/>
                <w:lang w:val="en-US" w:bidi="ar-SA"/>
              </w:rPr>
              <w:drawing>
                <wp:anchor distT="0" distB="0" distL="114300" distR="114300" simplePos="0" relativeHeight="251675136" behindDoc="0" locked="0" layoutInCell="1" allowOverlap="1">
                  <wp:simplePos x="0" y="0"/>
                  <wp:positionH relativeFrom="column">
                    <wp:posOffset>553720</wp:posOffset>
                  </wp:positionH>
                  <wp:positionV relativeFrom="paragraph">
                    <wp:posOffset>260985</wp:posOffset>
                  </wp:positionV>
                  <wp:extent cx="532765" cy="236220"/>
                  <wp:effectExtent l="19050" t="0" r="635" b="0"/>
                  <wp:wrapSquare wrapText="bothSides"/>
                  <wp:docPr id="1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0" cstate="print"/>
                          <a:srcRect l="8907" t="38625" r="78937" b="53999"/>
                          <a:stretch>
                            <a:fillRect/>
                          </a:stretch>
                        </pic:blipFill>
                        <pic:spPr bwMode="auto">
                          <a:xfrm>
                            <a:off x="0" y="0"/>
                            <a:ext cx="532765" cy="236220"/>
                          </a:xfrm>
                          <a:prstGeom prst="rect">
                            <a:avLst/>
                          </a:prstGeom>
                          <a:noFill/>
                          <a:ln w="9525">
                            <a:noFill/>
                            <a:miter lim="800000"/>
                            <a:headEnd/>
                            <a:tailEnd/>
                          </a:ln>
                        </pic:spPr>
                      </pic:pic>
                    </a:graphicData>
                  </a:graphic>
                </wp:anchor>
              </w:drawing>
            </w:r>
          </w:p>
          <w:p w:rsidR="00075750" w:rsidRPr="00873938" w:rsidRDefault="00075750" w:rsidP="00401DEE">
            <w:pPr>
              <w:pStyle w:val="DisplayHeading"/>
              <w:rPr>
                <w:rFonts w:asciiTheme="minorHAnsi" w:hAnsiTheme="minorHAnsi" w:cs="Arial"/>
                <w:szCs w:val="22"/>
              </w:rPr>
            </w:pPr>
            <w:r w:rsidRPr="00873938">
              <w:rPr>
                <w:rFonts w:asciiTheme="minorHAnsi" w:hAnsiTheme="minorHAnsi" w:cs="Arial"/>
                <w:szCs w:val="22"/>
              </w:rPr>
              <w:t>BMS</w:t>
            </w:r>
          </w:p>
          <w:p w:rsidR="00075750"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t>The</w:t>
            </w:r>
            <w:r w:rsidRPr="00873938">
              <w:rPr>
                <w:rFonts w:asciiTheme="minorHAnsi" w:hAnsiTheme="minorHAnsi" w:cs="Arial"/>
                <w:szCs w:val="22"/>
              </w:rPr>
              <w:t xml:space="preserve"> </w:t>
            </w:r>
            <w:r w:rsidRPr="00873938">
              <w:rPr>
                <w:rFonts w:asciiTheme="minorHAnsi" w:hAnsiTheme="minorHAnsi" w:cs="Arial"/>
                <w:color w:val="000080"/>
                <w:szCs w:val="22"/>
              </w:rPr>
              <w:t>Billing Management System</w:t>
            </w:r>
            <w:r w:rsidRPr="00873938">
              <w:rPr>
                <w:rFonts w:asciiTheme="minorHAnsi" w:hAnsiTheme="minorHAnsi" w:cs="Arial"/>
                <w:szCs w:val="22"/>
              </w:rPr>
              <w:t xml:space="preserve"> </w:t>
            </w:r>
            <w:r w:rsidRPr="001E38F1">
              <w:rPr>
                <w:rFonts w:asciiTheme="minorHAnsi" w:hAnsiTheme="minorHAnsi" w:cs="Times New Roman"/>
                <w:color w:val="3F3F3F"/>
                <w:szCs w:val="22"/>
                <w:lang w:val="en-US" w:bidi="en-US"/>
              </w:rPr>
              <w:t>(BMS) addresses common problems faced by asset managers in the area of billing. It is designed keeping in mind the needs of asset managers whose clients are institutional (e.g. separately managed accounts such as pension funds, corporations, etc.) as well as private clients (e.g. high net worth individuals, families, trust and endowment funds, etc.).</w:t>
            </w:r>
          </w:p>
          <w:p w:rsidR="0087720D" w:rsidRPr="001E38F1" w:rsidRDefault="00075750" w:rsidP="00075750">
            <w:pPr>
              <w:pStyle w:val="BodyPara1"/>
              <w:rPr>
                <w:rFonts w:asciiTheme="minorHAnsi" w:hAnsiTheme="minorHAnsi" w:cs="Times New Roman"/>
                <w:color w:val="3F3F3F"/>
                <w:szCs w:val="22"/>
                <w:lang w:val="en-US" w:bidi="en-US"/>
              </w:rPr>
            </w:pPr>
            <w:r w:rsidRPr="001E38F1">
              <w:rPr>
                <w:rFonts w:asciiTheme="minorHAnsi" w:hAnsiTheme="minorHAnsi" w:cs="Times New Roman"/>
                <w:color w:val="3F3F3F"/>
                <w:szCs w:val="22"/>
                <w:lang w:val="en-US" w:bidi="en-US"/>
              </w:rPr>
              <w:lastRenderedPageBreak/>
              <w:t>BMS is designed to obtain basic account and balances information from one or more underlying portfolio accounting systems. BMS provides for maintenance of additional billing-related information, and for performing all the processing required to perform accruals, calculate invoices, review and release invoices, and to create extracts to accounting and UM type of systems.</w:t>
            </w:r>
          </w:p>
          <w:p w:rsidR="0087720D" w:rsidRPr="00873938" w:rsidRDefault="0087720D" w:rsidP="0043494C">
            <w:pPr>
              <w:pStyle w:val="DisplayHeading"/>
              <w:tabs>
                <w:tab w:val="left" w:pos="1785"/>
              </w:tabs>
              <w:rPr>
                <w:rFonts w:asciiTheme="minorHAnsi" w:hAnsiTheme="minorHAnsi" w:cs="Arial"/>
                <w:szCs w:val="22"/>
              </w:rPr>
            </w:pPr>
          </w:p>
        </w:tc>
      </w:tr>
    </w:tbl>
    <w:p w:rsidR="0087720D" w:rsidRPr="00873938" w:rsidRDefault="0087720D" w:rsidP="00363152">
      <w:pPr>
        <w:rPr>
          <w:rFonts w:asciiTheme="minorHAnsi" w:hAnsiTheme="minorHAnsi" w:cs="Arial"/>
          <w:color w:val="000000"/>
          <w:sz w:val="22"/>
          <w:lang w:val="pt-BR"/>
        </w:rPr>
      </w:pPr>
    </w:p>
    <w:p w:rsidR="00421D26" w:rsidRDefault="00421D26">
      <w:pPr>
        <w:spacing w:after="0" w:afterAutospacing="0" w:line="240" w:lineRule="auto"/>
        <w:jc w:val="left"/>
        <w:rPr>
          <w:rFonts w:asciiTheme="minorHAnsi" w:hAnsiTheme="minorHAnsi" w:cs="Arial"/>
          <w:color w:val="000000"/>
          <w:sz w:val="22"/>
          <w:lang w:val="pt-BR"/>
        </w:rPr>
      </w:pPr>
    </w:p>
    <w:sectPr w:rsidR="00421D26" w:rsidSect="008842C6">
      <w:headerReference w:type="even" r:id="rId61"/>
      <w:headerReference w:type="default" r:id="rId62"/>
      <w:footerReference w:type="default" r:id="rId63"/>
      <w:headerReference w:type="first" r:id="rId64"/>
      <w:footerReference w:type="first" r:id="rId65"/>
      <w:pgSz w:w="12240" w:h="15840" w:code="1"/>
      <w:pgMar w:top="2160" w:right="1440" w:bottom="1728"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16FC" w:rsidRPr="00985094" w:rsidRDefault="002E16FC" w:rsidP="00985094">
      <w:r>
        <w:separator/>
      </w:r>
    </w:p>
  </w:endnote>
  <w:endnote w:type="continuationSeparator" w:id="0">
    <w:p w:rsidR="002E16FC" w:rsidRPr="00985094" w:rsidRDefault="002E16FC" w:rsidP="0098509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rebuchet MS">
    <w:panose1 w:val="020B0603020202020204"/>
    <w:charset w:val="00"/>
    <w:family w:val="swiss"/>
    <w:pitch w:val="variable"/>
    <w:sig w:usb0="00000287" w:usb1="00000000" w:usb2="00000000" w:usb3="00000000" w:csb0="0000009F" w:csb1="00000000"/>
  </w:font>
  <w:font w:name="Univers 47 CondensedLight">
    <w:altName w:val="Times New Roman"/>
    <w:charset w:val="00"/>
    <w:family w:val="auto"/>
    <w:pitch w:val="default"/>
    <w:sig w:usb0="00000000" w:usb1="00000000" w:usb2="00000000" w:usb3="00000000" w:csb0="00000000" w:csb1="00000000"/>
  </w:font>
  <w:font w:name="PMingLiU">
    <w:altName w:val="新細明體"/>
    <w:panose1 w:val="02010601000101010101"/>
    <w:charset w:val="88"/>
    <w:family w:val="auto"/>
    <w:notTrueType/>
    <w:pitch w:val="variable"/>
    <w:sig w:usb0="00000001" w:usb1="08080000" w:usb2="00000010" w:usb3="00000000" w:csb0="00100000" w:csb1="00000000"/>
  </w:font>
  <w:font w:name="MS PGothic">
    <w:panose1 w:val="00000000000000000000"/>
    <w:charset w:val="80"/>
    <w:family w:val="roman"/>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083745">
    <w:pPr>
      <w:pStyle w:val="Footer"/>
    </w:pPr>
    <w:r>
      <w:pict>
        <v:shapetype id="_x0000_t202" coordsize="21600,21600" o:spt="202" path="m,l,21600r21600,l21600,xe">
          <v:stroke joinstyle="miter"/>
          <v:path gradientshapeok="t" o:connecttype="rect"/>
        </v:shapetype>
        <v:shape id="_x0000_s2057" type="#_x0000_t202" style="position:absolute;left:0;text-align:left;margin-left:410.25pt;margin-top:7.9pt;width:90.6pt;height:11.35pt;z-index:251657216;mso-width-relative:margin;mso-height-relative:margin" filled="f" stroked="f">
          <v:textbox style="mso-next-textbox:#_x0000_s2057" inset="0,0,0,0">
            <w:txbxContent>
              <w:p w:rsidR="001E38F1" w:rsidRPr="00181404" w:rsidRDefault="001E38F1" w:rsidP="00097DBB">
                <w:pPr>
                  <w:rPr>
                    <w:color w:val="002060"/>
                  </w:rPr>
                </w:pPr>
                <w:r w:rsidRPr="00181404">
                  <w:rPr>
                    <w:color w:val="002060"/>
                  </w:rPr>
                  <w:t>www.hexaware.com</w:t>
                </w:r>
              </w:p>
            </w:txbxContent>
          </v:textbox>
        </v:shape>
      </w:pict>
    </w:r>
    <w:r>
      <w:pict>
        <v:shape id="_x0000_s2060" type="#_x0000_t202" style="position:absolute;left:0;text-align:left;margin-left:375pt;margin-top:18.25pt;width:125.85pt;height:11.35pt;z-index:251660288;mso-width-relative:margin;mso-height-relative:margin" filled="f" stroked="f">
          <v:textbox style="mso-next-textbox:#_x0000_s2060" inset="0,0,0,0">
            <w:txbxContent>
              <w:p w:rsidR="001E38F1" w:rsidRPr="00C74DF5" w:rsidRDefault="001E38F1" w:rsidP="003358EF">
                <w:pPr>
                  <w:rPr>
                    <w:color w:val="002060"/>
                  </w:rPr>
                </w:pPr>
                <w:r w:rsidRPr="00C74DF5">
                  <w:rPr>
                    <w:color w:val="EF7E22"/>
                  </w:rPr>
                  <w:t>[</w:t>
                </w:r>
                <w:r w:rsidRPr="00C74DF5">
                  <w:rPr>
                    <w:color w:val="002060"/>
                  </w:rPr>
                  <w:t>Proprietary and Confidential</w:t>
                </w:r>
                <w:r w:rsidRPr="00C74DF5">
                  <w:rPr>
                    <w:color w:val="EF7E22"/>
                  </w:rPr>
                  <w:t>]</w:t>
                </w:r>
              </w:p>
            </w:txbxContent>
          </v:textbox>
        </v:shape>
      </w:pict>
    </w:r>
    <w:r>
      <w:rPr>
        <w:lang w:eastAsia="zh-TW"/>
      </w:rPr>
      <w:pict>
        <v:shape id="_x0000_s2058" type="#_x0000_t202" style="position:absolute;left:0;text-align:left;margin-left:214.7pt;margin-top:9.4pt;width:50.4pt;height:22.7pt;z-index:251658240;mso-width-relative:margin;mso-height-relative:margin" filled="f" stroked="f">
          <v:textbox style="mso-next-textbox:#_x0000_s2058">
            <w:txbxContent>
              <w:p w:rsidR="001E38F1" w:rsidRPr="00181404" w:rsidRDefault="00083745" w:rsidP="00985094">
                <w:pPr>
                  <w:rPr>
                    <w:color w:val="002060"/>
                  </w:rPr>
                </w:pPr>
                <w:r w:rsidRPr="00181404">
                  <w:rPr>
                    <w:color w:val="002060"/>
                  </w:rPr>
                  <w:fldChar w:fldCharType="begin"/>
                </w:r>
                <w:r w:rsidR="001E38F1" w:rsidRPr="00181404">
                  <w:rPr>
                    <w:color w:val="002060"/>
                  </w:rPr>
                  <w:instrText xml:space="preserve"> PAGE    \* MERGEFORMAT </w:instrText>
                </w:r>
                <w:r w:rsidRPr="00181404">
                  <w:rPr>
                    <w:color w:val="002060"/>
                  </w:rPr>
                  <w:fldChar w:fldCharType="separate"/>
                </w:r>
                <w:r w:rsidR="00853ED7">
                  <w:rPr>
                    <w:noProof/>
                    <w:color w:val="002060"/>
                  </w:rPr>
                  <w:t>31</w:t>
                </w:r>
                <w:r w:rsidRPr="00181404">
                  <w:rPr>
                    <w:color w:val="002060"/>
                  </w:rPr>
                  <w:fldChar w:fldCharType="end"/>
                </w:r>
              </w:p>
            </w:txbxContent>
          </v:textbox>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083745">
    <w:pPr>
      <w:pStyle w:val="Footer"/>
    </w:pPr>
    <w:r>
      <w:rPr>
        <w:noProof/>
      </w:rPr>
      <w:pict>
        <v:shapetype id="_x0000_t202" coordsize="21600,21600" o:spt="202" path="m,l,21600r21600,l21600,xe">
          <v:stroke joinstyle="miter"/>
          <v:path gradientshapeok="t" o:connecttype="rect"/>
        </v:shapetype>
        <v:shape id="_x0000_s2066" type="#_x0000_t202" style="position:absolute;left:0;text-align:left;margin-left:411.75pt;margin-top:7.5pt;width:90.6pt;height:11.35pt;z-index:251664384;mso-width-relative:margin;mso-height-relative:margin" filled="f" stroked="f">
          <v:textbox style="mso-next-textbox:#_x0000_s2066" inset="0,0,0,0">
            <w:txbxContent>
              <w:p w:rsidR="001E38F1" w:rsidRPr="00181404" w:rsidRDefault="001E38F1" w:rsidP="00181404">
                <w:pPr>
                  <w:rPr>
                    <w:color w:val="002060"/>
                  </w:rPr>
                </w:pPr>
                <w:r w:rsidRPr="00181404">
                  <w:rPr>
                    <w:color w:val="002060"/>
                  </w:rPr>
                  <w:t>www.hexaware.com</w:t>
                </w:r>
              </w:p>
            </w:txbxContent>
          </v:textbox>
        </v:shape>
      </w:pict>
    </w:r>
    <w:r>
      <w:rPr>
        <w:noProof/>
      </w:rPr>
      <w:pict>
        <v:shape id="_x0000_s2064" type="#_x0000_t202" style="position:absolute;left:0;text-align:left;margin-left:376.95pt;margin-top:18.25pt;width:125.85pt;height:11.35pt;z-index:251662336;mso-width-relative:margin;mso-height-relative:margin" filled="f" stroked="f">
          <v:textbox style="mso-next-textbox:#_x0000_s2064" inset="0,0,0,0">
            <w:txbxContent>
              <w:p w:rsidR="001E38F1" w:rsidRPr="00C74DF5" w:rsidRDefault="001E38F1" w:rsidP="00C74DF5">
                <w:pPr>
                  <w:rPr>
                    <w:color w:val="002060"/>
                  </w:rPr>
                </w:pPr>
                <w:r w:rsidRPr="00C74DF5">
                  <w:rPr>
                    <w:color w:val="EF7E22"/>
                  </w:rPr>
                  <w:t>[</w:t>
                </w:r>
                <w:r w:rsidRPr="00C74DF5">
                  <w:rPr>
                    <w:color w:val="002060"/>
                  </w:rPr>
                  <w:t>Proprietary and Confidential</w:t>
                </w:r>
                <w:r w:rsidRPr="00C74DF5">
                  <w:rPr>
                    <w:color w:val="EF7E22"/>
                  </w:rPr>
                  <w:t>]</w:t>
                </w:r>
              </w:p>
              <w:p w:rsidR="001E38F1" w:rsidRPr="00C74DF5" w:rsidRDefault="001E38F1" w:rsidP="00C74DF5"/>
            </w:txbxContent>
          </v:textbox>
        </v:shape>
      </w:pict>
    </w:r>
    <w:r>
      <w:rPr>
        <w:noProof/>
      </w:rPr>
      <w:pict>
        <v:shape id="_x0000_s2065" type="#_x0000_t202" style="position:absolute;left:0;text-align:left;margin-left:-28.8pt;margin-top:15.05pt;width:218.55pt;height:13.05pt;z-index:251663360;mso-width-relative:margin;mso-height-relative:margin" filled="f" stroked="f">
          <v:textbox style="mso-next-textbox:#_x0000_s2065" inset="0,0,0,0">
            <w:txbxContent>
              <w:p w:rsidR="001E38F1" w:rsidRPr="00181404" w:rsidRDefault="001E38F1" w:rsidP="00181404">
                <w:pPr>
                  <w:rPr>
                    <w:color w:val="002060"/>
                  </w:rPr>
                </w:pPr>
                <w:r w:rsidRPr="00181404">
                  <w:rPr>
                    <w:color w:val="002060"/>
                  </w:rPr>
                  <w:t>© Hexaware Technologies Limited. All rights reserved.</w:t>
                </w:r>
              </w:p>
            </w:txbxContent>
          </v:textbox>
        </v:shape>
      </w:pict>
    </w:r>
    <w:r>
      <w:rPr>
        <w:noProof/>
      </w:rPr>
      <w:pict>
        <v:group id="_x0000_s2061" style="position:absolute;left:0;text-align:left;margin-left:-41.5pt;margin-top:1.25pt;width:549.85pt;height:6.25pt;z-index:251661312" coordorigin=",14913" coordsize="12240,141">
          <v:rect id="_x0000_s2062" style="position:absolute;top:14913;width:12240;height:71;flip:y" fillcolor="#1a325e" stroked="f"/>
          <v:rect id="_x0000_s2063" style="position:absolute;top:14983;width:12240;height:71;flip:y" fillcolor="#f9b81a" stroked="f"/>
        </v:group>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16FC" w:rsidRPr="00985094" w:rsidRDefault="002E16FC" w:rsidP="00985094">
      <w:r>
        <w:separator/>
      </w:r>
    </w:p>
  </w:footnote>
  <w:footnote w:type="continuationSeparator" w:id="0">
    <w:p w:rsidR="002E16FC" w:rsidRPr="00985094" w:rsidRDefault="002E16FC" w:rsidP="0098509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083745">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8" o:spid="_x0000_s2052" type="#_x0000_t75" style="position:absolute;left:0;text-align:left;margin-left:0;margin-top:0;width:612pt;height:11in;z-index:-251662336;mso-position-horizontal:center;mso-position-horizontal-relative:margin;mso-position-vertical:center;mso-position-vertical-relative:margin" o:allowincell="f">
          <v:imagedata r:id="rId1" o:title="border"/>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083745">
    <w:pPr>
      <w:pStyle w:val="Header"/>
    </w:pPr>
    <w:r>
      <w:rPr>
        <w:lang w:eastAsia="zh-TW"/>
      </w:rPr>
      <w:pict>
        <v:shapetype id="_x0000_t202" coordsize="21600,21600" o:spt="202" path="m,l,21600r21600,l21600,xe">
          <v:stroke joinstyle="miter"/>
          <v:path gradientshapeok="t" o:connecttype="rect"/>
        </v:shapetype>
        <v:shape id="_x0000_s2059" type="#_x0000_t202" style="position:absolute;left:0;text-align:left;margin-left:-1.45pt;margin-top:13.6pt;width:360.45pt;height:41.9pt;z-index:251659264;mso-width-relative:margin;mso-height-relative:margin" filled="f" stroked="f">
          <v:textbox style="mso-next-textbox:#_x0000_s2059" inset="0,0,0,0">
            <w:txbxContent>
              <w:p w:rsidR="001E38F1" w:rsidRPr="00985094" w:rsidRDefault="001E38F1" w:rsidP="004257F9">
                <w:pPr>
                  <w:pStyle w:val="DocumentHeading"/>
                </w:pPr>
              </w:p>
            </w:txbxContent>
          </v:textbox>
        </v:shape>
      </w:pict>
    </w:r>
    <w:r>
      <w:pict>
        <v:shape id="_x0000_s2051" type="#_x0000_t202" style="position:absolute;left:0;text-align:left;margin-left:376.35pt;margin-top:7.95pt;width:93.05pt;height:53.55pt;z-index:251653120;mso-wrap-style:none;mso-width-percent:400;mso-height-percent:200;mso-width-percent:400;mso-height-percent:200;mso-width-relative:margin;mso-height-relative:margin" stroked="f">
          <v:textbox style="mso-next-textbox:#_x0000_s2051;mso-fit-shape-to-text:t" inset="0,0,0,0">
            <w:txbxContent>
              <w:p w:rsidR="001E38F1" w:rsidRDefault="001E38F1" w:rsidP="009907B6">
                <w:r>
                  <w:rPr>
                    <w:noProof/>
                  </w:rPr>
                  <w:drawing>
                    <wp:inline distT="0" distB="0" distL="0" distR="0">
                      <wp:extent cx="1152525" cy="533400"/>
                      <wp:effectExtent l="19050" t="0" r="9525" b="0"/>
                      <wp:docPr id="21" name="Picture 9" descr="hexaware_color_logo_taglin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xaware_color_logo_tagline.wmf"/>
                              <pic:cNvPicPr>
                                <a:picLocks noChangeAspect="1" noChangeArrowheads="1"/>
                              </pic:cNvPicPr>
                            </pic:nvPicPr>
                            <pic:blipFill>
                              <a:blip r:embed="rId1"/>
                              <a:srcRect/>
                              <a:stretch>
                                <a:fillRect/>
                              </a:stretch>
                            </pic:blipFill>
                            <pic:spPr bwMode="auto">
                              <a:xfrm>
                                <a:off x="0" y="0"/>
                                <a:ext cx="1152525" cy="533400"/>
                              </a:xfrm>
                              <a:prstGeom prst="rect">
                                <a:avLst/>
                              </a:prstGeom>
                              <a:noFill/>
                              <a:ln w="9525">
                                <a:noFill/>
                                <a:miter lim="800000"/>
                                <a:headEnd/>
                                <a:tailEnd/>
                              </a:ln>
                            </pic:spPr>
                          </pic:pic>
                        </a:graphicData>
                      </a:graphic>
                    </wp:inline>
                  </w:drawing>
                </w:r>
              </w:p>
            </w:txbxContent>
          </v:textbox>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9" o:spid="_x0000_s2050" type="#_x0000_t75" style="position:absolute;left:0;text-align:left;margin-left:-1in;margin-top:-108.15pt;width:612pt;height:11in;z-index:-251664384;mso-position-horizontal-relative:margin;mso-position-vertical-relative:margin" o:allowincell="f">
          <v:imagedata r:id="rId2" o:title="border"/>
          <w10:wrap anchorx="margin" anchory="margin"/>
        </v:shape>
      </w:pict>
    </w:r>
    <w:r>
      <w:pict>
        <v:shape id="_x0000_s2056" type="#_x0000_t202" style="position:absolute;left:0;text-align:left;margin-left:-28.8pt;margin-top:709.95pt;width:218.55pt;height:13.05pt;z-index:251656192;mso-width-relative:margin;mso-height-relative:margin" filled="f" stroked="f">
          <v:textbox style="mso-next-textbox:#_x0000_s2056" inset="0,0,0,0">
            <w:txbxContent>
              <w:p w:rsidR="001E38F1" w:rsidRPr="00181404" w:rsidRDefault="001E38F1" w:rsidP="00AA0F93">
                <w:pPr>
                  <w:rPr>
                    <w:color w:val="002060"/>
                  </w:rPr>
                </w:pPr>
                <w:r w:rsidRPr="00181404">
                  <w:rPr>
                    <w:color w:val="002060"/>
                  </w:rPr>
                  <w:t>© Hexaware Technologies Limited. All rights reserved.</w:t>
                </w:r>
              </w:p>
            </w:txbxContent>
          </v:textbox>
        </v:shape>
      </w:pict>
    </w:r>
    <w:r>
      <w:pict>
        <v:group id="_x0000_s2053" style="position:absolute;left:0;text-align:left;margin-left:-41.5pt;margin-top:695.4pt;width:549.85pt;height:6.25pt;z-index:251655168" coordorigin=",14913" coordsize="12240,141">
          <v:rect id="_x0000_s2054" style="position:absolute;top:14913;width:12240;height:71;flip:y" fillcolor="#1a325e" stroked="f"/>
          <v:rect id="_x0000_s2055" style="position:absolute;top:14983;width:12240;height:71;flip:y" fillcolor="#f9b81a" stroked="f"/>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8F1" w:rsidRDefault="00083745">
    <w:pPr>
      <w:pStyle w:val="Head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08497687" o:spid="_x0000_s2049" type="#_x0000_t75" style="position:absolute;left:0;text-align:left;margin-left:-1in;margin-top:-106.95pt;width:612pt;height:11in;z-index:-251665408;mso-position-horizontal-relative:margin;mso-position-vertical-relative:margin" o:allowincell="f">
          <v:imagedata r:id="rId1" o:title="border"/>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3"/>
    <w:multiLevelType w:val="singleLevel"/>
    <w:tmpl w:val="77C067E0"/>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2703182"/>
    <w:multiLevelType w:val="hybridMultilevel"/>
    <w:tmpl w:val="F44CC2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5B47394"/>
    <w:multiLevelType w:val="hybridMultilevel"/>
    <w:tmpl w:val="834A303C"/>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BF190F"/>
    <w:multiLevelType w:val="hybridMultilevel"/>
    <w:tmpl w:val="FD2E518A"/>
    <w:lvl w:ilvl="0" w:tplc="04090001">
      <w:start w:val="1"/>
      <w:numFmt w:val="bullet"/>
      <w:lvlText w:val=""/>
      <w:lvlJc w:val="left"/>
      <w:pPr>
        <w:ind w:left="720" w:hanging="360"/>
      </w:pPr>
      <w:rPr>
        <w:rFonts w:ascii="Symbol" w:hAnsi="Symbol" w:hint="default"/>
        <w:color w:val="0020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D11485"/>
    <w:multiLevelType w:val="hybridMultilevel"/>
    <w:tmpl w:val="C9FA08D6"/>
    <w:lvl w:ilvl="0" w:tplc="16C4B7B4">
      <w:start w:val="1"/>
      <w:numFmt w:val="lowerLetter"/>
      <w:pStyle w:val="bulletsalpha"/>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D23DE5"/>
    <w:multiLevelType w:val="hybridMultilevel"/>
    <w:tmpl w:val="71CC3288"/>
    <w:lvl w:ilvl="0" w:tplc="316ED2D2">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E6C4AE8"/>
    <w:multiLevelType w:val="hybridMultilevel"/>
    <w:tmpl w:val="8D5A1962"/>
    <w:lvl w:ilvl="0" w:tplc="EB26A736">
      <w:start w:val="1"/>
      <w:numFmt w:val="bullet"/>
      <w:pStyle w:val="BulletList3"/>
      <w:lvlText w:val=""/>
      <w:lvlJc w:val="left"/>
      <w:pPr>
        <w:ind w:left="1080" w:hanging="360"/>
      </w:pPr>
      <w:rPr>
        <w:rFonts w:ascii="Wingdings" w:hAnsi="Wingdings" w:hint="default"/>
        <w:color w:val="002060"/>
      </w:rPr>
    </w:lvl>
    <w:lvl w:ilvl="1" w:tplc="EB26A736">
      <w:start w:val="1"/>
      <w:numFmt w:val="bullet"/>
      <w:lvlText w:val=""/>
      <w:lvlJc w:val="left"/>
      <w:pPr>
        <w:ind w:left="1800" w:hanging="360"/>
      </w:pPr>
      <w:rPr>
        <w:rFonts w:ascii="Wingdings" w:hAnsi="Wingdings" w:hint="default"/>
        <w:color w:val="002060"/>
      </w:rPr>
    </w:lvl>
    <w:lvl w:ilvl="2" w:tplc="B200474E"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243962F9"/>
    <w:multiLevelType w:val="multilevel"/>
    <w:tmpl w:val="5E88F13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3150" w:hanging="720"/>
      </w:pPr>
      <w:rPr>
        <w:rFonts w:hint="default"/>
        <w:color w:val="FFFFFF" w:themeColor="background1"/>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2536342D"/>
    <w:multiLevelType w:val="hybridMultilevel"/>
    <w:tmpl w:val="D3D88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color w:val="002060"/>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32867E93"/>
    <w:multiLevelType w:val="hybridMultilevel"/>
    <w:tmpl w:val="20A01B8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5912B32"/>
    <w:multiLevelType w:val="hybridMultilevel"/>
    <w:tmpl w:val="934C2FBC"/>
    <w:lvl w:ilvl="0" w:tplc="04090005">
      <w:start w:val="1"/>
      <w:numFmt w:val="bullet"/>
      <w:lvlText w:val=""/>
      <w:lvlJc w:val="left"/>
      <w:pPr>
        <w:ind w:left="1080" w:hanging="360"/>
      </w:pPr>
      <w:rPr>
        <w:rFonts w:ascii="Wingdings" w:hAnsi="Wingdings" w:hint="default"/>
        <w:color w:val="002060"/>
      </w:rPr>
    </w:lvl>
    <w:lvl w:ilvl="1" w:tplc="EB26A736">
      <w:start w:val="1"/>
      <w:numFmt w:val="bullet"/>
      <w:lvlText w:val=""/>
      <w:lvlJc w:val="left"/>
      <w:pPr>
        <w:ind w:left="1800" w:hanging="360"/>
      </w:pPr>
      <w:rPr>
        <w:rFonts w:ascii="Wingdings" w:hAnsi="Wingdings" w:hint="default"/>
        <w:color w:val="002060"/>
      </w:rPr>
    </w:lvl>
    <w:lvl w:ilvl="2" w:tplc="B200474E"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412B43CB"/>
    <w:multiLevelType w:val="hybridMultilevel"/>
    <w:tmpl w:val="1770AB92"/>
    <w:lvl w:ilvl="0" w:tplc="222E8D6C">
      <w:start w:val="1"/>
      <w:numFmt w:val="bullet"/>
      <w:pStyle w:val="ListParagraph"/>
      <w:lvlText w:val=""/>
      <w:lvlJc w:val="left"/>
      <w:pPr>
        <w:ind w:left="1440" w:hanging="360"/>
      </w:pPr>
      <w:rPr>
        <w:rFonts w:ascii="Symbol" w:hAnsi="Symbol" w:hint="default"/>
        <w:color w:val="EF7E22"/>
      </w:rPr>
    </w:lvl>
    <w:lvl w:ilvl="1" w:tplc="316ED2D2"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F176FD9"/>
    <w:multiLevelType w:val="hybridMultilevel"/>
    <w:tmpl w:val="71925E34"/>
    <w:lvl w:ilvl="0" w:tplc="222E8D6C">
      <w:start w:val="1"/>
      <w:numFmt w:val="bullet"/>
      <w:pStyle w:val="mainlist"/>
      <w:lvlText w:val=""/>
      <w:lvlJc w:val="left"/>
      <w:pPr>
        <w:ind w:left="720" w:hanging="360"/>
      </w:pPr>
      <w:rPr>
        <w:rFonts w:ascii="Symbol" w:hAnsi="Symbol" w:hint="default"/>
        <w:color w:val="EF7E22"/>
      </w:rPr>
    </w:lvl>
    <w:lvl w:ilvl="1" w:tplc="316ED2D2">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7C4D7C"/>
    <w:multiLevelType w:val="hybridMultilevel"/>
    <w:tmpl w:val="B4827E30"/>
    <w:lvl w:ilvl="0" w:tplc="0409000F">
      <w:start w:val="1"/>
      <w:numFmt w:val="bullet"/>
      <w:pStyle w:val="bulletlist"/>
      <w:lvlText w:val=""/>
      <w:lvlJc w:val="left"/>
      <w:pPr>
        <w:ind w:left="360" w:hanging="360"/>
      </w:pPr>
      <w:rPr>
        <w:rFonts w:ascii="Symbol" w:hAnsi="Symbol" w:hint="default"/>
        <w:color w:val="EF7E22"/>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nsid w:val="553A5111"/>
    <w:multiLevelType w:val="multilevel"/>
    <w:tmpl w:val="2F1CB936"/>
    <w:styleLink w:val="Style2"/>
    <w:lvl w:ilvl="0">
      <w:start w:val="2"/>
      <w:numFmt w:val="decimal"/>
      <w:lvlText w:val="%1"/>
      <w:lvlJc w:val="left"/>
      <w:pPr>
        <w:tabs>
          <w:tab w:val="num" w:pos="432"/>
        </w:tabs>
        <w:ind w:left="432" w:hanging="432"/>
      </w:pPr>
      <w:rPr>
        <w:rFonts w:hint="default"/>
        <w:sz w:val="28"/>
        <w:szCs w:val="28"/>
      </w:rPr>
    </w:lvl>
    <w:lvl w:ilvl="1">
      <w:start w:val="1"/>
      <w:numFmt w:val="decimal"/>
      <w:lvlText w:val="%1.%2"/>
      <w:lvlJc w:val="left"/>
      <w:pPr>
        <w:tabs>
          <w:tab w:val="num" w:pos="576"/>
        </w:tabs>
        <w:ind w:left="576" w:hanging="576"/>
      </w:pPr>
      <w:rPr>
        <w:rFonts w:hint="default"/>
        <w:b/>
        <w:color w:val="00206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5">
    <w:nsid w:val="57F63C61"/>
    <w:multiLevelType w:val="hybridMultilevel"/>
    <w:tmpl w:val="AD40E238"/>
    <w:lvl w:ilvl="0" w:tplc="19229E06">
      <w:start w:val="1"/>
      <w:numFmt w:val="bullet"/>
      <w:lvlText w:val=""/>
      <w:lvlJc w:val="left"/>
      <w:pPr>
        <w:ind w:left="720" w:hanging="360"/>
      </w:pPr>
      <w:rPr>
        <w:rFonts w:ascii="Wingdings" w:hAnsi="Wingdings" w:hint="default"/>
        <w:color w:val="E36C0A"/>
      </w:rPr>
    </w:lvl>
    <w:lvl w:ilvl="1" w:tplc="08090003">
      <w:start w:val="1"/>
      <w:numFmt w:val="bullet"/>
      <w:lvlText w:val=""/>
      <w:lvlJc w:val="left"/>
      <w:pPr>
        <w:ind w:left="1440" w:hanging="360"/>
      </w:pPr>
      <w:rPr>
        <w:rFonts w:ascii="Symbol" w:hAnsi="Symbol" w:hint="default"/>
        <w:color w:val="EF7E22"/>
      </w:rPr>
    </w:lvl>
    <w:lvl w:ilvl="2" w:tplc="08090005">
      <w:start w:val="1"/>
      <w:numFmt w:val="bullet"/>
      <w:lvlText w:val=""/>
      <w:lvlJc w:val="left"/>
      <w:pPr>
        <w:ind w:left="2160" w:hanging="360"/>
      </w:pPr>
      <w:rPr>
        <w:rFonts w:ascii="Wingdings" w:hAnsi="Wingdings" w:hint="default"/>
        <w:color w:val="002060"/>
      </w:rPr>
    </w:lvl>
    <w:lvl w:ilvl="3" w:tplc="33D84748">
      <w:start w:val="1"/>
      <w:numFmt w:val="bullet"/>
      <w:pStyle w:val="BulletList4"/>
      <w:lvlText w:val=""/>
      <w:lvlJc w:val="left"/>
      <w:pPr>
        <w:ind w:left="2880" w:hanging="360"/>
      </w:pPr>
      <w:rPr>
        <w:rFonts w:ascii="Symbol" w:hAnsi="Symbol" w:hint="default"/>
        <w:color w:val="002060"/>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EAE0C66"/>
    <w:multiLevelType w:val="hybridMultilevel"/>
    <w:tmpl w:val="E30AAEBE"/>
    <w:lvl w:ilvl="0" w:tplc="04090001">
      <w:start w:val="1"/>
      <w:numFmt w:val="decimal"/>
      <w:pStyle w:val="ListNumbered"/>
      <w:lvlText w:val="%1."/>
      <w:lvlJc w:val="left"/>
      <w:pPr>
        <w:ind w:left="1008" w:hanging="360"/>
      </w:pPr>
      <w:rPr>
        <w:rFonts w:hint="default"/>
        <w:color w:val="002060"/>
      </w:rPr>
    </w:lvl>
    <w:lvl w:ilvl="1" w:tplc="04090003">
      <w:start w:val="1"/>
      <w:numFmt w:val="lowerLetter"/>
      <w:pStyle w:val="ListAlphabets"/>
      <w:lvlText w:val="%2."/>
      <w:lvlJc w:val="left"/>
      <w:pPr>
        <w:ind w:left="1728" w:hanging="360"/>
      </w:pPr>
      <w:rPr>
        <w:rFonts w:hint="default"/>
        <w:color w:val="002060"/>
      </w:rPr>
    </w:lvl>
    <w:lvl w:ilvl="2" w:tplc="04090005">
      <w:start w:val="1"/>
      <w:numFmt w:val="lowerLetter"/>
      <w:lvlText w:val="%3."/>
      <w:lvlJc w:val="left"/>
      <w:pPr>
        <w:ind w:left="2808" w:hanging="720"/>
      </w:pPr>
      <w:rPr>
        <w:rFont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nsid w:val="64D92E62"/>
    <w:multiLevelType w:val="hybridMultilevel"/>
    <w:tmpl w:val="47E6C6D2"/>
    <w:lvl w:ilvl="0" w:tplc="04090001">
      <w:start w:val="1"/>
      <w:numFmt w:val="bullet"/>
      <w:lvlText w:val=""/>
      <w:lvlJc w:val="left"/>
      <w:pPr>
        <w:ind w:left="360" w:hanging="360"/>
      </w:pPr>
      <w:rPr>
        <w:rFonts w:ascii="Symbol" w:hAnsi="Symbol" w:hint="default"/>
        <w:color w:val="00206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707F0EE0"/>
    <w:multiLevelType w:val="hybridMultilevel"/>
    <w:tmpl w:val="9C6EBDE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nsid w:val="753B272A"/>
    <w:multiLevelType w:val="hybridMultilevel"/>
    <w:tmpl w:val="D6201C72"/>
    <w:lvl w:ilvl="0" w:tplc="E1200994">
      <w:start w:val="1"/>
      <w:numFmt w:val="lowerRoman"/>
      <w:lvlText w:val="%1."/>
      <w:lvlJc w:val="left"/>
      <w:pPr>
        <w:ind w:left="1920" w:hanging="72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0">
    <w:nsid w:val="7DEF0543"/>
    <w:multiLevelType w:val="hybridMultilevel"/>
    <w:tmpl w:val="6AE07036"/>
    <w:lvl w:ilvl="0" w:tplc="E7E84B62">
      <w:start w:val="1"/>
      <w:numFmt w:val="bullet"/>
      <w:pStyle w:val="BulletedLis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080"/>
        </w:tabs>
        <w:ind w:left="1080" w:hanging="360"/>
      </w:pPr>
      <w:rPr>
        <w:rFonts w:ascii="Courier New" w:hAnsi="Courier New" w:cs="Courier New" w:hint="default"/>
      </w:rPr>
    </w:lvl>
    <w:lvl w:ilvl="2" w:tplc="0409001B" w:tentative="1">
      <w:start w:val="1"/>
      <w:numFmt w:val="bullet"/>
      <w:lvlText w:val=""/>
      <w:lvlJc w:val="left"/>
      <w:pPr>
        <w:tabs>
          <w:tab w:val="num" w:pos="1800"/>
        </w:tabs>
        <w:ind w:left="1800" w:hanging="360"/>
      </w:pPr>
      <w:rPr>
        <w:rFonts w:ascii="Wingdings" w:hAnsi="Wingding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num w:numId="1">
    <w:abstractNumId w:val="7"/>
  </w:num>
  <w:num w:numId="2">
    <w:abstractNumId w:val="4"/>
  </w:num>
  <w:num w:numId="3">
    <w:abstractNumId w:val="13"/>
  </w:num>
  <w:num w:numId="4">
    <w:abstractNumId w:val="11"/>
  </w:num>
  <w:num w:numId="5">
    <w:abstractNumId w:val="12"/>
  </w:num>
  <w:num w:numId="6">
    <w:abstractNumId w:val="20"/>
  </w:num>
  <w:num w:numId="7">
    <w:abstractNumId w:val="16"/>
  </w:num>
  <w:num w:numId="8">
    <w:abstractNumId w:val="19"/>
  </w:num>
  <w:num w:numId="9">
    <w:abstractNumId w:val="5"/>
  </w:num>
  <w:num w:numId="10">
    <w:abstractNumId w:val="15"/>
  </w:num>
  <w:num w:numId="11">
    <w:abstractNumId w:val="14"/>
  </w:num>
  <w:num w:numId="12">
    <w:abstractNumId w:val="1"/>
  </w:num>
  <w:num w:numId="13">
    <w:abstractNumId w:val="17"/>
  </w:num>
  <w:num w:numId="14">
    <w:abstractNumId w:val="6"/>
  </w:num>
  <w:num w:numId="15">
    <w:abstractNumId w:val="0"/>
  </w:num>
  <w:num w:numId="16">
    <w:abstractNumId w:val="18"/>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9"/>
  </w:num>
  <w:num w:numId="19">
    <w:abstractNumId w:val="2"/>
  </w:num>
  <w:num w:numId="20">
    <w:abstractNumId w:val="10"/>
  </w:num>
  <w:num w:numId="21">
    <w:abstractNumId w:val="8"/>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styleLockTheme/>
  <w:styleLockQFSet/>
  <w:defaultTabStop w:val="720"/>
  <w:defaultTableStyle w:val="Hexaware"/>
  <w:drawingGridHorizontalSpacing w:val="90"/>
  <w:displayHorizontalDrawingGridEvery w:val="2"/>
  <w:characterSpacingControl w:val="doNotCompress"/>
  <w:hdrShapeDefaults>
    <o:shapedefaults v:ext="edit" spidmax="32770"/>
    <o:shapelayout v:ext="edit">
      <o:idmap v:ext="edit" data="2"/>
    </o:shapelayout>
  </w:hdrShapeDefaults>
  <w:footnotePr>
    <w:footnote w:id="-1"/>
    <w:footnote w:id="0"/>
  </w:footnotePr>
  <w:endnotePr>
    <w:endnote w:id="-1"/>
    <w:endnote w:id="0"/>
  </w:endnotePr>
  <w:compat/>
  <w:rsids>
    <w:rsidRoot w:val="00B70143"/>
    <w:rsid w:val="000075D5"/>
    <w:rsid w:val="00011C94"/>
    <w:rsid w:val="00022394"/>
    <w:rsid w:val="00034DF9"/>
    <w:rsid w:val="00040202"/>
    <w:rsid w:val="00041586"/>
    <w:rsid w:val="00042F98"/>
    <w:rsid w:val="00043B40"/>
    <w:rsid w:val="00045E39"/>
    <w:rsid w:val="00046EA0"/>
    <w:rsid w:val="000519A6"/>
    <w:rsid w:val="00054787"/>
    <w:rsid w:val="000573A0"/>
    <w:rsid w:val="00061659"/>
    <w:rsid w:val="00064679"/>
    <w:rsid w:val="000669FC"/>
    <w:rsid w:val="00070976"/>
    <w:rsid w:val="00071EFC"/>
    <w:rsid w:val="000727BF"/>
    <w:rsid w:val="00074083"/>
    <w:rsid w:val="00075750"/>
    <w:rsid w:val="00077E41"/>
    <w:rsid w:val="0008049E"/>
    <w:rsid w:val="00083745"/>
    <w:rsid w:val="00086C4B"/>
    <w:rsid w:val="0009783C"/>
    <w:rsid w:val="00097DBB"/>
    <w:rsid w:val="000A224A"/>
    <w:rsid w:val="000A5335"/>
    <w:rsid w:val="000B210F"/>
    <w:rsid w:val="000B359A"/>
    <w:rsid w:val="000C2119"/>
    <w:rsid w:val="000C568E"/>
    <w:rsid w:val="000C703C"/>
    <w:rsid w:val="000D49EE"/>
    <w:rsid w:val="000D6033"/>
    <w:rsid w:val="000E249F"/>
    <w:rsid w:val="000E2E73"/>
    <w:rsid w:val="000E4FDA"/>
    <w:rsid w:val="000E655E"/>
    <w:rsid w:val="00107F05"/>
    <w:rsid w:val="00112C28"/>
    <w:rsid w:val="00113EB8"/>
    <w:rsid w:val="00131335"/>
    <w:rsid w:val="00134D26"/>
    <w:rsid w:val="00140989"/>
    <w:rsid w:val="001529AA"/>
    <w:rsid w:val="001532A3"/>
    <w:rsid w:val="00155442"/>
    <w:rsid w:val="00160141"/>
    <w:rsid w:val="00166725"/>
    <w:rsid w:val="001809E6"/>
    <w:rsid w:val="00181404"/>
    <w:rsid w:val="00190731"/>
    <w:rsid w:val="001A0953"/>
    <w:rsid w:val="001A1FEB"/>
    <w:rsid w:val="001A290A"/>
    <w:rsid w:val="001A5FA2"/>
    <w:rsid w:val="001A72F2"/>
    <w:rsid w:val="001B4D69"/>
    <w:rsid w:val="001B532C"/>
    <w:rsid w:val="001B768D"/>
    <w:rsid w:val="001C7146"/>
    <w:rsid w:val="001E38F1"/>
    <w:rsid w:val="001F3D9E"/>
    <w:rsid w:val="001F534E"/>
    <w:rsid w:val="00200DC3"/>
    <w:rsid w:val="00204893"/>
    <w:rsid w:val="00210886"/>
    <w:rsid w:val="00210E33"/>
    <w:rsid w:val="00214BC9"/>
    <w:rsid w:val="00217BEA"/>
    <w:rsid w:val="00220E27"/>
    <w:rsid w:val="00230FD2"/>
    <w:rsid w:val="00247E01"/>
    <w:rsid w:val="00260241"/>
    <w:rsid w:val="00264264"/>
    <w:rsid w:val="00264CC3"/>
    <w:rsid w:val="0028168A"/>
    <w:rsid w:val="002A3F0A"/>
    <w:rsid w:val="002A51CF"/>
    <w:rsid w:val="002A5392"/>
    <w:rsid w:val="002B3D68"/>
    <w:rsid w:val="002B51A5"/>
    <w:rsid w:val="002B7A70"/>
    <w:rsid w:val="002D0F25"/>
    <w:rsid w:val="002D743B"/>
    <w:rsid w:val="002E16FC"/>
    <w:rsid w:val="002F3383"/>
    <w:rsid w:val="002F48E6"/>
    <w:rsid w:val="00317AAA"/>
    <w:rsid w:val="00321153"/>
    <w:rsid w:val="00321C1E"/>
    <w:rsid w:val="003302A1"/>
    <w:rsid w:val="0033074E"/>
    <w:rsid w:val="00331856"/>
    <w:rsid w:val="003358EF"/>
    <w:rsid w:val="00340DC8"/>
    <w:rsid w:val="003453B3"/>
    <w:rsid w:val="0035391C"/>
    <w:rsid w:val="00354741"/>
    <w:rsid w:val="0035799D"/>
    <w:rsid w:val="00363152"/>
    <w:rsid w:val="00363AF5"/>
    <w:rsid w:val="00370C9A"/>
    <w:rsid w:val="00376BB9"/>
    <w:rsid w:val="0037746B"/>
    <w:rsid w:val="003815C0"/>
    <w:rsid w:val="00390787"/>
    <w:rsid w:val="00392110"/>
    <w:rsid w:val="00394CA5"/>
    <w:rsid w:val="00397874"/>
    <w:rsid w:val="003A0CD8"/>
    <w:rsid w:val="003A4271"/>
    <w:rsid w:val="003B561A"/>
    <w:rsid w:val="003D3E0E"/>
    <w:rsid w:val="003D3F59"/>
    <w:rsid w:val="003E2FEB"/>
    <w:rsid w:val="003F5F50"/>
    <w:rsid w:val="003F622D"/>
    <w:rsid w:val="004006D4"/>
    <w:rsid w:val="00401B56"/>
    <w:rsid w:val="00401DEE"/>
    <w:rsid w:val="00412FC0"/>
    <w:rsid w:val="00421D26"/>
    <w:rsid w:val="0042248F"/>
    <w:rsid w:val="00423A65"/>
    <w:rsid w:val="004257F9"/>
    <w:rsid w:val="00426F90"/>
    <w:rsid w:val="00433143"/>
    <w:rsid w:val="0043494C"/>
    <w:rsid w:val="00434E0C"/>
    <w:rsid w:val="00435D74"/>
    <w:rsid w:val="004424EE"/>
    <w:rsid w:val="00451CBD"/>
    <w:rsid w:val="004601AC"/>
    <w:rsid w:val="00465D11"/>
    <w:rsid w:val="00466E7E"/>
    <w:rsid w:val="00477B35"/>
    <w:rsid w:val="0048249D"/>
    <w:rsid w:val="00483C3D"/>
    <w:rsid w:val="00487407"/>
    <w:rsid w:val="00496D7C"/>
    <w:rsid w:val="004A2F15"/>
    <w:rsid w:val="004C7B1E"/>
    <w:rsid w:val="004E5DAF"/>
    <w:rsid w:val="004F01E5"/>
    <w:rsid w:val="004F1422"/>
    <w:rsid w:val="004F78B7"/>
    <w:rsid w:val="004F7F71"/>
    <w:rsid w:val="00506A30"/>
    <w:rsid w:val="0051106F"/>
    <w:rsid w:val="00513E83"/>
    <w:rsid w:val="00533491"/>
    <w:rsid w:val="005353F9"/>
    <w:rsid w:val="00542B01"/>
    <w:rsid w:val="00543DDD"/>
    <w:rsid w:val="005522ED"/>
    <w:rsid w:val="00554D19"/>
    <w:rsid w:val="005611C4"/>
    <w:rsid w:val="00571D86"/>
    <w:rsid w:val="005737B5"/>
    <w:rsid w:val="00573D2D"/>
    <w:rsid w:val="00574A00"/>
    <w:rsid w:val="005907DF"/>
    <w:rsid w:val="0059307C"/>
    <w:rsid w:val="005962AB"/>
    <w:rsid w:val="0059717B"/>
    <w:rsid w:val="00597A5D"/>
    <w:rsid w:val="005A2F5B"/>
    <w:rsid w:val="005A6892"/>
    <w:rsid w:val="005B3EBB"/>
    <w:rsid w:val="005B6DCD"/>
    <w:rsid w:val="005B7AFF"/>
    <w:rsid w:val="005C319D"/>
    <w:rsid w:val="005C38E5"/>
    <w:rsid w:val="005C4426"/>
    <w:rsid w:val="005C6493"/>
    <w:rsid w:val="005D2D31"/>
    <w:rsid w:val="005F11DB"/>
    <w:rsid w:val="005F3BAB"/>
    <w:rsid w:val="005F4694"/>
    <w:rsid w:val="005F5A31"/>
    <w:rsid w:val="00603316"/>
    <w:rsid w:val="0060338E"/>
    <w:rsid w:val="00607790"/>
    <w:rsid w:val="0062352A"/>
    <w:rsid w:val="0062744D"/>
    <w:rsid w:val="006348CE"/>
    <w:rsid w:val="0063618B"/>
    <w:rsid w:val="00643BAF"/>
    <w:rsid w:val="00644743"/>
    <w:rsid w:val="00644994"/>
    <w:rsid w:val="00650861"/>
    <w:rsid w:val="00655D11"/>
    <w:rsid w:val="00660C11"/>
    <w:rsid w:val="00666F50"/>
    <w:rsid w:val="006733E8"/>
    <w:rsid w:val="0067679D"/>
    <w:rsid w:val="00680B76"/>
    <w:rsid w:val="00682659"/>
    <w:rsid w:val="00683FCC"/>
    <w:rsid w:val="00695E34"/>
    <w:rsid w:val="006B34A7"/>
    <w:rsid w:val="006C0AB0"/>
    <w:rsid w:val="006C26B6"/>
    <w:rsid w:val="006C2AA1"/>
    <w:rsid w:val="006C305A"/>
    <w:rsid w:val="006C6CB3"/>
    <w:rsid w:val="006D43E3"/>
    <w:rsid w:val="006E0EFA"/>
    <w:rsid w:val="006E590E"/>
    <w:rsid w:val="006E5B38"/>
    <w:rsid w:val="006F341F"/>
    <w:rsid w:val="006F4098"/>
    <w:rsid w:val="007074B8"/>
    <w:rsid w:val="00713F74"/>
    <w:rsid w:val="00721256"/>
    <w:rsid w:val="007227A4"/>
    <w:rsid w:val="007231E9"/>
    <w:rsid w:val="00730D9D"/>
    <w:rsid w:val="007321FF"/>
    <w:rsid w:val="007373DD"/>
    <w:rsid w:val="00742FFD"/>
    <w:rsid w:val="007459C8"/>
    <w:rsid w:val="00752B40"/>
    <w:rsid w:val="007569AE"/>
    <w:rsid w:val="007648C3"/>
    <w:rsid w:val="0076669A"/>
    <w:rsid w:val="0077698C"/>
    <w:rsid w:val="00785C89"/>
    <w:rsid w:val="007A35A0"/>
    <w:rsid w:val="007A4095"/>
    <w:rsid w:val="007A6339"/>
    <w:rsid w:val="007B07B8"/>
    <w:rsid w:val="007B0AF2"/>
    <w:rsid w:val="007B2041"/>
    <w:rsid w:val="007C49BF"/>
    <w:rsid w:val="007D2445"/>
    <w:rsid w:val="007D4DD1"/>
    <w:rsid w:val="007E2B40"/>
    <w:rsid w:val="007E4C13"/>
    <w:rsid w:val="008025BB"/>
    <w:rsid w:val="00803BB0"/>
    <w:rsid w:val="00814562"/>
    <w:rsid w:val="00820784"/>
    <w:rsid w:val="00824898"/>
    <w:rsid w:val="008258FB"/>
    <w:rsid w:val="0083457A"/>
    <w:rsid w:val="00837F76"/>
    <w:rsid w:val="00853ED7"/>
    <w:rsid w:val="00856507"/>
    <w:rsid w:val="0086394A"/>
    <w:rsid w:val="0087342A"/>
    <w:rsid w:val="00873938"/>
    <w:rsid w:val="0087720D"/>
    <w:rsid w:val="008842C6"/>
    <w:rsid w:val="00887300"/>
    <w:rsid w:val="00892FF5"/>
    <w:rsid w:val="008B0800"/>
    <w:rsid w:val="008C442F"/>
    <w:rsid w:val="008C4975"/>
    <w:rsid w:val="008C58AC"/>
    <w:rsid w:val="008D39CF"/>
    <w:rsid w:val="008D529C"/>
    <w:rsid w:val="008D638B"/>
    <w:rsid w:val="008E1C21"/>
    <w:rsid w:val="008E7092"/>
    <w:rsid w:val="008F101F"/>
    <w:rsid w:val="008F7388"/>
    <w:rsid w:val="0090554A"/>
    <w:rsid w:val="009134F9"/>
    <w:rsid w:val="00921841"/>
    <w:rsid w:val="00923CDA"/>
    <w:rsid w:val="0093129A"/>
    <w:rsid w:val="00931542"/>
    <w:rsid w:val="00933942"/>
    <w:rsid w:val="009426BD"/>
    <w:rsid w:val="009574C3"/>
    <w:rsid w:val="009574CB"/>
    <w:rsid w:val="00965DC7"/>
    <w:rsid w:val="00974E32"/>
    <w:rsid w:val="00982AB3"/>
    <w:rsid w:val="00982CA0"/>
    <w:rsid w:val="00985094"/>
    <w:rsid w:val="00986C3D"/>
    <w:rsid w:val="009907B6"/>
    <w:rsid w:val="009964AB"/>
    <w:rsid w:val="009C331A"/>
    <w:rsid w:val="009C6BC4"/>
    <w:rsid w:val="009D1AA7"/>
    <w:rsid w:val="009D516E"/>
    <w:rsid w:val="009D72BB"/>
    <w:rsid w:val="009D77D4"/>
    <w:rsid w:val="009D7CA7"/>
    <w:rsid w:val="009E0D93"/>
    <w:rsid w:val="009E119B"/>
    <w:rsid w:val="009E3595"/>
    <w:rsid w:val="009E65B0"/>
    <w:rsid w:val="009F4885"/>
    <w:rsid w:val="009F6FD5"/>
    <w:rsid w:val="00A13A9D"/>
    <w:rsid w:val="00A16E6A"/>
    <w:rsid w:val="00A17199"/>
    <w:rsid w:val="00A255A0"/>
    <w:rsid w:val="00A31F33"/>
    <w:rsid w:val="00A32536"/>
    <w:rsid w:val="00A33DAC"/>
    <w:rsid w:val="00A378BE"/>
    <w:rsid w:val="00A406DE"/>
    <w:rsid w:val="00A42892"/>
    <w:rsid w:val="00A47813"/>
    <w:rsid w:val="00A52DEB"/>
    <w:rsid w:val="00A623F7"/>
    <w:rsid w:val="00A71AB7"/>
    <w:rsid w:val="00A7330F"/>
    <w:rsid w:val="00A77103"/>
    <w:rsid w:val="00A83727"/>
    <w:rsid w:val="00A83A69"/>
    <w:rsid w:val="00A84A0E"/>
    <w:rsid w:val="00A9251D"/>
    <w:rsid w:val="00AA0F93"/>
    <w:rsid w:val="00AA1EE8"/>
    <w:rsid w:val="00AA6751"/>
    <w:rsid w:val="00AA6870"/>
    <w:rsid w:val="00AB3FCD"/>
    <w:rsid w:val="00AD606C"/>
    <w:rsid w:val="00AD6929"/>
    <w:rsid w:val="00AE1DE1"/>
    <w:rsid w:val="00B06905"/>
    <w:rsid w:val="00B06B19"/>
    <w:rsid w:val="00B119A6"/>
    <w:rsid w:val="00B12D20"/>
    <w:rsid w:val="00B212F2"/>
    <w:rsid w:val="00B24FA1"/>
    <w:rsid w:val="00B2764C"/>
    <w:rsid w:val="00B35DB7"/>
    <w:rsid w:val="00B470A0"/>
    <w:rsid w:val="00B51ED6"/>
    <w:rsid w:val="00B52000"/>
    <w:rsid w:val="00B55306"/>
    <w:rsid w:val="00B6045E"/>
    <w:rsid w:val="00B70143"/>
    <w:rsid w:val="00B711DC"/>
    <w:rsid w:val="00B74B7A"/>
    <w:rsid w:val="00B86B51"/>
    <w:rsid w:val="00B956BC"/>
    <w:rsid w:val="00B97549"/>
    <w:rsid w:val="00BA2A45"/>
    <w:rsid w:val="00BA4B8F"/>
    <w:rsid w:val="00BB09B6"/>
    <w:rsid w:val="00BC0422"/>
    <w:rsid w:val="00BC4334"/>
    <w:rsid w:val="00BC6C13"/>
    <w:rsid w:val="00BD0FE3"/>
    <w:rsid w:val="00BE01C2"/>
    <w:rsid w:val="00BF0D78"/>
    <w:rsid w:val="00BF6A5A"/>
    <w:rsid w:val="00C0007A"/>
    <w:rsid w:val="00C0086D"/>
    <w:rsid w:val="00C06AAD"/>
    <w:rsid w:val="00C07848"/>
    <w:rsid w:val="00C11932"/>
    <w:rsid w:val="00C174DC"/>
    <w:rsid w:val="00C25864"/>
    <w:rsid w:val="00C27AA5"/>
    <w:rsid w:val="00C27B98"/>
    <w:rsid w:val="00C31C25"/>
    <w:rsid w:val="00C42D7E"/>
    <w:rsid w:val="00C45DA2"/>
    <w:rsid w:val="00C505BD"/>
    <w:rsid w:val="00C50618"/>
    <w:rsid w:val="00C520CE"/>
    <w:rsid w:val="00C53FDC"/>
    <w:rsid w:val="00C638EC"/>
    <w:rsid w:val="00C70BEB"/>
    <w:rsid w:val="00C74DF5"/>
    <w:rsid w:val="00C82576"/>
    <w:rsid w:val="00C84CF8"/>
    <w:rsid w:val="00C86E1C"/>
    <w:rsid w:val="00C900D2"/>
    <w:rsid w:val="00C90637"/>
    <w:rsid w:val="00C919B9"/>
    <w:rsid w:val="00C96434"/>
    <w:rsid w:val="00CA6AB6"/>
    <w:rsid w:val="00CB63E7"/>
    <w:rsid w:val="00CD232A"/>
    <w:rsid w:val="00CD76AA"/>
    <w:rsid w:val="00CF1E7E"/>
    <w:rsid w:val="00CF5289"/>
    <w:rsid w:val="00CF5394"/>
    <w:rsid w:val="00D004E6"/>
    <w:rsid w:val="00D018A6"/>
    <w:rsid w:val="00D05D65"/>
    <w:rsid w:val="00D12D11"/>
    <w:rsid w:val="00D15ACC"/>
    <w:rsid w:val="00D20433"/>
    <w:rsid w:val="00D2053B"/>
    <w:rsid w:val="00D20E73"/>
    <w:rsid w:val="00D21F8E"/>
    <w:rsid w:val="00D225B3"/>
    <w:rsid w:val="00D23EE4"/>
    <w:rsid w:val="00D31159"/>
    <w:rsid w:val="00D355EF"/>
    <w:rsid w:val="00D41C01"/>
    <w:rsid w:val="00D45877"/>
    <w:rsid w:val="00D5150B"/>
    <w:rsid w:val="00D540E6"/>
    <w:rsid w:val="00D572F3"/>
    <w:rsid w:val="00D66471"/>
    <w:rsid w:val="00D80B01"/>
    <w:rsid w:val="00D87D48"/>
    <w:rsid w:val="00D959E7"/>
    <w:rsid w:val="00D95F82"/>
    <w:rsid w:val="00D96C40"/>
    <w:rsid w:val="00DA3E5D"/>
    <w:rsid w:val="00DA7ECF"/>
    <w:rsid w:val="00DB0489"/>
    <w:rsid w:val="00DC08CA"/>
    <w:rsid w:val="00DD0768"/>
    <w:rsid w:val="00DD2350"/>
    <w:rsid w:val="00DD5DE9"/>
    <w:rsid w:val="00DE060F"/>
    <w:rsid w:val="00DE0D5E"/>
    <w:rsid w:val="00DE1383"/>
    <w:rsid w:val="00DE5D3D"/>
    <w:rsid w:val="00DE6230"/>
    <w:rsid w:val="00DE65B4"/>
    <w:rsid w:val="00E017D0"/>
    <w:rsid w:val="00E17E18"/>
    <w:rsid w:val="00E25654"/>
    <w:rsid w:val="00E2794C"/>
    <w:rsid w:val="00E3230A"/>
    <w:rsid w:val="00E37406"/>
    <w:rsid w:val="00E411C9"/>
    <w:rsid w:val="00E4612E"/>
    <w:rsid w:val="00E50EDF"/>
    <w:rsid w:val="00E52307"/>
    <w:rsid w:val="00E52C11"/>
    <w:rsid w:val="00E54857"/>
    <w:rsid w:val="00E56169"/>
    <w:rsid w:val="00E705D6"/>
    <w:rsid w:val="00E83338"/>
    <w:rsid w:val="00E907B0"/>
    <w:rsid w:val="00EA1891"/>
    <w:rsid w:val="00EA536B"/>
    <w:rsid w:val="00EB0EFC"/>
    <w:rsid w:val="00EB1D6E"/>
    <w:rsid w:val="00EC2C77"/>
    <w:rsid w:val="00EC34ED"/>
    <w:rsid w:val="00ED2E2A"/>
    <w:rsid w:val="00ED7ADB"/>
    <w:rsid w:val="00EE4C06"/>
    <w:rsid w:val="00EE71F2"/>
    <w:rsid w:val="00EF6DB1"/>
    <w:rsid w:val="00F0167D"/>
    <w:rsid w:val="00F048DE"/>
    <w:rsid w:val="00F22DBE"/>
    <w:rsid w:val="00F26275"/>
    <w:rsid w:val="00F33A06"/>
    <w:rsid w:val="00F35DC9"/>
    <w:rsid w:val="00F40A33"/>
    <w:rsid w:val="00F42576"/>
    <w:rsid w:val="00F45E8B"/>
    <w:rsid w:val="00F4653C"/>
    <w:rsid w:val="00F51557"/>
    <w:rsid w:val="00F61058"/>
    <w:rsid w:val="00F707F7"/>
    <w:rsid w:val="00F7134B"/>
    <w:rsid w:val="00F72EEA"/>
    <w:rsid w:val="00F74564"/>
    <w:rsid w:val="00F76C83"/>
    <w:rsid w:val="00F82DBB"/>
    <w:rsid w:val="00F86741"/>
    <w:rsid w:val="00F95770"/>
    <w:rsid w:val="00FB310B"/>
    <w:rsid w:val="00FB67EC"/>
    <w:rsid w:val="00FC1E0A"/>
    <w:rsid w:val="00FC44F0"/>
    <w:rsid w:val="00FC51B7"/>
    <w:rsid w:val="00FC644A"/>
    <w:rsid w:val="00FD016B"/>
    <w:rsid w:val="00FD1585"/>
    <w:rsid w:val="00FD5CB5"/>
    <w:rsid w:val="00FE66EC"/>
    <w:rsid w:val="00FF0156"/>
    <w:rsid w:val="00FF40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martTagType w:namespaceuri="urn:schemas-kweb:inappropriateterms" w:name="lists"/>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1" w:defUIPriority="99" w:defSemiHidden="1" w:defUnhideWhenUsed="1" w:defQFormat="0" w:count="267">
    <w:lsdException w:name="Normal" w:locked="0" w:semiHidden="0" w:uiPriority="0" w:unhideWhenUsed="0" w:qFormat="1"/>
    <w:lsdException w:name="heading 1" w:locked="0" w:semiHidden="0" w:uiPriority="9" w:unhideWhenUsed="0" w:qFormat="1"/>
    <w:lsdException w:name="heading 2" w:locked="0" w:uiPriority="9" w:qFormat="1"/>
    <w:lsdException w:name="heading 3" w:locked="0" w:uiPriority="9" w:qFormat="1"/>
    <w:lsdException w:name="heading 4" w:locked="0" w:uiPriority="9" w:qFormat="1"/>
    <w:lsdException w:name="heading 5" w:locked="0" w:uiPriority="9" w:qFormat="1"/>
    <w:lsdException w:name="heading 6" w:locked="0" w:uiPriority="9" w:qFormat="1"/>
    <w:lsdException w:name="heading 7" w:locked="0" w:uiPriority="9" w:qFormat="1"/>
    <w:lsdException w:name="heading 8" w:locked="0" w:uiPriority="9" w:qFormat="1"/>
    <w:lsdException w:name="heading 9" w:locked="0" w:uiPriority="9" w:qFormat="1"/>
    <w:lsdException w:name="index 1" w:locked="0"/>
    <w:lsdException w:name="index 2" w:locked="0"/>
    <w:lsdException w:name="index 3" w:locked="0"/>
    <w:lsdException w:name="index 4" w:locked="0"/>
    <w:lsdException w:name="index 5" w:locked="0"/>
    <w:lsdException w:name="index 6" w:locked="0"/>
    <w:lsdException w:name="index 7" w:locked="0"/>
    <w:lsdException w:name="index 8" w:locked="0"/>
    <w:lsdException w:name="index 9"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Normal Indent" w:locked="0" w:uiPriority="0"/>
    <w:lsdException w:name="footnote text" w:locked="0"/>
    <w:lsdException w:name="annotation text" w:locked="0" w:uiPriority="0"/>
    <w:lsdException w:name="header" w:locked="0"/>
    <w:lsdException w:name="footer" w:locked="0"/>
    <w:lsdException w:name="index heading" w:locked="0"/>
    <w:lsdException w:name="caption" w:locked="0" w:uiPriority="35" w:qFormat="1"/>
    <w:lsdException w:name="table of figures" w:locked="0"/>
    <w:lsdException w:name="envelope address" w:locked="0"/>
    <w:lsdException w:name="envelope return" w:locked="0"/>
    <w:lsdException w:name="footnote reference" w:locked="0"/>
    <w:lsdException w:name="annotation reference" w:locked="0"/>
    <w:lsdException w:name="line number" w:locked="0"/>
    <w:lsdException w:name="page number" w:locked="0"/>
    <w:lsdException w:name="endnote reference" w:locked="0"/>
    <w:lsdException w:name="endnote text" w:locked="0"/>
    <w:lsdException w:name="table of authorities" w:locked="0"/>
    <w:lsdException w:name="macro" w:locked="0"/>
    <w:lsdException w:name="toa heading" w:locked="0"/>
    <w:lsdException w:name="List" w:locked="0"/>
    <w:lsdException w:name="List Bullet" w:locked="0"/>
    <w:lsdException w:name="List Number" w:locked="0"/>
    <w:lsdException w:name="List 2" w:locked="0"/>
    <w:lsdException w:name="List 3" w:locked="0"/>
    <w:lsdException w:name="List 4" w:locked="0"/>
    <w:lsdException w:name="List 5" w:locked="0"/>
    <w:lsdException w:name="List Bullet 2" w:locked="0" w:uiPriority="0"/>
    <w:lsdException w:name="List Bullet 3" w:locked="0"/>
    <w:lsdException w:name="List Bullet 4" w:locked="0"/>
    <w:lsdException w:name="List Bullet 5" w:locked="0"/>
    <w:lsdException w:name="List Number 2" w:locked="0"/>
    <w:lsdException w:name="List Number 3" w:locked="0"/>
    <w:lsdException w:name="List Number 4" w:locked="0"/>
    <w:lsdException w:name="List Number 5" w:locked="0"/>
    <w:lsdException w:name="Title" w:locked="0" w:semiHidden="0" w:uiPriority="10" w:unhideWhenUsed="0" w:qFormat="1"/>
    <w:lsdException w:name="Closing" w:locked="0"/>
    <w:lsdException w:name="Signature" w:locked="0"/>
    <w:lsdException w:name="Default Paragraph Font" w:locked="0" w:uiPriority="1"/>
    <w:lsdException w:name="Body Text" w:locked="0" w:uiPriority="0"/>
    <w:lsdException w:name="Body Text Indent" w:locked="0"/>
    <w:lsdException w:name="List Continue" w:locked="0"/>
    <w:lsdException w:name="List Continue 2" w:locked="0"/>
    <w:lsdException w:name="List Continue 3" w:locked="0"/>
    <w:lsdException w:name="List Continue 4" w:locked="0"/>
    <w:lsdException w:name="List Continue 5" w:locked="0"/>
    <w:lsdException w:name="Message Header" w:locked="0"/>
    <w:lsdException w:name="Subtitle" w:locked="0" w:semiHidden="0" w:uiPriority="11" w:unhideWhenUsed="0" w:qFormat="1"/>
    <w:lsdException w:name="Salutation" w:locked="0"/>
    <w:lsdException w:name="Date" w:locked="0"/>
    <w:lsdException w:name="Body Text First Indent" w:locked="0"/>
    <w:lsdException w:name="Body Text First Indent 2" w:locked="0"/>
    <w:lsdException w:name="Note Heading" w:locked="0"/>
    <w:lsdException w:name="Body Text 2" w:locked="0" w:uiPriority="0"/>
    <w:lsdException w:name="Body Text 3" w:locked="0"/>
    <w:lsdException w:name="Body Text Indent 2" w:locked="0"/>
    <w:lsdException w:name="Body Text Indent 3" w:locked="0"/>
    <w:lsdException w:name="Block Text" w:locked="0"/>
    <w:lsdException w:name="Hyperlink" w:locked="0"/>
    <w:lsdException w:name="FollowedHyperlink" w:locked="0"/>
    <w:lsdException w:name="Strong" w:locked="0" w:semiHidden="0" w:uiPriority="22" w:unhideWhenUsed="0" w:qFormat="1"/>
    <w:lsdException w:name="Emphasis" w:locked="0" w:semiHidden="0" w:uiPriority="20" w:unhideWhenUsed="0" w:qFormat="1"/>
    <w:lsdException w:name="Document Map" w:locked="0"/>
    <w:lsdException w:name="Plain Text" w:locked="0"/>
    <w:lsdException w:name="E-mail Signature" w:locked="0"/>
    <w:lsdException w:name="HTML Top of Form" w:locked="0"/>
    <w:lsdException w:name="HTML Bottom of Form" w:locked="0"/>
    <w:lsdException w:name="Normal (Web)" w:locked="0"/>
    <w:lsdException w:name="HTML Acronym" w:locked="0"/>
    <w:lsdException w:name="HTML Address" w:locked="0"/>
    <w:lsdException w:name="HTML Cite" w:locked="0"/>
    <w:lsdException w:name="HTML Code" w:locked="0"/>
    <w:lsdException w:name="HTML Definition" w:locked="0"/>
    <w:lsdException w:name="HTML Keyboard" w:locked="0"/>
    <w:lsdException w:name="HTML Preformatted" w:locked="0"/>
    <w:lsdException w:name="HTML Sample" w:locked="0"/>
    <w:lsdException w:name="HTML Typewriter" w:locked="0"/>
    <w:lsdException w:name="HTML Variable" w:locked="0"/>
    <w:lsdException w:name="Normal Table" w:locked="0"/>
    <w:lsdException w:name="annotation subject" w:locked="0"/>
    <w:lsdException w:name="No List" w:locked="0"/>
    <w:lsdException w:name="Balloon Text" w:locked="0"/>
    <w:lsdException w:name="Table Grid" w:locked="0" w:semiHidden="0" w:uiPriority="59" w:unhideWhenUsed="0"/>
    <w:lsdException w:name="Placeholder Text" w:locked="0" w:unhideWhenUsed="0"/>
    <w:lsdException w:name="No Spacing" w:locked="0"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lsdException w:name="Bibliography" w:locked="0" w:uiPriority="37"/>
    <w:lsdException w:name="TOC Heading" w:locked="0" w:uiPriority="39" w:qFormat="1"/>
  </w:latentStyles>
  <w:style w:type="paragraph" w:default="1" w:styleId="Normal">
    <w:name w:val="Normal"/>
    <w:qFormat/>
    <w:rsid w:val="00C174DC"/>
    <w:pPr>
      <w:spacing w:after="100" w:afterAutospacing="1" w:line="276" w:lineRule="auto"/>
      <w:jc w:val="both"/>
    </w:pPr>
    <w:rPr>
      <w:rFonts w:ascii="Arial" w:hAnsi="Arial"/>
      <w:color w:val="404040"/>
      <w:sz w:val="18"/>
      <w:szCs w:val="22"/>
    </w:rPr>
  </w:style>
  <w:style w:type="paragraph" w:styleId="Heading1">
    <w:name w:val="heading 1"/>
    <w:aliases w:val="Part,Titel,Kapitel,U&amp;lc Bold,Small Cap Bold,Heading 1a,level 1,Level 1 Head,H1"/>
    <w:basedOn w:val="Normal"/>
    <w:next w:val="Normal"/>
    <w:link w:val="Heading1Char"/>
    <w:uiPriority w:val="9"/>
    <w:qFormat/>
    <w:rsid w:val="00074083"/>
    <w:pPr>
      <w:keepNext/>
      <w:keepLines/>
      <w:pageBreakBefore/>
      <w:numPr>
        <w:numId w:val="1"/>
      </w:numPr>
      <w:pBdr>
        <w:bottom w:val="single" w:sz="4" w:space="1" w:color="F9B81A"/>
      </w:pBdr>
      <w:spacing w:before="480" w:after="0"/>
      <w:outlineLvl w:val="0"/>
    </w:pPr>
    <w:rPr>
      <w:rFonts w:eastAsia="Times New Roman"/>
      <w:b/>
      <w:bCs/>
      <w:color w:val="1A325E"/>
      <w:sz w:val="32"/>
      <w:szCs w:val="28"/>
    </w:rPr>
  </w:style>
  <w:style w:type="paragraph" w:styleId="Heading2">
    <w:name w:val="heading 2"/>
    <w:aliases w:val="U&amp;lc Book,Small Cap,H2,CVLHeading 2,Sub-section (1.1),Sub-Section (1.1,1.2...),Reset numbering,Su,do not use,Subhead1,Major,Body Text (Reset numbering),Heading 2 Hidden,ClassHeading,h2,heading 2,2,PA Major Section,Numbered - 2,2nd level,Titre3"/>
    <w:basedOn w:val="Normal"/>
    <w:next w:val="Normal"/>
    <w:link w:val="Heading2Char"/>
    <w:uiPriority w:val="9"/>
    <w:unhideWhenUsed/>
    <w:qFormat/>
    <w:rsid w:val="00204893"/>
    <w:pPr>
      <w:keepNext/>
      <w:keepLines/>
      <w:numPr>
        <w:ilvl w:val="1"/>
        <w:numId w:val="1"/>
      </w:numPr>
      <w:spacing w:before="200" w:after="0"/>
      <w:outlineLvl w:val="1"/>
    </w:pPr>
    <w:rPr>
      <w:rFonts w:eastAsia="Times New Roman"/>
      <w:b/>
      <w:bCs/>
      <w:color w:val="EF7E22"/>
      <w:sz w:val="26"/>
      <w:szCs w:val="26"/>
    </w:rPr>
  </w:style>
  <w:style w:type="paragraph" w:styleId="Heading3">
    <w:name w:val="heading 3"/>
    <w:aliases w:val="Bold,Table Attribute Heading,Sub-Section,H3,H31,h3,subhead,L3,dd heading 3,dh3,3,sub-sub,3 bullet,b,Org Heading 1,Map,FunctionName,Heading 3E,Numbered - 3,h3 sub heading,ModuleFunctionName,Level 1 - 1,Arial 12 Fett,(Appendix Nbr),Header 3,l3,e"/>
    <w:basedOn w:val="Normal"/>
    <w:next w:val="Normal"/>
    <w:link w:val="Heading3Char"/>
    <w:uiPriority w:val="9"/>
    <w:unhideWhenUsed/>
    <w:qFormat/>
    <w:rsid w:val="00046EA0"/>
    <w:pPr>
      <w:keepNext/>
      <w:keepLines/>
      <w:numPr>
        <w:ilvl w:val="2"/>
        <w:numId w:val="1"/>
      </w:numPr>
      <w:spacing w:before="120" w:after="0" w:afterAutospacing="0" w:line="360" w:lineRule="auto"/>
      <w:jc w:val="left"/>
      <w:outlineLvl w:val="2"/>
    </w:pPr>
    <w:rPr>
      <w:rFonts w:eastAsia="Times New Roman"/>
      <w:b/>
      <w:bCs/>
      <w:color w:val="002060"/>
    </w:rPr>
  </w:style>
  <w:style w:type="paragraph" w:styleId="Heading4">
    <w:name w:val="heading 4"/>
    <w:aliases w:val="heading 4,h4,Map Title,H4,Sub-section (1.1.1.1),Level 2 - a,Level 2 - (a),pls do not use,Sub-Section 4,h4 sub sub heading,D Sub-Sub/Plain,GPH Heading 4,Subsection,(Shift Ctrl 4),Titre 41,t4.T4,First Subheading,Ref Heading 1,rh1,4 dash,d,Italic"/>
    <w:basedOn w:val="Normal"/>
    <w:next w:val="Normal"/>
    <w:link w:val="Heading4Char"/>
    <w:uiPriority w:val="9"/>
    <w:unhideWhenUsed/>
    <w:qFormat/>
    <w:rsid w:val="00DE060F"/>
    <w:pPr>
      <w:keepNext/>
      <w:keepLines/>
      <w:numPr>
        <w:ilvl w:val="3"/>
        <w:numId w:val="1"/>
      </w:numPr>
      <w:spacing w:before="200" w:after="0"/>
      <w:outlineLvl w:val="3"/>
    </w:pPr>
    <w:rPr>
      <w:rFonts w:eastAsia="Times New Roman"/>
      <w:b/>
      <w:bCs/>
      <w:iCs/>
    </w:rPr>
  </w:style>
  <w:style w:type="paragraph" w:styleId="Heading5">
    <w:name w:val="heading 5"/>
    <w:aliases w:val="Block Label,H5,Roman list,Subheading,Level 3 - i,5 sub-bullet,sb,4,h5,heading 5,h51,h52,Body Text (R),L5,RFI H5 (Q),Bullet point,temp,temp1,temp2,lowest level provided"/>
    <w:basedOn w:val="Normal"/>
    <w:next w:val="Normal"/>
    <w:link w:val="Heading5Char"/>
    <w:uiPriority w:val="9"/>
    <w:unhideWhenUsed/>
    <w:qFormat/>
    <w:rsid w:val="00B70143"/>
    <w:pPr>
      <w:keepNext/>
      <w:keepLines/>
      <w:numPr>
        <w:ilvl w:val="4"/>
        <w:numId w:val="1"/>
      </w:numPr>
      <w:spacing w:before="200" w:after="0"/>
      <w:outlineLvl w:val="4"/>
    </w:pPr>
    <w:rPr>
      <w:rFonts w:ascii="Cambria" w:eastAsia="Times New Roman" w:hAnsi="Cambria"/>
      <w:color w:val="243F60"/>
    </w:rPr>
  </w:style>
  <w:style w:type="paragraph" w:styleId="Heading6">
    <w:name w:val="heading 6"/>
    <w:aliases w:val="Legal Level 1.,H6,Bullet list,6,sub-dash,sd,5,h6,Level 1,Indent-Liste"/>
    <w:basedOn w:val="Normal"/>
    <w:next w:val="Normal"/>
    <w:link w:val="Heading6Char"/>
    <w:uiPriority w:val="9"/>
    <w:unhideWhenUsed/>
    <w:qFormat/>
    <w:rsid w:val="00B70143"/>
    <w:pPr>
      <w:keepNext/>
      <w:keepLines/>
      <w:numPr>
        <w:ilvl w:val="5"/>
        <w:numId w:val="1"/>
      </w:numPr>
      <w:spacing w:before="200" w:after="0"/>
      <w:outlineLvl w:val="5"/>
    </w:pPr>
    <w:rPr>
      <w:rFonts w:ascii="Cambria" w:eastAsia="Times New Roman" w:hAnsi="Cambria"/>
      <w:i/>
      <w:iCs/>
      <w:color w:val="243F60"/>
    </w:rPr>
  </w:style>
  <w:style w:type="paragraph" w:styleId="Heading7">
    <w:name w:val="heading 7"/>
    <w:aliases w:val="Legal Level 1.1.,letter list,T7,Legal Level,Level 1.1"/>
    <w:basedOn w:val="Normal"/>
    <w:next w:val="Normal"/>
    <w:link w:val="Heading7Char"/>
    <w:uiPriority w:val="9"/>
    <w:unhideWhenUsed/>
    <w:qFormat/>
    <w:rsid w:val="00B70143"/>
    <w:pPr>
      <w:keepNext/>
      <w:keepLines/>
      <w:numPr>
        <w:ilvl w:val="6"/>
        <w:numId w:val="1"/>
      </w:numPr>
      <w:spacing w:before="200" w:after="0"/>
      <w:outlineLvl w:val="6"/>
    </w:pPr>
    <w:rPr>
      <w:rFonts w:ascii="Cambria" w:eastAsia="Times New Roman" w:hAnsi="Cambria"/>
      <w:i/>
      <w:iCs/>
    </w:rPr>
  </w:style>
  <w:style w:type="paragraph" w:styleId="Heading8">
    <w:name w:val="heading 8"/>
    <w:aliases w:val="Legal Level 1.1.1.,action, action,T8,Table Title,z,z1,Level 1.1.1"/>
    <w:basedOn w:val="Normal"/>
    <w:next w:val="Normal"/>
    <w:link w:val="Heading8Char"/>
    <w:uiPriority w:val="9"/>
    <w:unhideWhenUsed/>
    <w:qFormat/>
    <w:rsid w:val="00B70143"/>
    <w:pPr>
      <w:keepNext/>
      <w:keepLines/>
      <w:numPr>
        <w:ilvl w:val="7"/>
        <w:numId w:val="1"/>
      </w:numPr>
      <w:spacing w:before="200" w:after="0"/>
      <w:outlineLvl w:val="7"/>
    </w:pPr>
    <w:rPr>
      <w:rFonts w:ascii="Cambria" w:eastAsia="Times New Roman" w:hAnsi="Cambria"/>
      <w:sz w:val="20"/>
      <w:szCs w:val="20"/>
    </w:rPr>
  </w:style>
  <w:style w:type="paragraph" w:styleId="Heading9">
    <w:name w:val="heading 9"/>
    <w:aliases w:val="Legal Level 1.1.1.1.,progress, progress,App Heading,Appendix,Level (a)"/>
    <w:basedOn w:val="Normal"/>
    <w:next w:val="Normal"/>
    <w:link w:val="Heading9Char"/>
    <w:uiPriority w:val="9"/>
    <w:unhideWhenUsed/>
    <w:qFormat/>
    <w:rsid w:val="00B70143"/>
    <w:pPr>
      <w:keepNext/>
      <w:keepLines/>
      <w:numPr>
        <w:ilvl w:val="8"/>
        <w:numId w:val="1"/>
      </w:numPr>
      <w:spacing w:before="200" w:after="0"/>
      <w:outlineLvl w:val="8"/>
    </w:pPr>
    <w:rPr>
      <w:rFonts w:ascii="Cambria" w:eastAsia="Times New Roman" w:hAnsi="Cambria"/>
      <w:i/>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Titel Char,Kapitel Char,U&amp;lc Bold Char,Small Cap Bold Char,Heading 1a Char,level 1 Char,Level 1 Head Char,H1 Char"/>
    <w:basedOn w:val="DefaultParagraphFont"/>
    <w:link w:val="Heading1"/>
    <w:uiPriority w:val="9"/>
    <w:rsid w:val="00074083"/>
    <w:rPr>
      <w:rFonts w:ascii="Arial" w:eastAsia="Times New Roman" w:hAnsi="Arial"/>
      <w:b/>
      <w:bCs/>
      <w:color w:val="1A325E"/>
      <w:sz w:val="32"/>
      <w:szCs w:val="28"/>
    </w:rPr>
  </w:style>
  <w:style w:type="character" w:customStyle="1" w:styleId="Heading2Char">
    <w:name w:val="Heading 2 Char"/>
    <w:aliases w:val="U&amp;lc Book Char,Small Cap Char,H2 Char,CVLHeading 2 Char,Sub-section (1.1) Char,Sub-Section (1.1 Char,1.2...) Char,Reset numbering Char,Su Char,do not use Char,Subhead1 Char,Major Char,Body Text (Reset numbering) Char,Heading 2 Hidden Char"/>
    <w:basedOn w:val="DefaultParagraphFont"/>
    <w:link w:val="Heading2"/>
    <w:uiPriority w:val="9"/>
    <w:rsid w:val="00204893"/>
    <w:rPr>
      <w:rFonts w:ascii="Arial" w:eastAsia="Times New Roman" w:hAnsi="Arial"/>
      <w:b/>
      <w:bCs/>
      <w:color w:val="EF7E22"/>
      <w:sz w:val="26"/>
      <w:szCs w:val="26"/>
    </w:rPr>
  </w:style>
  <w:style w:type="character" w:customStyle="1" w:styleId="Heading3Char">
    <w:name w:val="Heading 3 Char"/>
    <w:aliases w:val="Bold Char,Table Attribute Heading Char,Sub-Section Char,H3 Char,H31 Char,h3 Char,subhead Char,L3 Char,dd heading 3 Char,dh3 Char,3 Char,sub-sub Char,3 bullet Char,b Char,Org Heading 1 Char,Map Char,FunctionName Char,Heading 3E Char,e Char"/>
    <w:basedOn w:val="DefaultParagraphFont"/>
    <w:link w:val="Heading3"/>
    <w:uiPriority w:val="9"/>
    <w:rsid w:val="00046EA0"/>
    <w:rPr>
      <w:rFonts w:ascii="Arial" w:eastAsia="Times New Roman" w:hAnsi="Arial"/>
      <w:b/>
      <w:bCs/>
      <w:color w:val="002060"/>
      <w:sz w:val="18"/>
      <w:szCs w:val="22"/>
    </w:rPr>
  </w:style>
  <w:style w:type="character" w:customStyle="1" w:styleId="Heading4Char">
    <w:name w:val="Heading 4 Char"/>
    <w:aliases w:val="heading 4 Char,h4 Char,Map Title Char,H4 Char,Sub-section (1.1.1.1) Char,Level 2 - a Char,Level 2 - (a) Char,pls do not use Char,Sub-Section 4 Char,h4 sub sub heading Char,D Sub-Sub/Plain Char,GPH Heading 4 Char,Subsection Char,t4.T4 Char"/>
    <w:basedOn w:val="DefaultParagraphFont"/>
    <w:link w:val="Heading4"/>
    <w:uiPriority w:val="9"/>
    <w:rsid w:val="00DE060F"/>
    <w:rPr>
      <w:rFonts w:ascii="Arial" w:eastAsia="Times New Roman" w:hAnsi="Arial"/>
      <w:b/>
      <w:bCs/>
      <w:iCs/>
      <w:color w:val="404040"/>
      <w:sz w:val="18"/>
      <w:szCs w:val="22"/>
    </w:rPr>
  </w:style>
  <w:style w:type="character" w:customStyle="1" w:styleId="Heading5Char">
    <w:name w:val="Heading 5 Char"/>
    <w:aliases w:val="Block Label Char,H5 Char,Roman list Char,Subheading Char,Level 3 - i Char,5 sub-bullet Char,sb Char,4 Char,h5 Char,heading 5 Char,h51 Char,h52 Char,Body Text (R) Char,L5 Char,RFI H5 (Q) Char,Bullet point Char,temp Char,temp1 Char"/>
    <w:basedOn w:val="DefaultParagraphFont"/>
    <w:link w:val="Heading5"/>
    <w:uiPriority w:val="9"/>
    <w:rsid w:val="00B70143"/>
    <w:rPr>
      <w:rFonts w:ascii="Cambria" w:eastAsia="Times New Roman" w:hAnsi="Cambria"/>
      <w:color w:val="243F60"/>
      <w:sz w:val="18"/>
      <w:szCs w:val="22"/>
    </w:rPr>
  </w:style>
  <w:style w:type="character" w:customStyle="1" w:styleId="Heading6Char">
    <w:name w:val="Heading 6 Char"/>
    <w:aliases w:val="Legal Level 1. Char,H6 Char,Bullet list Char,6 Char,sub-dash Char,sd Char,5 Char,h6 Char,Level 1 Char,Indent-Liste Char"/>
    <w:basedOn w:val="DefaultParagraphFont"/>
    <w:link w:val="Heading6"/>
    <w:uiPriority w:val="9"/>
    <w:rsid w:val="00B70143"/>
    <w:rPr>
      <w:rFonts w:ascii="Cambria" w:eastAsia="Times New Roman" w:hAnsi="Cambria"/>
      <w:i/>
      <w:iCs/>
      <w:color w:val="243F60"/>
      <w:sz w:val="18"/>
      <w:szCs w:val="22"/>
    </w:rPr>
  </w:style>
  <w:style w:type="character" w:customStyle="1" w:styleId="Heading7Char">
    <w:name w:val="Heading 7 Char"/>
    <w:aliases w:val="Legal Level 1.1. Char,letter list Char,T7 Char,Legal Level Char,Level 1.1 Char"/>
    <w:basedOn w:val="DefaultParagraphFont"/>
    <w:link w:val="Heading7"/>
    <w:uiPriority w:val="9"/>
    <w:rsid w:val="00B70143"/>
    <w:rPr>
      <w:rFonts w:ascii="Cambria" w:eastAsia="Times New Roman" w:hAnsi="Cambria"/>
      <w:i/>
      <w:iCs/>
      <w:color w:val="404040"/>
      <w:sz w:val="18"/>
      <w:szCs w:val="22"/>
    </w:rPr>
  </w:style>
  <w:style w:type="character" w:customStyle="1" w:styleId="Heading8Char">
    <w:name w:val="Heading 8 Char"/>
    <w:aliases w:val="Legal Level 1.1.1. Char,action Char, action Char,T8 Char,Table Title Char,z Char,z1 Char,Level 1.1.1 Char"/>
    <w:basedOn w:val="DefaultParagraphFont"/>
    <w:link w:val="Heading8"/>
    <w:uiPriority w:val="9"/>
    <w:rsid w:val="00B70143"/>
    <w:rPr>
      <w:rFonts w:ascii="Cambria" w:eastAsia="Times New Roman" w:hAnsi="Cambria"/>
      <w:color w:val="404040"/>
    </w:rPr>
  </w:style>
  <w:style w:type="character" w:customStyle="1" w:styleId="Heading9Char">
    <w:name w:val="Heading 9 Char"/>
    <w:aliases w:val="Legal Level 1.1.1.1. Char,progress Char, progress Char,App Heading Char,Appendix Char,Level (a) Char"/>
    <w:basedOn w:val="DefaultParagraphFont"/>
    <w:link w:val="Heading9"/>
    <w:uiPriority w:val="9"/>
    <w:rsid w:val="00B70143"/>
    <w:rPr>
      <w:rFonts w:ascii="Cambria" w:eastAsia="Times New Roman" w:hAnsi="Cambria"/>
      <w:i/>
      <w:iCs/>
      <w:color w:val="404040"/>
    </w:rPr>
  </w:style>
  <w:style w:type="paragraph" w:customStyle="1" w:styleId="BodyText21">
    <w:name w:val="Body Text 21"/>
    <w:basedOn w:val="Normal"/>
    <w:locked/>
    <w:rsid w:val="00B70143"/>
    <w:pPr>
      <w:widowControl w:val="0"/>
      <w:spacing w:after="0" w:line="240" w:lineRule="auto"/>
    </w:pPr>
    <w:rPr>
      <w:rFonts w:ascii="Verdana" w:eastAsia="Times New Roman" w:hAnsi="Verdana"/>
      <w:sz w:val="20"/>
      <w:szCs w:val="20"/>
    </w:rPr>
  </w:style>
  <w:style w:type="paragraph" w:customStyle="1" w:styleId="bulletsalpha">
    <w:name w:val="bullets_alpha"/>
    <w:basedOn w:val="Normal"/>
    <w:link w:val="bulletsalphaChar"/>
    <w:locked/>
    <w:rsid w:val="00E52C11"/>
    <w:pPr>
      <w:numPr>
        <w:numId w:val="2"/>
      </w:numPr>
      <w:ind w:left="360"/>
    </w:pPr>
  </w:style>
  <w:style w:type="paragraph" w:customStyle="1" w:styleId="bulletlist">
    <w:name w:val="bullet_list"/>
    <w:basedOn w:val="bulletsalpha"/>
    <w:link w:val="bulletlistChar"/>
    <w:qFormat/>
    <w:locked/>
    <w:rsid w:val="00752B40"/>
    <w:pPr>
      <w:numPr>
        <w:numId w:val="3"/>
      </w:numPr>
      <w:spacing w:before="120" w:after="120" w:afterAutospacing="0"/>
    </w:pPr>
  </w:style>
  <w:style w:type="character" w:customStyle="1" w:styleId="bulletsalphaChar">
    <w:name w:val="bullets_alpha Char"/>
    <w:basedOn w:val="DefaultParagraphFont"/>
    <w:link w:val="bulletsalpha"/>
    <w:rsid w:val="00E52C11"/>
    <w:rPr>
      <w:rFonts w:ascii="Arial" w:hAnsi="Arial"/>
      <w:color w:val="404040"/>
      <w:sz w:val="18"/>
      <w:szCs w:val="22"/>
    </w:rPr>
  </w:style>
  <w:style w:type="table" w:styleId="TableGrid">
    <w:name w:val="Table Grid"/>
    <w:basedOn w:val="TableNormal"/>
    <w:uiPriority w:val="59"/>
    <w:locked/>
    <w:rsid w:val="00AA687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bulletlistChar">
    <w:name w:val="bullet_list Char"/>
    <w:basedOn w:val="bulletsalphaChar"/>
    <w:link w:val="bulletlist"/>
    <w:rsid w:val="00752B40"/>
  </w:style>
  <w:style w:type="table" w:customStyle="1" w:styleId="Hexaware">
    <w:name w:val="Hexaware"/>
    <w:basedOn w:val="TableNormal"/>
    <w:uiPriority w:val="99"/>
    <w:qFormat/>
    <w:locked/>
    <w:rsid w:val="004F1422"/>
    <w:rPr>
      <w:rFonts w:ascii="Arial" w:hAnsi="Arial"/>
    </w:rPr>
    <w:tblPr>
      <w:tblInd w:w="0"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CellMar>
        <w:top w:w="0" w:type="dxa"/>
        <w:left w:w="108" w:type="dxa"/>
        <w:bottom w:w="0" w:type="dxa"/>
        <w:right w:w="108" w:type="dxa"/>
      </w:tblCellMar>
    </w:tblPr>
    <w:tcPr>
      <w:tcMar>
        <w:top w:w="43" w:type="dxa"/>
        <w:left w:w="43" w:type="dxa"/>
        <w:bottom w:w="43" w:type="dxa"/>
        <w:right w:w="43" w:type="dxa"/>
      </w:tcMar>
    </w:tcPr>
    <w:tblStylePr w:type="firstRow">
      <w:rPr>
        <w:rFonts w:ascii="Arial" w:hAnsi="Arial"/>
        <w:b/>
        <w:color w:val="FFFFFF"/>
        <w:sz w:val="20"/>
      </w:rPr>
      <w:tblPr/>
      <w:tcPr>
        <w:shd w:val="clear" w:color="auto" w:fill="1A325E"/>
      </w:tcPr>
    </w:tblStylePr>
  </w:style>
  <w:style w:type="paragraph" w:styleId="ListParagraph">
    <w:name w:val="List Paragraph"/>
    <w:basedOn w:val="Normal"/>
    <w:uiPriority w:val="34"/>
    <w:qFormat/>
    <w:rsid w:val="009E0D93"/>
    <w:pPr>
      <w:numPr>
        <w:numId w:val="4"/>
      </w:numPr>
      <w:contextualSpacing/>
    </w:pPr>
  </w:style>
  <w:style w:type="paragraph" w:styleId="Header">
    <w:name w:val="header"/>
    <w:basedOn w:val="Normal"/>
    <w:link w:val="HeaderChar"/>
    <w:uiPriority w:val="99"/>
    <w:semiHidden/>
    <w:unhideWhenUsed/>
    <w:rsid w:val="005B7AF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B7AFF"/>
    <w:rPr>
      <w:rFonts w:ascii="Arial" w:hAnsi="Arial"/>
      <w:color w:val="404040"/>
      <w:sz w:val="20"/>
    </w:rPr>
  </w:style>
  <w:style w:type="paragraph" w:styleId="Footer">
    <w:name w:val="footer"/>
    <w:basedOn w:val="Normal"/>
    <w:link w:val="FooterChar"/>
    <w:uiPriority w:val="99"/>
    <w:semiHidden/>
    <w:unhideWhenUsed/>
    <w:rsid w:val="005B7AF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B7AFF"/>
    <w:rPr>
      <w:rFonts w:ascii="Arial" w:hAnsi="Arial"/>
      <w:color w:val="404040"/>
      <w:sz w:val="20"/>
    </w:rPr>
  </w:style>
  <w:style w:type="paragraph" w:styleId="BalloonText">
    <w:name w:val="Balloon Text"/>
    <w:basedOn w:val="Normal"/>
    <w:link w:val="BalloonTextChar"/>
    <w:uiPriority w:val="99"/>
    <w:semiHidden/>
    <w:unhideWhenUsed/>
    <w:rsid w:val="00990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07B6"/>
    <w:rPr>
      <w:rFonts w:ascii="Tahoma" w:hAnsi="Tahoma" w:cs="Tahoma"/>
      <w:color w:val="404040"/>
      <w:sz w:val="16"/>
      <w:szCs w:val="16"/>
    </w:rPr>
  </w:style>
  <w:style w:type="paragraph" w:customStyle="1" w:styleId="DocumentHeading">
    <w:name w:val="Document Heading"/>
    <w:basedOn w:val="Normal"/>
    <w:link w:val="DocumentHeadingChar"/>
    <w:qFormat/>
    <w:locked/>
    <w:rsid w:val="004257F9"/>
    <w:pPr>
      <w:suppressLineNumbers/>
      <w:spacing w:line="240" w:lineRule="auto"/>
      <w:jc w:val="center"/>
    </w:pPr>
    <w:rPr>
      <w:rFonts w:asciiTheme="minorHAnsi" w:hAnsiTheme="minorHAnsi"/>
      <w:b/>
      <w:color w:val="1A325E"/>
      <w:sz w:val="32"/>
      <w:szCs w:val="32"/>
    </w:rPr>
  </w:style>
  <w:style w:type="paragraph" w:styleId="NoSpacing">
    <w:name w:val="No Spacing"/>
    <w:link w:val="NoSpacingChar"/>
    <w:uiPriority w:val="1"/>
    <w:qFormat/>
    <w:rsid w:val="00DE060F"/>
    <w:rPr>
      <w:rFonts w:ascii="Arial" w:eastAsia="Times New Roman" w:hAnsi="Arial"/>
      <w:color w:val="404040"/>
      <w:sz w:val="18"/>
      <w:szCs w:val="22"/>
    </w:rPr>
  </w:style>
  <w:style w:type="character" w:customStyle="1" w:styleId="DocumentHeadingChar">
    <w:name w:val="Document Heading Char"/>
    <w:basedOn w:val="DefaultParagraphFont"/>
    <w:link w:val="DocumentHeading"/>
    <w:rsid w:val="004257F9"/>
    <w:rPr>
      <w:rFonts w:asciiTheme="minorHAnsi" w:hAnsiTheme="minorHAnsi"/>
      <w:b/>
      <w:color w:val="1A325E"/>
      <w:sz w:val="32"/>
      <w:szCs w:val="32"/>
    </w:rPr>
  </w:style>
  <w:style w:type="character" w:customStyle="1" w:styleId="NoSpacingChar">
    <w:name w:val="No Spacing Char"/>
    <w:basedOn w:val="DefaultParagraphFont"/>
    <w:link w:val="NoSpacing"/>
    <w:uiPriority w:val="1"/>
    <w:rsid w:val="00DE060F"/>
    <w:rPr>
      <w:rFonts w:ascii="Arial" w:eastAsia="Times New Roman" w:hAnsi="Arial"/>
      <w:color w:val="404040"/>
      <w:sz w:val="18"/>
      <w:szCs w:val="22"/>
      <w:lang w:val="en-US" w:eastAsia="en-US" w:bidi="ar-SA"/>
    </w:rPr>
  </w:style>
  <w:style w:type="paragraph" w:styleId="TOC1">
    <w:name w:val="toc 1"/>
    <w:basedOn w:val="Normal"/>
    <w:next w:val="Normal"/>
    <w:autoRedefine/>
    <w:uiPriority w:val="39"/>
    <w:unhideWhenUsed/>
    <w:rsid w:val="00E25654"/>
    <w:pPr>
      <w:tabs>
        <w:tab w:val="left" w:pos="540"/>
        <w:tab w:val="right" w:leader="dot" w:pos="9350"/>
      </w:tabs>
      <w:spacing w:before="120" w:after="120"/>
      <w:jc w:val="left"/>
    </w:pPr>
    <w:rPr>
      <w:rFonts w:asciiTheme="minorHAnsi" w:hAnsiTheme="minorHAnsi" w:cs="Arial"/>
      <w:b/>
      <w:bCs/>
      <w:caps/>
      <w:noProof/>
      <w:sz w:val="20"/>
      <w:szCs w:val="20"/>
    </w:rPr>
  </w:style>
  <w:style w:type="paragraph" w:styleId="TOC2">
    <w:name w:val="toc 2"/>
    <w:basedOn w:val="Normal"/>
    <w:next w:val="Normal"/>
    <w:autoRedefine/>
    <w:uiPriority w:val="39"/>
    <w:unhideWhenUsed/>
    <w:rsid w:val="00022394"/>
    <w:pPr>
      <w:spacing w:after="0"/>
      <w:ind w:left="180"/>
      <w:jc w:val="left"/>
    </w:pPr>
    <w:rPr>
      <w:rFonts w:asciiTheme="minorHAnsi" w:hAnsiTheme="minorHAnsi"/>
      <w:smallCaps/>
      <w:sz w:val="20"/>
      <w:szCs w:val="20"/>
    </w:rPr>
  </w:style>
  <w:style w:type="paragraph" w:styleId="TOC3">
    <w:name w:val="toc 3"/>
    <w:basedOn w:val="Normal"/>
    <w:next w:val="Normal"/>
    <w:autoRedefine/>
    <w:uiPriority w:val="39"/>
    <w:unhideWhenUsed/>
    <w:rsid w:val="00022394"/>
    <w:pPr>
      <w:spacing w:after="0"/>
      <w:ind w:left="360"/>
      <w:jc w:val="left"/>
    </w:pPr>
    <w:rPr>
      <w:rFonts w:asciiTheme="minorHAnsi" w:hAnsiTheme="minorHAnsi"/>
      <w:i/>
      <w:iCs/>
      <w:sz w:val="20"/>
      <w:szCs w:val="20"/>
    </w:rPr>
  </w:style>
  <w:style w:type="paragraph" w:styleId="TOC4">
    <w:name w:val="toc 4"/>
    <w:basedOn w:val="Normal"/>
    <w:next w:val="Normal"/>
    <w:autoRedefine/>
    <w:uiPriority w:val="39"/>
    <w:unhideWhenUsed/>
    <w:rsid w:val="00022394"/>
    <w:pPr>
      <w:spacing w:after="0"/>
      <w:ind w:left="540"/>
      <w:jc w:val="left"/>
    </w:pPr>
    <w:rPr>
      <w:rFonts w:asciiTheme="minorHAnsi" w:hAnsiTheme="minorHAnsi"/>
      <w:szCs w:val="18"/>
    </w:rPr>
  </w:style>
  <w:style w:type="paragraph" w:styleId="TOC5">
    <w:name w:val="toc 5"/>
    <w:basedOn w:val="Normal"/>
    <w:next w:val="Normal"/>
    <w:autoRedefine/>
    <w:uiPriority w:val="39"/>
    <w:unhideWhenUsed/>
    <w:rsid w:val="00022394"/>
    <w:pPr>
      <w:spacing w:after="0"/>
      <w:ind w:left="720"/>
      <w:jc w:val="left"/>
    </w:pPr>
    <w:rPr>
      <w:rFonts w:asciiTheme="minorHAnsi" w:hAnsiTheme="minorHAnsi"/>
      <w:szCs w:val="18"/>
    </w:rPr>
  </w:style>
  <w:style w:type="paragraph" w:styleId="TOC6">
    <w:name w:val="toc 6"/>
    <w:basedOn w:val="Normal"/>
    <w:next w:val="Normal"/>
    <w:autoRedefine/>
    <w:uiPriority w:val="39"/>
    <w:unhideWhenUsed/>
    <w:rsid w:val="00022394"/>
    <w:pPr>
      <w:spacing w:after="0"/>
      <w:ind w:left="900"/>
      <w:jc w:val="left"/>
    </w:pPr>
    <w:rPr>
      <w:rFonts w:asciiTheme="minorHAnsi" w:hAnsiTheme="minorHAnsi"/>
      <w:szCs w:val="18"/>
    </w:rPr>
  </w:style>
  <w:style w:type="paragraph" w:styleId="TOC7">
    <w:name w:val="toc 7"/>
    <w:basedOn w:val="Normal"/>
    <w:next w:val="Normal"/>
    <w:autoRedefine/>
    <w:uiPriority w:val="39"/>
    <w:unhideWhenUsed/>
    <w:rsid w:val="00022394"/>
    <w:pPr>
      <w:spacing w:after="0"/>
      <w:ind w:left="1080"/>
      <w:jc w:val="left"/>
    </w:pPr>
    <w:rPr>
      <w:rFonts w:asciiTheme="minorHAnsi" w:hAnsiTheme="minorHAnsi"/>
      <w:szCs w:val="18"/>
    </w:rPr>
  </w:style>
  <w:style w:type="paragraph" w:styleId="TOC8">
    <w:name w:val="toc 8"/>
    <w:basedOn w:val="Normal"/>
    <w:next w:val="Normal"/>
    <w:autoRedefine/>
    <w:uiPriority w:val="39"/>
    <w:unhideWhenUsed/>
    <w:rsid w:val="00022394"/>
    <w:pPr>
      <w:spacing w:after="0"/>
      <w:ind w:left="1260"/>
      <w:jc w:val="left"/>
    </w:pPr>
    <w:rPr>
      <w:rFonts w:asciiTheme="minorHAnsi" w:hAnsiTheme="minorHAnsi"/>
      <w:szCs w:val="18"/>
    </w:rPr>
  </w:style>
  <w:style w:type="paragraph" w:styleId="TOC9">
    <w:name w:val="toc 9"/>
    <w:basedOn w:val="Normal"/>
    <w:next w:val="Normal"/>
    <w:autoRedefine/>
    <w:uiPriority w:val="39"/>
    <w:unhideWhenUsed/>
    <w:rsid w:val="00022394"/>
    <w:pPr>
      <w:spacing w:after="0"/>
      <w:ind w:left="1440"/>
      <w:jc w:val="left"/>
    </w:pPr>
    <w:rPr>
      <w:rFonts w:asciiTheme="minorHAnsi" w:hAnsiTheme="minorHAnsi"/>
      <w:szCs w:val="18"/>
    </w:rPr>
  </w:style>
  <w:style w:type="character" w:styleId="Hyperlink">
    <w:name w:val="Hyperlink"/>
    <w:basedOn w:val="DefaultParagraphFont"/>
    <w:uiPriority w:val="99"/>
    <w:unhideWhenUsed/>
    <w:rsid w:val="00022394"/>
    <w:rPr>
      <w:color w:val="0000FF"/>
      <w:u w:val="single"/>
    </w:rPr>
  </w:style>
  <w:style w:type="paragraph" w:styleId="TOCHeading">
    <w:name w:val="TOC Heading"/>
    <w:basedOn w:val="Heading1"/>
    <w:next w:val="Normal"/>
    <w:uiPriority w:val="39"/>
    <w:semiHidden/>
    <w:unhideWhenUsed/>
    <w:qFormat/>
    <w:rsid w:val="00022394"/>
    <w:pPr>
      <w:pageBreakBefore w:val="0"/>
      <w:numPr>
        <w:numId w:val="0"/>
      </w:numPr>
      <w:pBdr>
        <w:bottom w:val="none" w:sz="0" w:space="0" w:color="auto"/>
      </w:pBdr>
      <w:spacing w:afterAutospacing="0"/>
      <w:jc w:val="left"/>
      <w:outlineLvl w:val="9"/>
    </w:pPr>
    <w:rPr>
      <w:rFonts w:ascii="Cambria" w:hAnsi="Cambria"/>
      <w:color w:val="365F91"/>
      <w:sz w:val="28"/>
    </w:rPr>
  </w:style>
  <w:style w:type="paragraph" w:customStyle="1" w:styleId="blue-Heading">
    <w:name w:val="blue-Heading"/>
    <w:basedOn w:val="Normal"/>
    <w:next w:val="Normal"/>
    <w:link w:val="blue-HeadingChar"/>
    <w:qFormat/>
    <w:locked/>
    <w:rsid w:val="00C96434"/>
    <w:pPr>
      <w:pageBreakBefore/>
    </w:pPr>
    <w:rPr>
      <w:rFonts w:eastAsia="Times New Roman"/>
      <w:b/>
      <w:color w:val="1A325E"/>
      <w:sz w:val="32"/>
      <w:szCs w:val="28"/>
    </w:rPr>
  </w:style>
  <w:style w:type="paragraph" w:customStyle="1" w:styleId="Orange-Heading">
    <w:name w:val="Orange-Heading"/>
    <w:basedOn w:val="blue-Heading"/>
    <w:link w:val="Orange-HeadingChar"/>
    <w:qFormat/>
    <w:locked/>
    <w:rsid w:val="00C96434"/>
    <w:pPr>
      <w:pageBreakBefore w:val="0"/>
    </w:pPr>
    <w:rPr>
      <w:color w:val="EF7E22"/>
      <w:sz w:val="26"/>
      <w:szCs w:val="26"/>
    </w:rPr>
  </w:style>
  <w:style w:type="character" w:customStyle="1" w:styleId="blue-HeadingChar">
    <w:name w:val="blue-Heading Char"/>
    <w:basedOn w:val="DefaultParagraphFont"/>
    <w:link w:val="blue-Heading"/>
    <w:rsid w:val="00C96434"/>
    <w:rPr>
      <w:rFonts w:ascii="Arial" w:eastAsia="Times New Roman" w:hAnsi="Arial" w:cs="Times New Roman"/>
      <w:b/>
      <w:color w:val="1A325E"/>
      <w:sz w:val="32"/>
      <w:szCs w:val="28"/>
    </w:rPr>
  </w:style>
  <w:style w:type="character" w:customStyle="1" w:styleId="Orange-HeadingChar">
    <w:name w:val="Orange-Heading Char"/>
    <w:basedOn w:val="blue-HeadingChar"/>
    <w:link w:val="Orange-Heading"/>
    <w:rsid w:val="00C96434"/>
    <w:rPr>
      <w:color w:val="EF7E22"/>
      <w:sz w:val="26"/>
      <w:szCs w:val="26"/>
    </w:rPr>
  </w:style>
  <w:style w:type="paragraph" w:styleId="Title">
    <w:name w:val="Title"/>
    <w:basedOn w:val="Normal"/>
    <w:next w:val="Normal"/>
    <w:link w:val="TitleChar"/>
    <w:uiPriority w:val="10"/>
    <w:qFormat/>
    <w:rsid w:val="008D638B"/>
    <w:pPr>
      <w:spacing w:after="300" w:line="240" w:lineRule="auto"/>
      <w:contextualSpacing/>
    </w:pPr>
    <w:rPr>
      <w:rFonts w:eastAsia="Times New Roman"/>
      <w:b/>
      <w:color w:val="17365D"/>
      <w:spacing w:val="5"/>
      <w:kern w:val="28"/>
      <w:sz w:val="52"/>
      <w:szCs w:val="52"/>
    </w:rPr>
  </w:style>
  <w:style w:type="character" w:customStyle="1" w:styleId="TitleChar">
    <w:name w:val="Title Char"/>
    <w:basedOn w:val="DefaultParagraphFont"/>
    <w:link w:val="Title"/>
    <w:uiPriority w:val="10"/>
    <w:rsid w:val="008D638B"/>
    <w:rPr>
      <w:rFonts w:ascii="Arial" w:eastAsia="Times New Roman" w:hAnsi="Arial" w:cs="Times New Roman"/>
      <w:b/>
      <w:color w:val="17365D"/>
      <w:spacing w:val="5"/>
      <w:kern w:val="28"/>
      <w:sz w:val="52"/>
      <w:szCs w:val="52"/>
    </w:rPr>
  </w:style>
  <w:style w:type="paragraph" w:styleId="Subtitle">
    <w:name w:val="Subtitle"/>
    <w:basedOn w:val="Normal"/>
    <w:next w:val="Normal"/>
    <w:link w:val="SubtitleChar"/>
    <w:uiPriority w:val="11"/>
    <w:qFormat/>
    <w:rsid w:val="00CF1E7E"/>
    <w:pPr>
      <w:numPr>
        <w:ilvl w:val="1"/>
      </w:numPr>
    </w:pPr>
    <w:rPr>
      <w:rFonts w:eastAsia="Times New Roman"/>
      <w:b/>
      <w:iCs/>
      <w:color w:val="EF7E22"/>
      <w:spacing w:val="15"/>
      <w:sz w:val="32"/>
      <w:szCs w:val="24"/>
    </w:rPr>
  </w:style>
  <w:style w:type="character" w:customStyle="1" w:styleId="SubtitleChar">
    <w:name w:val="Subtitle Char"/>
    <w:basedOn w:val="DefaultParagraphFont"/>
    <w:link w:val="Subtitle"/>
    <w:uiPriority w:val="11"/>
    <w:rsid w:val="00CF1E7E"/>
    <w:rPr>
      <w:rFonts w:ascii="Arial" w:eastAsia="Times New Roman" w:hAnsi="Arial" w:cs="Times New Roman"/>
      <w:b/>
      <w:iCs/>
      <w:color w:val="EF7E22"/>
      <w:spacing w:val="15"/>
      <w:sz w:val="32"/>
      <w:szCs w:val="24"/>
    </w:rPr>
  </w:style>
  <w:style w:type="character" w:styleId="SubtleEmphasis">
    <w:name w:val="Subtle Emphasis"/>
    <w:basedOn w:val="DefaultParagraphFont"/>
    <w:uiPriority w:val="19"/>
    <w:qFormat/>
    <w:rsid w:val="00CF1E7E"/>
    <w:rPr>
      <w:rFonts w:ascii="Arial" w:hAnsi="Arial"/>
      <w:i/>
      <w:iCs/>
      <w:color w:val="7F7F7F"/>
      <w:sz w:val="18"/>
    </w:rPr>
  </w:style>
  <w:style w:type="character" w:styleId="Emphasis">
    <w:name w:val="Emphasis"/>
    <w:basedOn w:val="DefaultParagraphFont"/>
    <w:uiPriority w:val="20"/>
    <w:qFormat/>
    <w:rsid w:val="00CF1E7E"/>
    <w:rPr>
      <w:rFonts w:ascii="Arial" w:hAnsi="Arial"/>
      <w:i/>
      <w:iCs/>
      <w:sz w:val="18"/>
    </w:rPr>
  </w:style>
  <w:style w:type="character" w:styleId="IntenseEmphasis">
    <w:name w:val="Intense Emphasis"/>
    <w:basedOn w:val="DefaultParagraphFont"/>
    <w:uiPriority w:val="21"/>
    <w:qFormat/>
    <w:rsid w:val="00CF1E7E"/>
    <w:rPr>
      <w:rFonts w:ascii="Arial" w:hAnsi="Arial"/>
      <w:b/>
      <w:bCs/>
      <w:i/>
      <w:iCs/>
      <w:color w:val="404040"/>
      <w:sz w:val="18"/>
    </w:rPr>
  </w:style>
  <w:style w:type="character" w:styleId="Strong">
    <w:name w:val="Strong"/>
    <w:basedOn w:val="DefaultParagraphFont"/>
    <w:uiPriority w:val="22"/>
    <w:qFormat/>
    <w:rsid w:val="00CF1E7E"/>
    <w:rPr>
      <w:rFonts w:ascii="Arial" w:hAnsi="Arial"/>
      <w:b/>
      <w:bCs/>
      <w:color w:val="404040"/>
      <w:sz w:val="18"/>
    </w:rPr>
  </w:style>
  <w:style w:type="paragraph" w:styleId="Quote">
    <w:name w:val="Quote"/>
    <w:basedOn w:val="Normal"/>
    <w:next w:val="Normal"/>
    <w:link w:val="QuoteChar"/>
    <w:uiPriority w:val="29"/>
    <w:qFormat/>
    <w:rsid w:val="004E5DAF"/>
    <w:rPr>
      <w:i/>
      <w:iCs/>
      <w:color w:val="EF7E22"/>
    </w:rPr>
  </w:style>
  <w:style w:type="character" w:customStyle="1" w:styleId="QuoteChar">
    <w:name w:val="Quote Char"/>
    <w:basedOn w:val="DefaultParagraphFont"/>
    <w:link w:val="Quote"/>
    <w:uiPriority w:val="29"/>
    <w:rsid w:val="004E5DAF"/>
    <w:rPr>
      <w:rFonts w:ascii="Arial" w:hAnsi="Arial"/>
      <w:i/>
      <w:iCs/>
      <w:color w:val="EF7E22"/>
      <w:sz w:val="18"/>
    </w:rPr>
  </w:style>
  <w:style w:type="character" w:styleId="SubtleReference">
    <w:name w:val="Subtle Reference"/>
    <w:basedOn w:val="DefaultParagraphFont"/>
    <w:uiPriority w:val="31"/>
    <w:qFormat/>
    <w:rsid w:val="004E5DAF"/>
    <w:rPr>
      <w:rFonts w:ascii="Arial" w:hAnsi="Arial"/>
      <w:color w:val="404040"/>
      <w:sz w:val="18"/>
      <w:u w:val="single"/>
    </w:rPr>
  </w:style>
  <w:style w:type="character" w:styleId="IntenseReference">
    <w:name w:val="Intense Reference"/>
    <w:basedOn w:val="DefaultParagraphFont"/>
    <w:uiPriority w:val="32"/>
    <w:qFormat/>
    <w:rsid w:val="004E5DAF"/>
    <w:rPr>
      <w:rFonts w:ascii="Arial" w:hAnsi="Arial"/>
      <w:b/>
      <w:bCs/>
      <w:color w:val="EF7E22"/>
      <w:spacing w:val="5"/>
      <w:sz w:val="18"/>
      <w:u w:val="single"/>
    </w:rPr>
  </w:style>
  <w:style w:type="paragraph" w:customStyle="1" w:styleId="Table">
    <w:name w:val="Table"/>
    <w:basedOn w:val="Normal"/>
    <w:link w:val="TableChar"/>
    <w:qFormat/>
    <w:rsid w:val="00974E32"/>
    <w:pPr>
      <w:spacing w:line="240" w:lineRule="auto"/>
      <w:jc w:val="left"/>
    </w:pPr>
    <w:rPr>
      <w:b/>
      <w:color w:val="auto"/>
    </w:rPr>
  </w:style>
  <w:style w:type="character" w:customStyle="1" w:styleId="TableChar">
    <w:name w:val="Table Char"/>
    <w:basedOn w:val="DefaultParagraphFont"/>
    <w:link w:val="Table"/>
    <w:rsid w:val="00974E32"/>
    <w:rPr>
      <w:rFonts w:ascii="Arial" w:hAnsi="Arial"/>
      <w:b/>
      <w:sz w:val="18"/>
    </w:rPr>
  </w:style>
  <w:style w:type="paragraph" w:customStyle="1" w:styleId="mainlist">
    <w:name w:val="main list"/>
    <w:basedOn w:val="ListParagraph"/>
    <w:qFormat/>
    <w:rsid w:val="002B51A5"/>
    <w:pPr>
      <w:numPr>
        <w:numId w:val="5"/>
      </w:numPr>
      <w:spacing w:after="0" w:afterAutospacing="0" w:line="240" w:lineRule="auto"/>
    </w:pPr>
    <w:rPr>
      <w:rFonts w:ascii="Calibri" w:eastAsia="Times New Roman" w:hAnsi="Calibri"/>
      <w:color w:val="auto"/>
      <w:sz w:val="22"/>
      <w:lang w:bidi="en-US"/>
    </w:rPr>
  </w:style>
  <w:style w:type="paragraph" w:customStyle="1" w:styleId="BodyPara1">
    <w:name w:val="Body Para1"/>
    <w:basedOn w:val="Normal"/>
    <w:link w:val="BodyPara1Char"/>
    <w:rsid w:val="002B51A5"/>
    <w:pPr>
      <w:spacing w:before="120" w:after="240" w:afterAutospacing="0" w:line="300" w:lineRule="atLeast"/>
    </w:pPr>
    <w:rPr>
      <w:rFonts w:ascii="Calibri" w:eastAsia="Times New Roman" w:hAnsi="Calibri" w:cs="Calibri"/>
      <w:color w:val="auto"/>
      <w:sz w:val="22"/>
      <w:szCs w:val="24"/>
      <w:lang w:val="pt-BR"/>
    </w:rPr>
  </w:style>
  <w:style w:type="paragraph" w:customStyle="1" w:styleId="DisplayHeading">
    <w:name w:val="Display Heading"/>
    <w:basedOn w:val="BodyPara1"/>
    <w:link w:val="DisplayHeadingChar"/>
    <w:uiPriority w:val="99"/>
    <w:qFormat/>
    <w:rsid w:val="00401DEE"/>
    <w:pPr>
      <w:spacing w:after="120"/>
    </w:pPr>
    <w:rPr>
      <w:b/>
      <w:color w:val="002060"/>
      <w:lang w:bidi="en-US"/>
    </w:rPr>
  </w:style>
  <w:style w:type="character" w:customStyle="1" w:styleId="BodyPara1Char">
    <w:name w:val="Body Para1 Char"/>
    <w:basedOn w:val="DefaultParagraphFont"/>
    <w:link w:val="BodyPara1"/>
    <w:rsid w:val="002B51A5"/>
    <w:rPr>
      <w:rFonts w:eastAsia="Times New Roman" w:cs="Calibri"/>
      <w:sz w:val="22"/>
      <w:szCs w:val="24"/>
      <w:lang w:val="pt-BR"/>
    </w:rPr>
  </w:style>
  <w:style w:type="character" w:customStyle="1" w:styleId="DisplayHeadingChar">
    <w:name w:val="Display Heading Char"/>
    <w:basedOn w:val="BodyPara1Char"/>
    <w:link w:val="DisplayHeading"/>
    <w:uiPriority w:val="99"/>
    <w:rsid w:val="00401DEE"/>
    <w:rPr>
      <w:b/>
      <w:color w:val="002060"/>
      <w:lang w:bidi="en-US"/>
    </w:rPr>
  </w:style>
  <w:style w:type="paragraph" w:customStyle="1" w:styleId="BulletList0">
    <w:name w:val="Bullet List"/>
    <w:basedOn w:val="Normal"/>
    <w:link w:val="BulletListChar0"/>
    <w:qFormat/>
    <w:rsid w:val="002B51A5"/>
    <w:pPr>
      <w:spacing w:before="20" w:after="20" w:afterAutospacing="0" w:line="240" w:lineRule="auto"/>
      <w:jc w:val="left"/>
    </w:pPr>
    <w:rPr>
      <w:rFonts w:ascii="Calibri" w:eastAsia="Times New Roman" w:hAnsi="Calibri" w:cs="Calibri"/>
      <w:color w:val="auto"/>
      <w:sz w:val="22"/>
      <w:szCs w:val="24"/>
      <w:lang w:val="pt-BR"/>
    </w:rPr>
  </w:style>
  <w:style w:type="character" w:customStyle="1" w:styleId="BulletListChar0">
    <w:name w:val="Bullet List Char"/>
    <w:basedOn w:val="DefaultParagraphFont"/>
    <w:link w:val="BulletList0"/>
    <w:rsid w:val="002B51A5"/>
    <w:rPr>
      <w:rFonts w:eastAsia="Times New Roman" w:cs="Calibri"/>
      <w:sz w:val="22"/>
      <w:szCs w:val="24"/>
      <w:lang w:val="pt-BR"/>
    </w:rPr>
  </w:style>
  <w:style w:type="paragraph" w:styleId="NormalWeb">
    <w:name w:val="Normal (Web)"/>
    <w:basedOn w:val="Normal"/>
    <w:link w:val="NormalWebChar"/>
    <w:uiPriority w:val="99"/>
    <w:unhideWhenUsed/>
    <w:rsid w:val="002B51A5"/>
    <w:pPr>
      <w:spacing w:before="100" w:beforeAutospacing="1" w:line="240" w:lineRule="auto"/>
      <w:jc w:val="left"/>
    </w:pPr>
    <w:rPr>
      <w:rFonts w:ascii="Times New Roman" w:hAnsi="Times New Roman"/>
      <w:color w:val="auto"/>
      <w:sz w:val="24"/>
      <w:szCs w:val="24"/>
    </w:rPr>
  </w:style>
  <w:style w:type="character" w:customStyle="1" w:styleId="NormalWebChar">
    <w:name w:val="Normal (Web) Char"/>
    <w:basedOn w:val="DefaultParagraphFont"/>
    <w:link w:val="NormalWeb"/>
    <w:rsid w:val="002B51A5"/>
    <w:rPr>
      <w:rFonts w:ascii="Times New Roman" w:hAnsi="Times New Roman"/>
      <w:sz w:val="24"/>
      <w:szCs w:val="24"/>
    </w:rPr>
  </w:style>
  <w:style w:type="paragraph" w:customStyle="1" w:styleId="documentTitle">
    <w:name w:val="document Title"/>
    <w:basedOn w:val="Normal"/>
    <w:link w:val="documentTitleChar"/>
    <w:qFormat/>
    <w:rsid w:val="00542B01"/>
    <w:pPr>
      <w:spacing w:after="0" w:afterAutospacing="0" w:line="240" w:lineRule="auto"/>
      <w:jc w:val="center"/>
    </w:pPr>
    <w:rPr>
      <w:rFonts w:ascii="Calibri" w:eastAsia="Times New Roman" w:hAnsi="Calibri"/>
      <w:b/>
      <w:color w:val="002060"/>
      <w:sz w:val="36"/>
      <w:szCs w:val="32"/>
      <w:lang w:bidi="en-US"/>
    </w:rPr>
  </w:style>
  <w:style w:type="character" w:customStyle="1" w:styleId="documentTitleChar">
    <w:name w:val="document Title Char"/>
    <w:basedOn w:val="DefaultParagraphFont"/>
    <w:link w:val="documentTitle"/>
    <w:rsid w:val="00542B01"/>
    <w:rPr>
      <w:rFonts w:eastAsia="Times New Roman"/>
      <w:b/>
      <w:color w:val="002060"/>
      <w:sz w:val="36"/>
      <w:szCs w:val="32"/>
      <w:lang w:bidi="en-US"/>
    </w:rPr>
  </w:style>
  <w:style w:type="paragraph" w:customStyle="1" w:styleId="BulletedList">
    <w:name w:val="Bulleted List"/>
    <w:basedOn w:val="Normal"/>
    <w:link w:val="BulletedListChar"/>
    <w:rsid w:val="00542B01"/>
    <w:pPr>
      <w:numPr>
        <w:numId w:val="6"/>
      </w:numPr>
      <w:spacing w:before="120" w:after="0" w:afterAutospacing="0" w:line="240" w:lineRule="auto"/>
      <w:jc w:val="left"/>
    </w:pPr>
    <w:rPr>
      <w:rFonts w:eastAsia="Times New Roman" w:cs="Arial"/>
      <w:color w:val="auto"/>
      <w:sz w:val="22"/>
    </w:rPr>
  </w:style>
  <w:style w:type="character" w:customStyle="1" w:styleId="BulletedListChar">
    <w:name w:val="Bulleted List Char"/>
    <w:basedOn w:val="DefaultParagraphFont"/>
    <w:link w:val="BulletedList"/>
    <w:rsid w:val="00542B01"/>
    <w:rPr>
      <w:rFonts w:ascii="Arial" w:eastAsia="Times New Roman" w:hAnsi="Arial" w:cs="Arial"/>
      <w:sz w:val="22"/>
      <w:szCs w:val="22"/>
    </w:rPr>
  </w:style>
  <w:style w:type="paragraph" w:customStyle="1" w:styleId="BulletListLevel2">
    <w:name w:val="Bullet List_Level2"/>
    <w:basedOn w:val="BulletList0"/>
    <w:qFormat/>
    <w:rsid w:val="00CF5394"/>
    <w:pPr>
      <w:tabs>
        <w:tab w:val="num" w:pos="360"/>
      </w:tabs>
      <w:spacing w:before="60" w:after="60" w:line="264" w:lineRule="auto"/>
      <w:ind w:left="1440" w:hanging="360"/>
      <w:contextualSpacing/>
      <w:jc w:val="both"/>
    </w:pPr>
    <w:rPr>
      <w:rFonts w:cs="Times New Roman"/>
      <w:sz w:val="20"/>
      <w:szCs w:val="20"/>
      <w:lang w:val="en-GB"/>
    </w:rPr>
  </w:style>
  <w:style w:type="character" w:customStyle="1" w:styleId="BulletListChar1">
    <w:name w:val="Bullet List Char1"/>
    <w:basedOn w:val="DefaultParagraphFont"/>
    <w:rsid w:val="00CF5394"/>
    <w:rPr>
      <w:rFonts w:eastAsia="Times New Roman" w:cs="Times New Roman"/>
      <w:sz w:val="20"/>
      <w:szCs w:val="20"/>
      <w:lang w:val="en-GB"/>
    </w:rPr>
  </w:style>
  <w:style w:type="paragraph" w:customStyle="1" w:styleId="Head1">
    <w:name w:val="Head1"/>
    <w:basedOn w:val="CommentText"/>
    <w:autoRedefine/>
    <w:rsid w:val="00BC0422"/>
    <w:rPr>
      <w:rFonts w:ascii="Trebuchet MS" w:hAnsi="Trebuchet MS"/>
      <w:b/>
    </w:rPr>
  </w:style>
  <w:style w:type="paragraph" w:styleId="CommentText">
    <w:name w:val="annotation text"/>
    <w:basedOn w:val="Normal"/>
    <w:link w:val="CommentTextChar"/>
    <w:semiHidden/>
    <w:unhideWhenUsed/>
    <w:rsid w:val="00F35DC9"/>
    <w:rPr>
      <w:sz w:val="20"/>
      <w:szCs w:val="20"/>
    </w:rPr>
  </w:style>
  <w:style w:type="character" w:customStyle="1" w:styleId="CommentTextChar">
    <w:name w:val="Comment Text Char"/>
    <w:basedOn w:val="DefaultParagraphFont"/>
    <w:link w:val="CommentText"/>
    <w:uiPriority w:val="99"/>
    <w:semiHidden/>
    <w:rsid w:val="00F35DC9"/>
    <w:rPr>
      <w:rFonts w:ascii="Arial" w:hAnsi="Arial"/>
      <w:color w:val="404040"/>
    </w:rPr>
  </w:style>
  <w:style w:type="paragraph" w:customStyle="1" w:styleId="ListAlphabets">
    <w:name w:val="List_Alphabets"/>
    <w:basedOn w:val="ListNumbered"/>
    <w:qFormat/>
    <w:rsid w:val="00363152"/>
    <w:pPr>
      <w:numPr>
        <w:ilvl w:val="1"/>
      </w:numPr>
    </w:pPr>
  </w:style>
  <w:style w:type="paragraph" w:styleId="BodyText2">
    <w:name w:val="Body Text 2"/>
    <w:basedOn w:val="Normal"/>
    <w:link w:val="BodyText2Char"/>
    <w:rsid w:val="00363152"/>
    <w:pPr>
      <w:spacing w:after="0" w:afterAutospacing="0" w:line="240" w:lineRule="auto"/>
      <w:jc w:val="left"/>
    </w:pPr>
    <w:rPr>
      <w:rFonts w:ascii="Tahoma" w:eastAsia="Times New Roman" w:hAnsi="Tahoma" w:cs="Tahoma"/>
      <w:color w:val="auto"/>
      <w:sz w:val="20"/>
      <w:szCs w:val="24"/>
    </w:rPr>
  </w:style>
  <w:style w:type="character" w:customStyle="1" w:styleId="BodyText2Char">
    <w:name w:val="Body Text 2 Char"/>
    <w:basedOn w:val="DefaultParagraphFont"/>
    <w:link w:val="BodyText2"/>
    <w:rsid w:val="00363152"/>
    <w:rPr>
      <w:rFonts w:ascii="Tahoma" w:eastAsia="Times New Roman" w:hAnsi="Tahoma" w:cs="Tahoma"/>
      <w:szCs w:val="24"/>
    </w:rPr>
  </w:style>
  <w:style w:type="paragraph" w:customStyle="1" w:styleId="BulletList2">
    <w:name w:val="Bullet List2"/>
    <w:basedOn w:val="Normal"/>
    <w:link w:val="BulletList2Char"/>
    <w:qFormat/>
    <w:rsid w:val="00363152"/>
    <w:pPr>
      <w:spacing w:before="20" w:after="20" w:afterAutospacing="0" w:line="240" w:lineRule="auto"/>
      <w:jc w:val="left"/>
    </w:pPr>
    <w:rPr>
      <w:rFonts w:ascii="Calibri" w:eastAsia="Times New Roman" w:hAnsi="Calibri" w:cs="Calibri"/>
      <w:color w:val="auto"/>
      <w:sz w:val="22"/>
      <w:szCs w:val="24"/>
      <w:lang w:val="pt-BR"/>
    </w:rPr>
  </w:style>
  <w:style w:type="character" w:customStyle="1" w:styleId="BulletList2Char">
    <w:name w:val="Bullet List2 Char"/>
    <w:basedOn w:val="DefaultParagraphFont"/>
    <w:link w:val="BulletList2"/>
    <w:rsid w:val="00363152"/>
    <w:rPr>
      <w:rFonts w:eastAsia="Times New Roman" w:cs="Calibri"/>
      <w:sz w:val="22"/>
      <w:szCs w:val="24"/>
      <w:lang w:val="pt-BR"/>
    </w:rPr>
  </w:style>
  <w:style w:type="table" w:customStyle="1" w:styleId="Style1">
    <w:name w:val="Style1"/>
    <w:basedOn w:val="TableNormal"/>
    <w:uiPriority w:val="99"/>
    <w:qFormat/>
    <w:rsid w:val="00363152"/>
    <w:rPr>
      <w:rFonts w:ascii="Arial" w:eastAsia="Times New Roman"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ulletList3">
    <w:name w:val="Bullet List3"/>
    <w:basedOn w:val="BulletList2"/>
    <w:link w:val="BulletList3Char"/>
    <w:qFormat/>
    <w:rsid w:val="00363152"/>
    <w:pPr>
      <w:numPr>
        <w:numId w:val="14"/>
      </w:numPr>
    </w:pPr>
  </w:style>
  <w:style w:type="character" w:customStyle="1" w:styleId="BulletList3Char">
    <w:name w:val="Bullet List3 Char"/>
    <w:basedOn w:val="BulletList2Char"/>
    <w:link w:val="BulletList3"/>
    <w:rsid w:val="00363152"/>
  </w:style>
  <w:style w:type="paragraph" w:customStyle="1" w:styleId="TableColumnHeading">
    <w:name w:val="Table Column Heading"/>
    <w:basedOn w:val="Normal"/>
    <w:qFormat/>
    <w:rsid w:val="00363152"/>
    <w:pPr>
      <w:spacing w:before="60" w:after="60" w:afterAutospacing="0" w:line="240" w:lineRule="auto"/>
      <w:jc w:val="center"/>
    </w:pPr>
    <w:rPr>
      <w:rFonts w:ascii="Calibri" w:eastAsia="Times New Roman" w:hAnsi="Calibri"/>
      <w:bCs/>
      <w:noProof/>
      <w:color w:val="FFFFFF"/>
      <w:sz w:val="22"/>
      <w:szCs w:val="20"/>
      <w:lang w:bidi="ta-IN"/>
    </w:rPr>
  </w:style>
  <w:style w:type="paragraph" w:styleId="NormalIndent">
    <w:name w:val="Normal Indent"/>
    <w:aliases w:val="Table Body Para"/>
    <w:basedOn w:val="Normal"/>
    <w:rsid w:val="00363152"/>
    <w:pPr>
      <w:spacing w:after="0" w:afterAutospacing="0" w:line="240" w:lineRule="auto"/>
      <w:jc w:val="left"/>
    </w:pPr>
    <w:rPr>
      <w:rFonts w:ascii="Calibri" w:eastAsia="Times New Roman" w:hAnsi="Calibri"/>
      <w:noProof/>
      <w:color w:val="auto"/>
      <w:sz w:val="20"/>
      <w:szCs w:val="20"/>
      <w:lang w:bidi="ta-IN"/>
    </w:rPr>
  </w:style>
  <w:style w:type="paragraph" w:styleId="BodyText">
    <w:name w:val="Body Text"/>
    <w:basedOn w:val="Normal"/>
    <w:link w:val="BodyTextChar"/>
    <w:rsid w:val="00363152"/>
    <w:pPr>
      <w:spacing w:after="120" w:afterAutospacing="0" w:line="240" w:lineRule="auto"/>
    </w:pPr>
    <w:rPr>
      <w:rFonts w:ascii="Calibri" w:eastAsia="Times New Roman" w:hAnsi="Calibri"/>
      <w:color w:val="auto"/>
      <w:sz w:val="22"/>
      <w:lang w:bidi="en-US"/>
    </w:rPr>
  </w:style>
  <w:style w:type="character" w:customStyle="1" w:styleId="BodyTextChar">
    <w:name w:val="Body Text Char"/>
    <w:basedOn w:val="DefaultParagraphFont"/>
    <w:link w:val="BodyText"/>
    <w:rsid w:val="00363152"/>
    <w:rPr>
      <w:rFonts w:eastAsia="Times New Roman"/>
      <w:sz w:val="22"/>
      <w:szCs w:val="22"/>
      <w:lang w:bidi="en-US"/>
    </w:rPr>
  </w:style>
  <w:style w:type="paragraph" w:customStyle="1" w:styleId="ListNumbered">
    <w:name w:val="List_Numbered"/>
    <w:basedOn w:val="BulletList0"/>
    <w:qFormat/>
    <w:rsid w:val="00363152"/>
    <w:pPr>
      <w:numPr>
        <w:numId w:val="7"/>
      </w:numPr>
    </w:pPr>
  </w:style>
  <w:style w:type="character" w:customStyle="1" w:styleId="heading12">
    <w:name w:val="heading12"/>
    <w:basedOn w:val="DefaultParagraphFont"/>
    <w:rsid w:val="00363152"/>
    <w:rPr>
      <w:rFonts w:ascii="Arial" w:hAnsi="Arial" w:cs="Arial" w:hint="default"/>
      <w:b/>
      <w:bCs/>
      <w:strike w:val="0"/>
      <w:dstrike w:val="0"/>
      <w:color w:val="2D406A"/>
      <w:sz w:val="26"/>
      <w:szCs w:val="26"/>
      <w:u w:val="none"/>
      <w:effect w:val="none"/>
    </w:rPr>
  </w:style>
  <w:style w:type="paragraph" w:customStyle="1" w:styleId="SubList">
    <w:name w:val="SubList"/>
    <w:basedOn w:val="List"/>
    <w:rsid w:val="00363152"/>
    <w:pPr>
      <w:spacing w:before="60" w:after="60" w:afterAutospacing="0" w:line="240" w:lineRule="auto"/>
      <w:ind w:left="1440" w:firstLine="0"/>
      <w:contextualSpacing w:val="0"/>
    </w:pPr>
    <w:rPr>
      <w:rFonts w:ascii="Verdana" w:eastAsia="Times New Roman" w:hAnsi="Verdana"/>
      <w:color w:val="auto"/>
      <w:sz w:val="20"/>
      <w:szCs w:val="20"/>
    </w:rPr>
  </w:style>
  <w:style w:type="paragraph" w:customStyle="1" w:styleId="TableBodyPara">
    <w:name w:val="Table_BodyPara"/>
    <w:basedOn w:val="BodyPara1"/>
    <w:link w:val="TableBodyParaChar"/>
    <w:qFormat/>
    <w:rsid w:val="00363152"/>
    <w:pPr>
      <w:spacing w:before="0" w:after="0" w:line="240" w:lineRule="auto"/>
      <w:jc w:val="left"/>
    </w:pPr>
    <w:rPr>
      <w:sz w:val="20"/>
    </w:rPr>
  </w:style>
  <w:style w:type="character" w:customStyle="1" w:styleId="TableBodyParaChar">
    <w:name w:val="Table_BodyPara Char"/>
    <w:basedOn w:val="BodyPara1Char"/>
    <w:link w:val="TableBodyPara"/>
    <w:rsid w:val="00363152"/>
  </w:style>
  <w:style w:type="paragraph" w:styleId="List">
    <w:name w:val="List"/>
    <w:basedOn w:val="Normal"/>
    <w:uiPriority w:val="99"/>
    <w:semiHidden/>
    <w:unhideWhenUsed/>
    <w:rsid w:val="00363152"/>
    <w:pPr>
      <w:ind w:left="360" w:hanging="360"/>
      <w:contextualSpacing/>
    </w:pPr>
  </w:style>
  <w:style w:type="table" w:customStyle="1" w:styleId="LightList-Accent11">
    <w:name w:val="Light List - Accent 11"/>
    <w:basedOn w:val="TableNormal"/>
    <w:uiPriority w:val="61"/>
    <w:locked/>
    <w:rsid w:val="00683FCC"/>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DocumentMap">
    <w:name w:val="Document Map"/>
    <w:basedOn w:val="Normal"/>
    <w:link w:val="DocumentMapChar"/>
    <w:uiPriority w:val="99"/>
    <w:semiHidden/>
    <w:unhideWhenUsed/>
    <w:rsid w:val="004257F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257F9"/>
    <w:rPr>
      <w:rFonts w:ascii="Tahoma" w:hAnsi="Tahoma" w:cs="Tahoma"/>
      <w:color w:val="404040"/>
      <w:sz w:val="16"/>
      <w:szCs w:val="16"/>
    </w:rPr>
  </w:style>
  <w:style w:type="paragraph" w:customStyle="1" w:styleId="BulletList4">
    <w:name w:val="Bullet List4"/>
    <w:basedOn w:val="BulletList3"/>
    <w:link w:val="BulletList4Char"/>
    <w:qFormat/>
    <w:rsid w:val="00401DEE"/>
    <w:pPr>
      <w:numPr>
        <w:ilvl w:val="3"/>
        <w:numId w:val="10"/>
      </w:numPr>
    </w:pPr>
  </w:style>
  <w:style w:type="paragraph" w:customStyle="1" w:styleId="DisplayHeadingMiddle">
    <w:name w:val="Display Heading_Middle"/>
    <w:basedOn w:val="DisplayHeading"/>
    <w:link w:val="DisplayHeadingMiddleChar"/>
    <w:qFormat/>
    <w:rsid w:val="005C6493"/>
    <w:pPr>
      <w:jc w:val="center"/>
    </w:pPr>
  </w:style>
  <w:style w:type="character" w:customStyle="1" w:styleId="BulletList4Char">
    <w:name w:val="Bullet List4 Char"/>
    <w:basedOn w:val="BulletList3Char"/>
    <w:link w:val="BulletList4"/>
    <w:rsid w:val="00401DEE"/>
  </w:style>
  <w:style w:type="numbering" w:customStyle="1" w:styleId="Style2">
    <w:name w:val="Style2"/>
    <w:uiPriority w:val="99"/>
    <w:rsid w:val="00EA1891"/>
    <w:pPr>
      <w:numPr>
        <w:numId w:val="11"/>
      </w:numPr>
    </w:pPr>
  </w:style>
  <w:style w:type="character" w:customStyle="1" w:styleId="DisplayHeadingMiddleChar">
    <w:name w:val="Display Heading_Middle Char"/>
    <w:basedOn w:val="DisplayHeadingChar"/>
    <w:link w:val="DisplayHeadingMiddle"/>
    <w:rsid w:val="005C6493"/>
  </w:style>
  <w:style w:type="paragraph" w:customStyle="1" w:styleId="DisplayHeadingOrange">
    <w:name w:val="Display Heading_Orange"/>
    <w:basedOn w:val="BodyPara1"/>
    <w:link w:val="DisplayHeadingOrangeChar"/>
    <w:qFormat/>
    <w:rsid w:val="00E017D0"/>
    <w:rPr>
      <w:rFonts w:asciiTheme="minorHAnsi" w:hAnsiTheme="minorHAnsi" w:cs="Arial"/>
      <w:b/>
      <w:color w:val="E36C0A" w:themeColor="accent6" w:themeShade="BF"/>
      <w:sz w:val="28"/>
      <w:u w:val="single"/>
      <w:lang w:val="en-GB"/>
    </w:rPr>
  </w:style>
  <w:style w:type="character" w:customStyle="1" w:styleId="DisplayHeadingOrangeChar">
    <w:name w:val="Display Heading_Orange Char"/>
    <w:basedOn w:val="Heading2Char"/>
    <w:link w:val="DisplayHeadingOrange"/>
    <w:rsid w:val="00E017D0"/>
    <w:rPr>
      <w:rFonts w:asciiTheme="minorHAnsi" w:hAnsiTheme="minorHAnsi" w:cs="Arial"/>
      <w:color w:val="E36C0A" w:themeColor="accent6" w:themeShade="BF"/>
      <w:sz w:val="28"/>
      <w:szCs w:val="24"/>
      <w:u w:val="single"/>
      <w:lang w:val="en-GB"/>
    </w:rPr>
  </w:style>
  <w:style w:type="paragraph" w:customStyle="1" w:styleId="Level1Text">
    <w:name w:val="Level 1 Text"/>
    <w:basedOn w:val="Normal"/>
    <w:rsid w:val="00BC0422"/>
    <w:pPr>
      <w:keepLines/>
      <w:spacing w:before="72" w:after="72" w:afterAutospacing="0" w:line="240" w:lineRule="auto"/>
      <w:ind w:hanging="14"/>
    </w:pPr>
    <w:rPr>
      <w:rFonts w:ascii="Verdana" w:eastAsia="Times New Roman" w:hAnsi="Verdana"/>
      <w:color w:val="auto"/>
      <w:sz w:val="22"/>
      <w:szCs w:val="20"/>
    </w:rPr>
  </w:style>
  <w:style w:type="paragraph" w:styleId="ListBullet2">
    <w:name w:val="List Bullet 2"/>
    <w:basedOn w:val="Normal"/>
    <w:rsid w:val="00BC0422"/>
    <w:pPr>
      <w:numPr>
        <w:numId w:val="15"/>
      </w:numPr>
      <w:spacing w:after="0" w:afterAutospacing="0" w:line="240" w:lineRule="auto"/>
      <w:jc w:val="left"/>
    </w:pPr>
    <w:rPr>
      <w:rFonts w:ascii="Times New Roman" w:eastAsia="Times New Roman" w:hAnsi="Times New Roman"/>
      <w:color w:val="auto"/>
      <w:sz w:val="24"/>
      <w:szCs w:val="24"/>
    </w:rPr>
  </w:style>
  <w:style w:type="paragraph" w:customStyle="1" w:styleId="Default">
    <w:name w:val="Default"/>
    <w:basedOn w:val="Normal"/>
    <w:uiPriority w:val="99"/>
    <w:rsid w:val="00421D26"/>
    <w:pPr>
      <w:autoSpaceDE w:val="0"/>
      <w:autoSpaceDN w:val="0"/>
      <w:spacing w:after="0" w:afterAutospacing="0" w:line="240" w:lineRule="auto"/>
      <w:jc w:val="left"/>
    </w:pPr>
    <w:rPr>
      <w:rFonts w:ascii="Univers 47 CondensedLight" w:eastAsia="PMingLiU" w:hAnsi="Univers 47 CondensedLight" w:cs="MS PGothic"/>
      <w:color w:val="000000"/>
      <w:sz w:val="24"/>
      <w:szCs w:val="24"/>
      <w:lang w:eastAsia="ja-JP"/>
    </w:rPr>
  </w:style>
  <w:style w:type="paragraph" w:customStyle="1" w:styleId="Pa1">
    <w:name w:val="Pa1"/>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paragraph" w:customStyle="1" w:styleId="Pa4">
    <w:name w:val="Pa4"/>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paragraph" w:customStyle="1" w:styleId="Pa3">
    <w:name w:val="Pa3"/>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paragraph" w:customStyle="1" w:styleId="Pa5">
    <w:name w:val="Pa5"/>
    <w:basedOn w:val="Normal"/>
    <w:uiPriority w:val="99"/>
    <w:rsid w:val="00421D26"/>
    <w:pPr>
      <w:autoSpaceDE w:val="0"/>
      <w:autoSpaceDN w:val="0"/>
      <w:spacing w:after="0" w:afterAutospacing="0" w:line="241" w:lineRule="atLeast"/>
      <w:jc w:val="left"/>
    </w:pPr>
    <w:rPr>
      <w:rFonts w:ascii="Univers 47 CondensedLight" w:eastAsia="PMingLiU" w:hAnsi="Univers 47 CondensedLight" w:cs="MS PGothic"/>
      <w:color w:val="auto"/>
      <w:sz w:val="24"/>
      <w:szCs w:val="24"/>
      <w:lang w:eastAsia="ja-JP"/>
    </w:rPr>
  </w:style>
  <w:style w:type="character" w:customStyle="1" w:styleId="A7">
    <w:name w:val="A7"/>
    <w:basedOn w:val="DefaultParagraphFont"/>
    <w:uiPriority w:val="99"/>
    <w:rsid w:val="00421D26"/>
    <w:rPr>
      <w:rFonts w:ascii="Univers 47 CondensedLight" w:hAnsi="Univers 47 CondensedLight" w:hint="default"/>
      <w:b/>
      <w:bCs/>
      <w:color w:val="000000"/>
    </w:rPr>
  </w:style>
  <w:style w:type="character" w:customStyle="1" w:styleId="A8">
    <w:name w:val="A8"/>
    <w:basedOn w:val="DefaultParagraphFont"/>
    <w:uiPriority w:val="99"/>
    <w:rsid w:val="00421D26"/>
    <w:rPr>
      <w:rFonts w:ascii="Univers 47 CondensedLight" w:hAnsi="Univers 47 CondensedLight" w:hint="default"/>
      <w:color w:val="000000"/>
    </w:rPr>
  </w:style>
  <w:style w:type="character" w:customStyle="1" w:styleId="A9">
    <w:name w:val="A9"/>
    <w:basedOn w:val="DefaultParagraphFont"/>
    <w:uiPriority w:val="99"/>
    <w:rsid w:val="00421D26"/>
    <w:rPr>
      <w:rFonts w:ascii="Univers 47 CondensedLight" w:hAnsi="Univers 47 CondensedLight" w:hint="default"/>
      <w:color w:val="000000"/>
    </w:rPr>
  </w:style>
</w:styles>
</file>

<file path=word/webSettings.xml><?xml version="1.0" encoding="utf-8"?>
<w:webSettings xmlns:r="http://schemas.openxmlformats.org/officeDocument/2006/relationships" xmlns:w="http://schemas.openxmlformats.org/wordprocessingml/2006/main">
  <w:divs>
    <w:div w:id="524026841">
      <w:bodyDiv w:val="1"/>
      <w:marLeft w:val="0"/>
      <w:marRight w:val="0"/>
      <w:marTop w:val="0"/>
      <w:marBottom w:val="0"/>
      <w:divBdr>
        <w:top w:val="none" w:sz="0" w:space="0" w:color="auto"/>
        <w:left w:val="none" w:sz="0" w:space="0" w:color="auto"/>
        <w:bottom w:val="none" w:sz="0" w:space="0" w:color="auto"/>
        <w:right w:val="none" w:sz="0" w:space="0" w:color="auto"/>
      </w:divBdr>
    </w:div>
    <w:div w:id="915361654">
      <w:bodyDiv w:val="1"/>
      <w:marLeft w:val="0"/>
      <w:marRight w:val="0"/>
      <w:marTop w:val="0"/>
      <w:marBottom w:val="0"/>
      <w:divBdr>
        <w:top w:val="none" w:sz="0" w:space="0" w:color="auto"/>
        <w:left w:val="none" w:sz="0" w:space="0" w:color="auto"/>
        <w:bottom w:val="none" w:sz="0" w:space="0" w:color="auto"/>
        <w:right w:val="none" w:sz="0" w:space="0" w:color="auto"/>
      </w:divBdr>
    </w:div>
    <w:div w:id="135098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image" Target="media/image18.png"/><Relationship Id="rId42" Type="http://schemas.openxmlformats.org/officeDocument/2006/relationships/image" Target="media/image21.png"/><Relationship Id="rId47" Type="http://schemas.openxmlformats.org/officeDocument/2006/relationships/image" Target="media/image26.jpeg"/><Relationship Id="rId50" Type="http://schemas.openxmlformats.org/officeDocument/2006/relationships/image" Target="media/image28.png"/><Relationship Id="rId55" Type="http://schemas.openxmlformats.org/officeDocument/2006/relationships/image" Target="media/image33.jpeg"/><Relationship Id="rId63" Type="http://schemas.openxmlformats.org/officeDocument/2006/relationships/footer" Target="footer1.xml"/><Relationship Id="rId68" Type="http://schemas.openxmlformats.org/officeDocument/2006/relationships/customXml" Target="../customXml/item4.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diagramQuickStyle" Target="diagrams/quickStyle1.xml"/><Relationship Id="rId11" Type="http://schemas.openxmlformats.org/officeDocument/2006/relationships/image" Target="media/image2.jpeg"/><Relationship Id="rId24" Type="http://schemas.openxmlformats.org/officeDocument/2006/relationships/image" Target="media/image13.emf"/><Relationship Id="rId32" Type="http://schemas.openxmlformats.org/officeDocument/2006/relationships/image" Target="media/image16.png"/><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image" Target="media/image24.png"/><Relationship Id="rId53" Type="http://schemas.openxmlformats.org/officeDocument/2006/relationships/image" Target="media/image31.jpeg"/><Relationship Id="rId58" Type="http://schemas.openxmlformats.org/officeDocument/2006/relationships/image" Target="media/image36.jpeg"/><Relationship Id="rId66"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header" Target="head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hyperlink" Target="mailto:cian.osuilleabhain@alliancebernstein.com"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9.png"/><Relationship Id="rId43" Type="http://schemas.openxmlformats.org/officeDocument/2006/relationships/image" Target="media/image22.emf"/><Relationship Id="rId48" Type="http://schemas.openxmlformats.org/officeDocument/2006/relationships/image" Target="cid:image005.jpg@01CADEEB.6B1A7FA0" TargetMode="External"/><Relationship Id="rId56" Type="http://schemas.openxmlformats.org/officeDocument/2006/relationships/image" Target="media/image34.png"/><Relationship Id="rId64"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29.jpe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image" Target="media/image17.emf"/><Relationship Id="rId38" Type="http://schemas.openxmlformats.org/officeDocument/2006/relationships/diagramLayout" Target="diagrams/layout2.xml"/><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theme" Target="theme/theme1.xml"/><Relationship Id="rId20" Type="http://schemas.openxmlformats.org/officeDocument/2006/relationships/image" Target="media/image11.wmf"/><Relationship Id="rId41" Type="http://schemas.microsoft.com/office/2007/relationships/diagramDrawing" Target="diagrams/drawing2.xml"/><Relationship Id="rId54" Type="http://schemas.openxmlformats.org/officeDocument/2006/relationships/image" Target="media/image32.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yperlink" Target="mailto:jsd4@ntrs.com" TargetMode="External"/><Relationship Id="rId28" Type="http://schemas.openxmlformats.org/officeDocument/2006/relationships/diagramLayout" Target="diagrams/layout1.xml"/><Relationship Id="rId36" Type="http://schemas.openxmlformats.org/officeDocument/2006/relationships/image" Target="media/image20.png"/><Relationship Id="rId49" Type="http://schemas.openxmlformats.org/officeDocument/2006/relationships/image" Target="media/image27.png"/><Relationship Id="rId57" Type="http://schemas.openxmlformats.org/officeDocument/2006/relationships/image" Target="media/image35.jpeg"/><Relationship Id="rId10" Type="http://schemas.openxmlformats.org/officeDocument/2006/relationships/image" Target="media/image1.wmf"/><Relationship Id="rId31" Type="http://schemas.microsoft.com/office/2007/relationships/diagramDrawing" Target="diagrams/drawing1.xml"/><Relationship Id="rId44" Type="http://schemas.openxmlformats.org/officeDocument/2006/relationships/image" Target="media/image23.png"/><Relationship Id="rId52" Type="http://schemas.openxmlformats.org/officeDocument/2006/relationships/image" Target="media/image30.emf"/><Relationship Id="rId60" Type="http://schemas.openxmlformats.org/officeDocument/2006/relationships/image" Target="media/image38.png"/><Relationship Id="rId65"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diagramQuickStyle" Target="diagrams/quickStyle2.xml"/></Relationships>
</file>

<file path=word/_rels/header1.xml.rels><?xml version="1.0" encoding="UTF-8" standalone="yes"?>
<Relationships xmlns="http://schemas.openxmlformats.org/package/2006/relationships"><Relationship Id="rId1" Type="http://schemas.openxmlformats.org/officeDocument/2006/relationships/image" Target="media/image39.wmf"/></Relationships>
</file>

<file path=word/_rels/header2.xml.rels><?xml version="1.0" encoding="UTF-8" standalone="yes"?>
<Relationships xmlns="http://schemas.openxmlformats.org/package/2006/relationships"><Relationship Id="rId2" Type="http://schemas.openxmlformats.org/officeDocument/2006/relationships/image" Target="media/image39.wmf"/><Relationship Id="rId1" Type="http://schemas.openxmlformats.org/officeDocument/2006/relationships/image" Target="media/image1.wmf"/></Relationships>
</file>

<file path=word/_rels/header3.xml.rels><?xml version="1.0" encoding="UTF-8" standalone="yes"?>
<Relationships xmlns="http://schemas.openxmlformats.org/package/2006/relationships"><Relationship Id="rId1" Type="http://schemas.openxmlformats.org/officeDocument/2006/relationships/image" Target="media/image39.w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49DAEAE-0BA9-4ABB-AD9F-124B5158A75F}" type="doc">
      <dgm:prSet loTypeId="urn:microsoft.com/office/officeart/2005/8/layout/hierarchy4" loCatId="list" qsTypeId="urn:microsoft.com/office/officeart/2005/8/quickstyle/3d4" qsCatId="3D" csTypeId="urn:microsoft.com/office/officeart/2005/8/colors/accent1_2" csCatId="accent1" phldr="1"/>
      <dgm:spPr/>
      <dgm:t>
        <a:bodyPr/>
        <a:lstStyle/>
        <a:p>
          <a:endParaRPr lang="en-US"/>
        </a:p>
      </dgm:t>
    </dgm:pt>
    <dgm:pt modelId="{BDD34DD0-793E-4355-90F8-D015E1A7F77A}">
      <dgm:prSet phldrT="[Text]" custT="1"/>
      <dgm:spPr>
        <a:solidFill>
          <a:srgbClr val="2781BD"/>
        </a:solidFill>
      </dgm:spPr>
      <dgm:t>
        <a:bodyPr/>
        <a:lstStyle/>
        <a:p>
          <a:r>
            <a:rPr lang="en-US" sz="1600" b="1" dirty="0" smtClean="0">
              <a:solidFill>
                <a:schemeClr val="tx2"/>
              </a:solidFill>
              <a:latin typeface="Arial Narrow" pitchFamily="34" charset="0"/>
            </a:rPr>
            <a:t>Charles River Team Composition</a:t>
          </a:r>
          <a:endParaRPr lang="en-US" sz="1600" b="1" dirty="0">
            <a:solidFill>
              <a:schemeClr val="tx2"/>
            </a:solidFill>
            <a:latin typeface="Arial Narrow" pitchFamily="34" charset="0"/>
          </a:endParaRPr>
        </a:p>
      </dgm:t>
    </dgm:pt>
    <dgm:pt modelId="{BA7C1B01-621D-47E2-8473-D9E828D78E66}" type="parTrans" cxnId="{F8B3D909-D0E2-4D2E-A7A1-08879AB73D1C}">
      <dgm:prSet/>
      <dgm:spPr/>
      <dgm:t>
        <a:bodyPr/>
        <a:lstStyle/>
        <a:p>
          <a:endParaRPr lang="en-US" b="1">
            <a:solidFill>
              <a:schemeClr val="tx2"/>
            </a:solidFill>
          </a:endParaRPr>
        </a:p>
      </dgm:t>
    </dgm:pt>
    <dgm:pt modelId="{BAF5912B-432F-4EDF-ABEE-803E9344D5A7}" type="sibTrans" cxnId="{F8B3D909-D0E2-4D2E-A7A1-08879AB73D1C}">
      <dgm:prSet/>
      <dgm:spPr/>
      <dgm:t>
        <a:bodyPr/>
        <a:lstStyle/>
        <a:p>
          <a:endParaRPr lang="en-US" b="1">
            <a:solidFill>
              <a:schemeClr val="tx2"/>
            </a:solidFill>
          </a:endParaRPr>
        </a:p>
      </dgm:t>
    </dgm:pt>
    <dgm:pt modelId="{5D071B7A-145F-4DBF-A2C6-C67349DA212A}">
      <dgm:prSet phldrT="[Text]" custT="1"/>
      <dgm:spPr>
        <a:solidFill>
          <a:srgbClr val="6EA3BE"/>
        </a:solidFill>
      </dgm:spPr>
      <dgm:t>
        <a:bodyPr/>
        <a:lstStyle/>
        <a:p>
          <a:r>
            <a:rPr lang="en-US" sz="1200" b="1" dirty="0" smtClean="0">
              <a:solidFill>
                <a:schemeClr val="tx2"/>
              </a:solidFill>
              <a:latin typeface="Arial Narrow" pitchFamily="34" charset="0"/>
            </a:rPr>
            <a:t>Domain Experts</a:t>
          </a:r>
        </a:p>
      </dgm:t>
    </dgm:pt>
    <dgm:pt modelId="{B16E6EC9-65D9-4AEF-8CB2-FBA9D713DE54}" type="parTrans" cxnId="{D2A37950-9D0C-447B-9C19-B89975F07AE3}">
      <dgm:prSet/>
      <dgm:spPr/>
      <dgm:t>
        <a:bodyPr/>
        <a:lstStyle/>
        <a:p>
          <a:endParaRPr lang="en-US" b="1">
            <a:solidFill>
              <a:schemeClr val="tx2"/>
            </a:solidFill>
          </a:endParaRPr>
        </a:p>
      </dgm:t>
    </dgm:pt>
    <dgm:pt modelId="{8D4647DF-7580-49E3-85DE-351A8B602CBF}" type="sibTrans" cxnId="{D2A37950-9D0C-447B-9C19-B89975F07AE3}">
      <dgm:prSet/>
      <dgm:spPr/>
      <dgm:t>
        <a:bodyPr/>
        <a:lstStyle/>
        <a:p>
          <a:endParaRPr lang="en-US" b="1">
            <a:solidFill>
              <a:schemeClr val="tx2"/>
            </a:solidFill>
          </a:endParaRPr>
        </a:p>
      </dgm:t>
    </dgm:pt>
    <dgm:pt modelId="{BE3DC4F5-6208-4ACB-8050-0312CD251902}">
      <dgm:prSet phldrT="[Text]" custT="1"/>
      <dgm:spPr/>
      <dgm:t>
        <a:bodyPr/>
        <a:lstStyle/>
        <a:p>
          <a:pPr>
            <a:lnSpc>
              <a:spcPct val="100000"/>
            </a:lnSpc>
            <a:spcAft>
              <a:spcPts val="0"/>
            </a:spcAft>
          </a:pPr>
          <a:r>
            <a:rPr lang="en-US" sz="1200" b="1" dirty="0" smtClean="0">
              <a:solidFill>
                <a:schemeClr val="tx2"/>
              </a:solidFill>
              <a:latin typeface="Arial Narrow" pitchFamily="34" charset="0"/>
            </a:rPr>
            <a:t>Tools/</a:t>
          </a:r>
        </a:p>
        <a:p>
          <a:pPr>
            <a:lnSpc>
              <a:spcPct val="100000"/>
            </a:lnSpc>
            <a:spcAft>
              <a:spcPts val="0"/>
            </a:spcAft>
          </a:pPr>
          <a:r>
            <a:rPr lang="en-US" sz="1200" b="1" dirty="0" smtClean="0">
              <a:solidFill>
                <a:schemeClr val="tx2"/>
              </a:solidFill>
              <a:latin typeface="Arial Narrow" pitchFamily="34" charset="0"/>
            </a:rPr>
            <a:t>Technology Experts </a:t>
          </a:r>
        </a:p>
      </dgm:t>
    </dgm:pt>
    <dgm:pt modelId="{45C57179-2E21-4B16-91A3-35CA4A04708E}" type="parTrans" cxnId="{EF8F2D56-F33E-4C55-85CF-521253A5DBC8}">
      <dgm:prSet/>
      <dgm:spPr/>
      <dgm:t>
        <a:bodyPr/>
        <a:lstStyle/>
        <a:p>
          <a:endParaRPr lang="en-US" b="1">
            <a:solidFill>
              <a:schemeClr val="tx2"/>
            </a:solidFill>
          </a:endParaRPr>
        </a:p>
      </dgm:t>
    </dgm:pt>
    <dgm:pt modelId="{A6F81E05-3625-451D-97B6-AF81E331FCAD}" type="sibTrans" cxnId="{EF8F2D56-F33E-4C55-85CF-521253A5DBC8}">
      <dgm:prSet/>
      <dgm:spPr/>
      <dgm:t>
        <a:bodyPr/>
        <a:lstStyle/>
        <a:p>
          <a:endParaRPr lang="en-US" b="1">
            <a:solidFill>
              <a:schemeClr val="tx2"/>
            </a:solidFill>
          </a:endParaRPr>
        </a:p>
      </dgm:t>
    </dgm:pt>
    <dgm:pt modelId="{2DD8BFC0-B2EF-4846-956C-CDA70CAE30FA}">
      <dgm:prSet phldrT="[Text]" custT="1"/>
      <dgm:spPr>
        <a:solidFill>
          <a:schemeClr val="accent6">
            <a:lumMod val="60000"/>
            <a:lumOff val="40000"/>
          </a:schemeClr>
        </a:solidFill>
        <a:ln>
          <a:solidFill>
            <a:schemeClr val="accent5">
              <a:lumMod val="75000"/>
            </a:schemeClr>
          </a:solidFill>
        </a:ln>
      </dgm:spPr>
      <dgm:t>
        <a:bodyPr/>
        <a:lstStyle/>
        <a:p>
          <a:r>
            <a:rPr lang="en-US" sz="1200" b="1" dirty="0" smtClean="0">
              <a:solidFill>
                <a:schemeClr val="tx2"/>
              </a:solidFill>
              <a:latin typeface="Arial Narrow" pitchFamily="34" charset="0"/>
            </a:rPr>
            <a:t>Testing Experts </a:t>
          </a:r>
        </a:p>
      </dgm:t>
    </dgm:pt>
    <dgm:pt modelId="{8E754F77-4DD4-44DE-8E98-99BCDCC339E0}" type="parTrans" cxnId="{235FFB9D-A8A5-40CD-BBA5-64B470AE83AF}">
      <dgm:prSet/>
      <dgm:spPr/>
      <dgm:t>
        <a:bodyPr/>
        <a:lstStyle/>
        <a:p>
          <a:endParaRPr lang="en-US" b="1">
            <a:solidFill>
              <a:schemeClr val="tx2"/>
            </a:solidFill>
          </a:endParaRPr>
        </a:p>
      </dgm:t>
    </dgm:pt>
    <dgm:pt modelId="{BDA4891B-7E1C-4D85-BAA7-2AFB8AB58C39}" type="sibTrans" cxnId="{235FFB9D-A8A5-40CD-BBA5-64B470AE83AF}">
      <dgm:prSet/>
      <dgm:spPr/>
      <dgm:t>
        <a:bodyPr/>
        <a:lstStyle/>
        <a:p>
          <a:endParaRPr lang="en-US" b="1">
            <a:solidFill>
              <a:schemeClr val="tx2"/>
            </a:solidFill>
          </a:endParaRPr>
        </a:p>
      </dgm:t>
    </dgm:pt>
    <dgm:pt modelId="{795A257E-3DD7-42C9-81AC-D2AD58CF12D4}">
      <dgm:prSet phldrT="[Text]" custT="1"/>
      <dgm:spPr/>
      <dgm:t>
        <a:bodyPr/>
        <a:lstStyle/>
        <a:p>
          <a:r>
            <a:rPr lang="en-US" sz="1400" b="1" dirty="0" smtClean="0">
              <a:solidFill>
                <a:schemeClr val="tx2"/>
              </a:solidFill>
              <a:latin typeface="Arial Narrow" pitchFamily="34" charset="0"/>
            </a:rPr>
            <a:t>Product Experts</a:t>
          </a:r>
          <a:endParaRPr lang="en-US" sz="1400" b="1" dirty="0">
            <a:solidFill>
              <a:schemeClr val="tx2"/>
            </a:solidFill>
            <a:latin typeface="Arial Narrow" pitchFamily="34" charset="0"/>
          </a:endParaRPr>
        </a:p>
      </dgm:t>
    </dgm:pt>
    <dgm:pt modelId="{E3B776E2-40D0-4A6E-AB81-B2DE3F70C40D}" type="parTrans" cxnId="{04CF4810-6C3D-491D-9713-0199B43C38B1}">
      <dgm:prSet/>
      <dgm:spPr/>
      <dgm:t>
        <a:bodyPr/>
        <a:lstStyle/>
        <a:p>
          <a:endParaRPr lang="en-US" b="1">
            <a:solidFill>
              <a:schemeClr val="tx2"/>
            </a:solidFill>
          </a:endParaRPr>
        </a:p>
      </dgm:t>
    </dgm:pt>
    <dgm:pt modelId="{D2A95DAA-1821-42DE-8E61-9B72D041E71B}" type="sibTrans" cxnId="{04CF4810-6C3D-491D-9713-0199B43C38B1}">
      <dgm:prSet/>
      <dgm:spPr/>
      <dgm:t>
        <a:bodyPr/>
        <a:lstStyle/>
        <a:p>
          <a:endParaRPr lang="en-US" b="1">
            <a:solidFill>
              <a:schemeClr val="tx2"/>
            </a:solidFill>
          </a:endParaRPr>
        </a:p>
      </dgm:t>
    </dgm:pt>
    <dgm:pt modelId="{BC1B7086-7435-4794-B335-414F68792008}">
      <dgm:prSet phldrT="[Text]"/>
      <dgm:spPr>
        <a:solidFill>
          <a:srgbClr val="E8E39C"/>
        </a:solidFill>
      </dgm:spPr>
      <dgm:t>
        <a:bodyPr/>
        <a:lstStyle/>
        <a:p>
          <a:r>
            <a:rPr lang="en-US" b="1" dirty="0" smtClean="0">
              <a:solidFill>
                <a:schemeClr val="tx2"/>
              </a:solidFill>
              <a:latin typeface="Arial Narrow" pitchFamily="34" charset="0"/>
            </a:rPr>
            <a:t>Implementation/</a:t>
          </a:r>
        </a:p>
        <a:p>
          <a:r>
            <a:rPr lang="en-US" b="1" dirty="0" smtClean="0">
              <a:solidFill>
                <a:schemeClr val="tx2"/>
              </a:solidFill>
              <a:latin typeface="Arial Narrow" pitchFamily="34" charset="0"/>
            </a:rPr>
            <a:t>Upgrade</a:t>
          </a:r>
          <a:endParaRPr lang="en-US" b="1" dirty="0">
            <a:solidFill>
              <a:schemeClr val="tx2"/>
            </a:solidFill>
            <a:latin typeface="Arial Narrow" pitchFamily="34" charset="0"/>
          </a:endParaRPr>
        </a:p>
      </dgm:t>
    </dgm:pt>
    <dgm:pt modelId="{3655C285-F7D6-4B7C-A440-B121F30DC840}" type="parTrans" cxnId="{D9434B19-155D-4C31-A57C-16F438F3CD7F}">
      <dgm:prSet/>
      <dgm:spPr/>
      <dgm:t>
        <a:bodyPr/>
        <a:lstStyle/>
        <a:p>
          <a:endParaRPr lang="en-US" b="1">
            <a:solidFill>
              <a:schemeClr val="tx2"/>
            </a:solidFill>
          </a:endParaRPr>
        </a:p>
      </dgm:t>
    </dgm:pt>
    <dgm:pt modelId="{778CC5DB-6591-4A68-85E0-4346B5EA01C7}" type="sibTrans" cxnId="{D9434B19-155D-4C31-A57C-16F438F3CD7F}">
      <dgm:prSet/>
      <dgm:spPr/>
      <dgm:t>
        <a:bodyPr/>
        <a:lstStyle/>
        <a:p>
          <a:endParaRPr lang="en-US" b="1">
            <a:solidFill>
              <a:schemeClr val="tx2"/>
            </a:solidFill>
          </a:endParaRPr>
        </a:p>
      </dgm:t>
    </dgm:pt>
    <dgm:pt modelId="{1C69C65B-EEE2-4C0E-B2E3-45287940671A}">
      <dgm:prSet phldrT="[Text]"/>
      <dgm:spPr>
        <a:solidFill>
          <a:srgbClr val="E8E39C"/>
        </a:solidFill>
      </dgm:spPr>
      <dgm:t>
        <a:bodyPr/>
        <a:lstStyle/>
        <a:p>
          <a:r>
            <a:rPr lang="en-US" b="1" dirty="0" smtClean="0">
              <a:solidFill>
                <a:schemeClr val="tx2"/>
              </a:solidFill>
              <a:latin typeface="Arial Narrow" pitchFamily="34" charset="0"/>
            </a:rPr>
            <a:t>Customization</a:t>
          </a:r>
          <a:endParaRPr lang="en-US" b="1" dirty="0">
            <a:solidFill>
              <a:schemeClr val="tx2"/>
            </a:solidFill>
            <a:latin typeface="Arial Narrow" pitchFamily="34" charset="0"/>
          </a:endParaRPr>
        </a:p>
      </dgm:t>
    </dgm:pt>
    <dgm:pt modelId="{6C281C82-5998-449D-897F-F846741C988E}" type="parTrans" cxnId="{87ADE78D-9318-45E6-8C4F-24C94749B697}">
      <dgm:prSet/>
      <dgm:spPr/>
      <dgm:t>
        <a:bodyPr/>
        <a:lstStyle/>
        <a:p>
          <a:endParaRPr lang="en-US" b="1">
            <a:solidFill>
              <a:schemeClr val="tx2"/>
            </a:solidFill>
          </a:endParaRPr>
        </a:p>
      </dgm:t>
    </dgm:pt>
    <dgm:pt modelId="{774D48F6-3A63-4274-8324-2F40F017BC66}" type="sibTrans" cxnId="{87ADE78D-9318-45E6-8C4F-24C94749B697}">
      <dgm:prSet/>
      <dgm:spPr/>
      <dgm:t>
        <a:bodyPr/>
        <a:lstStyle/>
        <a:p>
          <a:endParaRPr lang="en-US" b="1">
            <a:solidFill>
              <a:schemeClr val="tx2"/>
            </a:solidFill>
          </a:endParaRPr>
        </a:p>
      </dgm:t>
    </dgm:pt>
    <dgm:pt modelId="{0CB49D79-5BE0-48E8-B9D7-405F914B805C}">
      <dgm:prSet phldrT="[Text]"/>
      <dgm:spPr>
        <a:solidFill>
          <a:srgbClr val="E8E39C"/>
        </a:solidFill>
      </dgm:spPr>
      <dgm:t>
        <a:bodyPr/>
        <a:lstStyle/>
        <a:p>
          <a:r>
            <a:rPr lang="en-US" b="1" dirty="0" smtClean="0">
              <a:solidFill>
                <a:schemeClr val="tx2"/>
              </a:solidFill>
              <a:latin typeface="Arial Narrow" pitchFamily="34" charset="0"/>
            </a:rPr>
            <a:t>ASM</a:t>
          </a:r>
          <a:endParaRPr lang="en-US" b="1" dirty="0">
            <a:solidFill>
              <a:schemeClr val="tx2"/>
            </a:solidFill>
            <a:latin typeface="Arial Narrow" pitchFamily="34" charset="0"/>
          </a:endParaRPr>
        </a:p>
      </dgm:t>
    </dgm:pt>
    <dgm:pt modelId="{A35D3B0F-DEAD-4D20-83AC-55990B42D5D8}" type="parTrans" cxnId="{8D89BE1C-A913-4E32-9927-F4C6F96414E2}">
      <dgm:prSet/>
      <dgm:spPr/>
      <dgm:t>
        <a:bodyPr/>
        <a:lstStyle/>
        <a:p>
          <a:endParaRPr lang="en-US" b="1">
            <a:solidFill>
              <a:schemeClr val="tx2"/>
            </a:solidFill>
          </a:endParaRPr>
        </a:p>
      </dgm:t>
    </dgm:pt>
    <dgm:pt modelId="{3C9621FC-1C22-48ED-BFA4-6CA6B99BD625}" type="sibTrans" cxnId="{8D89BE1C-A913-4E32-9927-F4C6F96414E2}">
      <dgm:prSet/>
      <dgm:spPr/>
      <dgm:t>
        <a:bodyPr/>
        <a:lstStyle/>
        <a:p>
          <a:endParaRPr lang="en-US" b="1">
            <a:solidFill>
              <a:schemeClr val="tx2"/>
            </a:solidFill>
          </a:endParaRPr>
        </a:p>
      </dgm:t>
    </dgm:pt>
    <dgm:pt modelId="{9E244412-E8B1-47D4-AAFE-4332DBB805AD}" type="pres">
      <dgm:prSet presAssocID="{F49DAEAE-0BA9-4ABB-AD9F-124B5158A75F}" presName="Name0" presStyleCnt="0">
        <dgm:presLayoutVars>
          <dgm:chPref val="1"/>
          <dgm:dir/>
          <dgm:animOne val="branch"/>
          <dgm:animLvl val="lvl"/>
          <dgm:resizeHandles/>
        </dgm:presLayoutVars>
      </dgm:prSet>
      <dgm:spPr/>
      <dgm:t>
        <a:bodyPr/>
        <a:lstStyle/>
        <a:p>
          <a:endParaRPr lang="en-US"/>
        </a:p>
      </dgm:t>
    </dgm:pt>
    <dgm:pt modelId="{BEDAAB9D-981D-4D24-BBEC-4C12D53E6C67}" type="pres">
      <dgm:prSet presAssocID="{BDD34DD0-793E-4355-90F8-D015E1A7F77A}" presName="vertOne" presStyleCnt="0"/>
      <dgm:spPr/>
      <dgm:t>
        <a:bodyPr/>
        <a:lstStyle/>
        <a:p>
          <a:endParaRPr lang="en-US"/>
        </a:p>
      </dgm:t>
    </dgm:pt>
    <dgm:pt modelId="{361D9029-9449-4220-B9BE-0CAC0553F04E}" type="pres">
      <dgm:prSet presAssocID="{BDD34DD0-793E-4355-90F8-D015E1A7F77A}" presName="txOne" presStyleLbl="node0" presStyleIdx="0" presStyleCnt="1" custScaleY="52759" custLinFactNeighborX="999" custLinFactNeighborY="48178">
        <dgm:presLayoutVars>
          <dgm:chPref val="3"/>
        </dgm:presLayoutVars>
      </dgm:prSet>
      <dgm:spPr/>
      <dgm:t>
        <a:bodyPr/>
        <a:lstStyle/>
        <a:p>
          <a:endParaRPr lang="en-US"/>
        </a:p>
      </dgm:t>
    </dgm:pt>
    <dgm:pt modelId="{41934484-F8DD-48C6-9CA5-89F01C914322}" type="pres">
      <dgm:prSet presAssocID="{BDD34DD0-793E-4355-90F8-D015E1A7F77A}" presName="parTransOne" presStyleCnt="0"/>
      <dgm:spPr/>
      <dgm:t>
        <a:bodyPr/>
        <a:lstStyle/>
        <a:p>
          <a:endParaRPr lang="en-US"/>
        </a:p>
      </dgm:t>
    </dgm:pt>
    <dgm:pt modelId="{6A4C4C54-786F-4A68-8C25-CE9F109ED0C3}" type="pres">
      <dgm:prSet presAssocID="{BDD34DD0-793E-4355-90F8-D015E1A7F77A}" presName="horzOne" presStyleCnt="0"/>
      <dgm:spPr/>
      <dgm:t>
        <a:bodyPr/>
        <a:lstStyle/>
        <a:p>
          <a:endParaRPr lang="en-US"/>
        </a:p>
      </dgm:t>
    </dgm:pt>
    <dgm:pt modelId="{E29EE5C6-869D-4FCB-A54A-F8AC9E76EE88}" type="pres">
      <dgm:prSet presAssocID="{5D071B7A-145F-4DBF-A2C6-C67349DA212A}" presName="vertTwo" presStyleCnt="0"/>
      <dgm:spPr/>
      <dgm:t>
        <a:bodyPr/>
        <a:lstStyle/>
        <a:p>
          <a:endParaRPr lang="en-US"/>
        </a:p>
      </dgm:t>
    </dgm:pt>
    <dgm:pt modelId="{3D8A5457-565D-4F71-82E3-44DBD44921DA}" type="pres">
      <dgm:prSet presAssocID="{5D071B7A-145F-4DBF-A2C6-C67349DA212A}" presName="txTwo" presStyleLbl="node2" presStyleIdx="0" presStyleCnt="4" custScaleX="36700" custScaleY="223995" custLinFactNeighborX="-5821">
        <dgm:presLayoutVars>
          <dgm:chPref val="3"/>
        </dgm:presLayoutVars>
      </dgm:prSet>
      <dgm:spPr/>
      <dgm:t>
        <a:bodyPr/>
        <a:lstStyle/>
        <a:p>
          <a:endParaRPr lang="en-US"/>
        </a:p>
      </dgm:t>
    </dgm:pt>
    <dgm:pt modelId="{BA39CEC8-9320-4591-A0DF-5DE7E64A03FE}" type="pres">
      <dgm:prSet presAssocID="{5D071B7A-145F-4DBF-A2C6-C67349DA212A}" presName="horzTwo" presStyleCnt="0"/>
      <dgm:spPr/>
      <dgm:t>
        <a:bodyPr/>
        <a:lstStyle/>
        <a:p>
          <a:endParaRPr lang="en-US"/>
        </a:p>
      </dgm:t>
    </dgm:pt>
    <dgm:pt modelId="{338458DD-567C-4853-805B-B4A2359114FA}" type="pres">
      <dgm:prSet presAssocID="{8D4647DF-7580-49E3-85DE-351A8B602CBF}" presName="sibSpaceTwo" presStyleCnt="0"/>
      <dgm:spPr/>
      <dgm:t>
        <a:bodyPr/>
        <a:lstStyle/>
        <a:p>
          <a:endParaRPr lang="en-US"/>
        </a:p>
      </dgm:t>
    </dgm:pt>
    <dgm:pt modelId="{18DDFC12-37CE-4EE3-A8B0-EAB4BE3137CF}" type="pres">
      <dgm:prSet presAssocID="{BE3DC4F5-6208-4ACB-8050-0312CD251902}" presName="vertTwo" presStyleCnt="0"/>
      <dgm:spPr/>
      <dgm:t>
        <a:bodyPr/>
        <a:lstStyle/>
        <a:p>
          <a:endParaRPr lang="en-US"/>
        </a:p>
      </dgm:t>
    </dgm:pt>
    <dgm:pt modelId="{C3CE15A0-8FFB-45C7-B43D-4BB2B7485FFA}" type="pres">
      <dgm:prSet presAssocID="{BE3DC4F5-6208-4ACB-8050-0312CD251902}" presName="txTwo" presStyleLbl="node2" presStyleIdx="1" presStyleCnt="4" custScaleX="38344" custScaleY="223995" custLinFactNeighborX="-5470">
        <dgm:presLayoutVars>
          <dgm:chPref val="3"/>
        </dgm:presLayoutVars>
      </dgm:prSet>
      <dgm:spPr/>
      <dgm:t>
        <a:bodyPr/>
        <a:lstStyle/>
        <a:p>
          <a:endParaRPr lang="en-US"/>
        </a:p>
      </dgm:t>
    </dgm:pt>
    <dgm:pt modelId="{86D1F917-90C6-4572-8E0C-9FA5F1A75743}" type="pres">
      <dgm:prSet presAssocID="{BE3DC4F5-6208-4ACB-8050-0312CD251902}" presName="horzTwo" presStyleCnt="0"/>
      <dgm:spPr/>
      <dgm:t>
        <a:bodyPr/>
        <a:lstStyle/>
        <a:p>
          <a:endParaRPr lang="en-US"/>
        </a:p>
      </dgm:t>
    </dgm:pt>
    <dgm:pt modelId="{24FE4F3E-C496-4780-A95C-A6D795747B45}" type="pres">
      <dgm:prSet presAssocID="{A6F81E05-3625-451D-97B6-AF81E331FCAD}" presName="sibSpaceTwo" presStyleCnt="0"/>
      <dgm:spPr/>
      <dgm:t>
        <a:bodyPr/>
        <a:lstStyle/>
        <a:p>
          <a:endParaRPr lang="en-US"/>
        </a:p>
      </dgm:t>
    </dgm:pt>
    <dgm:pt modelId="{87DDAD16-8D8A-4B3E-83D9-F182FD5C4C37}" type="pres">
      <dgm:prSet presAssocID="{2DD8BFC0-B2EF-4846-956C-CDA70CAE30FA}" presName="vertTwo" presStyleCnt="0"/>
      <dgm:spPr/>
      <dgm:t>
        <a:bodyPr/>
        <a:lstStyle/>
        <a:p>
          <a:endParaRPr lang="en-US"/>
        </a:p>
      </dgm:t>
    </dgm:pt>
    <dgm:pt modelId="{D917E61C-732B-46E7-B206-CC97E1335DEC}" type="pres">
      <dgm:prSet presAssocID="{2DD8BFC0-B2EF-4846-956C-CDA70CAE30FA}" presName="txTwo" presStyleLbl="node2" presStyleIdx="2" presStyleCnt="4" custScaleX="35767" custScaleY="223995" custLinFactNeighborX="-8745" custLinFactNeighborY="4">
        <dgm:presLayoutVars>
          <dgm:chPref val="3"/>
        </dgm:presLayoutVars>
      </dgm:prSet>
      <dgm:spPr/>
      <dgm:t>
        <a:bodyPr/>
        <a:lstStyle/>
        <a:p>
          <a:endParaRPr lang="en-US"/>
        </a:p>
      </dgm:t>
    </dgm:pt>
    <dgm:pt modelId="{BE46C971-BC47-4E02-A92B-4FE01251D586}" type="pres">
      <dgm:prSet presAssocID="{2DD8BFC0-B2EF-4846-956C-CDA70CAE30FA}" presName="horzTwo" presStyleCnt="0"/>
      <dgm:spPr/>
      <dgm:t>
        <a:bodyPr/>
        <a:lstStyle/>
        <a:p>
          <a:endParaRPr lang="en-US"/>
        </a:p>
      </dgm:t>
    </dgm:pt>
    <dgm:pt modelId="{A6A13964-93C4-4719-BEA7-6E6956DA8E82}" type="pres">
      <dgm:prSet presAssocID="{BDA4891B-7E1C-4D85-BAA7-2AFB8AB58C39}" presName="sibSpaceTwo" presStyleCnt="0"/>
      <dgm:spPr/>
      <dgm:t>
        <a:bodyPr/>
        <a:lstStyle/>
        <a:p>
          <a:endParaRPr lang="en-US"/>
        </a:p>
      </dgm:t>
    </dgm:pt>
    <dgm:pt modelId="{7739BB71-7B22-40FD-AB10-F30715DDB4B3}" type="pres">
      <dgm:prSet presAssocID="{795A257E-3DD7-42C9-81AC-D2AD58CF12D4}" presName="vertTwo" presStyleCnt="0"/>
      <dgm:spPr/>
      <dgm:t>
        <a:bodyPr/>
        <a:lstStyle/>
        <a:p>
          <a:endParaRPr lang="en-US"/>
        </a:p>
      </dgm:t>
    </dgm:pt>
    <dgm:pt modelId="{94F6D997-9E16-4B16-BA63-F41CC35E0195}" type="pres">
      <dgm:prSet presAssocID="{795A257E-3DD7-42C9-81AC-D2AD58CF12D4}" presName="txTwo" presStyleLbl="node2" presStyleIdx="3" presStyleCnt="4" custScaleX="110226" custScaleY="47744" custLinFactNeighborX="-1190" custLinFactNeighborY="84439">
        <dgm:presLayoutVars>
          <dgm:chPref val="3"/>
        </dgm:presLayoutVars>
      </dgm:prSet>
      <dgm:spPr/>
      <dgm:t>
        <a:bodyPr/>
        <a:lstStyle/>
        <a:p>
          <a:endParaRPr lang="en-US"/>
        </a:p>
      </dgm:t>
    </dgm:pt>
    <dgm:pt modelId="{C6E50581-F0DE-4042-8DA9-77359552BB52}" type="pres">
      <dgm:prSet presAssocID="{795A257E-3DD7-42C9-81AC-D2AD58CF12D4}" presName="parTransTwo" presStyleCnt="0"/>
      <dgm:spPr/>
      <dgm:t>
        <a:bodyPr/>
        <a:lstStyle/>
        <a:p>
          <a:endParaRPr lang="en-US"/>
        </a:p>
      </dgm:t>
    </dgm:pt>
    <dgm:pt modelId="{70EBC813-0ED0-4570-95CC-AF723AD2B609}" type="pres">
      <dgm:prSet presAssocID="{795A257E-3DD7-42C9-81AC-D2AD58CF12D4}" presName="horzTwo" presStyleCnt="0"/>
      <dgm:spPr/>
      <dgm:t>
        <a:bodyPr/>
        <a:lstStyle/>
        <a:p>
          <a:endParaRPr lang="en-US"/>
        </a:p>
      </dgm:t>
    </dgm:pt>
    <dgm:pt modelId="{996D2F99-7A29-4550-A2E3-8C07708E9D95}" type="pres">
      <dgm:prSet presAssocID="{BC1B7086-7435-4794-B335-414F68792008}" presName="vertThree" presStyleCnt="0"/>
      <dgm:spPr/>
      <dgm:t>
        <a:bodyPr/>
        <a:lstStyle/>
        <a:p>
          <a:endParaRPr lang="en-US"/>
        </a:p>
      </dgm:t>
    </dgm:pt>
    <dgm:pt modelId="{B1B02695-E31D-40DD-B9B9-86A50F45C90F}" type="pres">
      <dgm:prSet presAssocID="{BC1B7086-7435-4794-B335-414F68792008}" presName="txThree" presStyleLbl="node3" presStyleIdx="0" presStyleCnt="3" custScaleX="43417" custLinFactNeighborX="-9314" custLinFactNeighborY="22144">
        <dgm:presLayoutVars>
          <dgm:chPref val="3"/>
        </dgm:presLayoutVars>
      </dgm:prSet>
      <dgm:spPr/>
      <dgm:t>
        <a:bodyPr/>
        <a:lstStyle/>
        <a:p>
          <a:endParaRPr lang="en-US"/>
        </a:p>
      </dgm:t>
    </dgm:pt>
    <dgm:pt modelId="{8A99AA57-A7FA-4DFB-B717-E75DB6C0D031}" type="pres">
      <dgm:prSet presAssocID="{BC1B7086-7435-4794-B335-414F68792008}" presName="horzThree" presStyleCnt="0"/>
      <dgm:spPr/>
      <dgm:t>
        <a:bodyPr/>
        <a:lstStyle/>
        <a:p>
          <a:endParaRPr lang="en-US"/>
        </a:p>
      </dgm:t>
    </dgm:pt>
    <dgm:pt modelId="{79FAEED2-909E-4A52-A060-46954759C10C}" type="pres">
      <dgm:prSet presAssocID="{778CC5DB-6591-4A68-85E0-4346B5EA01C7}" presName="sibSpaceThree" presStyleCnt="0"/>
      <dgm:spPr/>
      <dgm:t>
        <a:bodyPr/>
        <a:lstStyle/>
        <a:p>
          <a:endParaRPr lang="en-US"/>
        </a:p>
      </dgm:t>
    </dgm:pt>
    <dgm:pt modelId="{648B7F95-B51C-47AE-A4D1-EF3464D431A1}" type="pres">
      <dgm:prSet presAssocID="{1C69C65B-EEE2-4C0E-B2E3-45287940671A}" presName="vertThree" presStyleCnt="0"/>
      <dgm:spPr/>
      <dgm:t>
        <a:bodyPr/>
        <a:lstStyle/>
        <a:p>
          <a:endParaRPr lang="en-US"/>
        </a:p>
      </dgm:t>
    </dgm:pt>
    <dgm:pt modelId="{7D78B97B-713F-4691-A703-47A7E931991C}" type="pres">
      <dgm:prSet presAssocID="{1C69C65B-EEE2-4C0E-B2E3-45287940671A}" presName="txThree" presStyleLbl="node3" presStyleIdx="1" presStyleCnt="3" custScaleX="47697" custLinFactNeighborX="-1591" custLinFactNeighborY="22958">
        <dgm:presLayoutVars>
          <dgm:chPref val="3"/>
        </dgm:presLayoutVars>
      </dgm:prSet>
      <dgm:spPr/>
      <dgm:t>
        <a:bodyPr/>
        <a:lstStyle/>
        <a:p>
          <a:endParaRPr lang="en-US"/>
        </a:p>
      </dgm:t>
    </dgm:pt>
    <dgm:pt modelId="{4BDABDAD-375E-49CD-9371-6158DF072D2D}" type="pres">
      <dgm:prSet presAssocID="{1C69C65B-EEE2-4C0E-B2E3-45287940671A}" presName="horzThree" presStyleCnt="0"/>
      <dgm:spPr/>
      <dgm:t>
        <a:bodyPr/>
        <a:lstStyle/>
        <a:p>
          <a:endParaRPr lang="en-US"/>
        </a:p>
      </dgm:t>
    </dgm:pt>
    <dgm:pt modelId="{B35B5FAE-CD29-4F3F-B3DC-F83CFC8A92A1}" type="pres">
      <dgm:prSet presAssocID="{774D48F6-3A63-4274-8324-2F40F017BC66}" presName="sibSpaceThree" presStyleCnt="0"/>
      <dgm:spPr/>
      <dgm:t>
        <a:bodyPr/>
        <a:lstStyle/>
        <a:p>
          <a:endParaRPr lang="en-US"/>
        </a:p>
      </dgm:t>
    </dgm:pt>
    <dgm:pt modelId="{16BBC04C-2104-4754-A81B-86A4DA2FAFAF}" type="pres">
      <dgm:prSet presAssocID="{0CB49D79-5BE0-48E8-B9D7-405F914B805C}" presName="vertThree" presStyleCnt="0"/>
      <dgm:spPr/>
      <dgm:t>
        <a:bodyPr/>
        <a:lstStyle/>
        <a:p>
          <a:endParaRPr lang="en-US"/>
        </a:p>
      </dgm:t>
    </dgm:pt>
    <dgm:pt modelId="{2010B270-7394-4DD4-BF23-2B2BAD4B0237}" type="pres">
      <dgm:prSet presAssocID="{0CB49D79-5BE0-48E8-B9D7-405F914B805C}" presName="txThree" presStyleLbl="node3" presStyleIdx="2" presStyleCnt="3" custScaleX="46030" custLinFactNeighborX="5139" custLinFactNeighborY="22958">
        <dgm:presLayoutVars>
          <dgm:chPref val="3"/>
        </dgm:presLayoutVars>
      </dgm:prSet>
      <dgm:spPr/>
      <dgm:t>
        <a:bodyPr/>
        <a:lstStyle/>
        <a:p>
          <a:endParaRPr lang="en-US"/>
        </a:p>
      </dgm:t>
    </dgm:pt>
    <dgm:pt modelId="{4BCC577D-B69F-4DDB-8181-EDA0196A110B}" type="pres">
      <dgm:prSet presAssocID="{0CB49D79-5BE0-48E8-B9D7-405F914B805C}" presName="horzThree" presStyleCnt="0"/>
      <dgm:spPr/>
      <dgm:t>
        <a:bodyPr/>
        <a:lstStyle/>
        <a:p>
          <a:endParaRPr lang="en-US"/>
        </a:p>
      </dgm:t>
    </dgm:pt>
  </dgm:ptLst>
  <dgm:cxnLst>
    <dgm:cxn modelId="{D2A37950-9D0C-447B-9C19-B89975F07AE3}" srcId="{BDD34DD0-793E-4355-90F8-D015E1A7F77A}" destId="{5D071B7A-145F-4DBF-A2C6-C67349DA212A}" srcOrd="0" destOrd="0" parTransId="{B16E6EC9-65D9-4AEF-8CB2-FBA9D713DE54}" sibTransId="{8D4647DF-7580-49E3-85DE-351A8B602CBF}"/>
    <dgm:cxn modelId="{721ED06A-A4E3-48C4-BE61-0AEB91B129E0}" type="presOf" srcId="{0CB49D79-5BE0-48E8-B9D7-405F914B805C}" destId="{2010B270-7394-4DD4-BF23-2B2BAD4B0237}" srcOrd="0" destOrd="0" presId="urn:microsoft.com/office/officeart/2005/8/layout/hierarchy4"/>
    <dgm:cxn modelId="{8D89BE1C-A913-4E32-9927-F4C6F96414E2}" srcId="{795A257E-3DD7-42C9-81AC-D2AD58CF12D4}" destId="{0CB49D79-5BE0-48E8-B9D7-405F914B805C}" srcOrd="2" destOrd="0" parTransId="{A35D3B0F-DEAD-4D20-83AC-55990B42D5D8}" sibTransId="{3C9621FC-1C22-48ED-BFA4-6CA6B99BD625}"/>
    <dgm:cxn modelId="{7E1C56D7-8815-4B21-9F6E-C67C5BB93AFE}" type="presOf" srcId="{1C69C65B-EEE2-4C0E-B2E3-45287940671A}" destId="{7D78B97B-713F-4691-A703-47A7E931991C}" srcOrd="0" destOrd="0" presId="urn:microsoft.com/office/officeart/2005/8/layout/hierarchy4"/>
    <dgm:cxn modelId="{F8B3D909-D0E2-4D2E-A7A1-08879AB73D1C}" srcId="{F49DAEAE-0BA9-4ABB-AD9F-124B5158A75F}" destId="{BDD34DD0-793E-4355-90F8-D015E1A7F77A}" srcOrd="0" destOrd="0" parTransId="{BA7C1B01-621D-47E2-8473-D9E828D78E66}" sibTransId="{BAF5912B-432F-4EDF-ABEE-803E9344D5A7}"/>
    <dgm:cxn modelId="{04CF4810-6C3D-491D-9713-0199B43C38B1}" srcId="{BDD34DD0-793E-4355-90F8-D015E1A7F77A}" destId="{795A257E-3DD7-42C9-81AC-D2AD58CF12D4}" srcOrd="3" destOrd="0" parTransId="{E3B776E2-40D0-4A6E-AB81-B2DE3F70C40D}" sibTransId="{D2A95DAA-1821-42DE-8E61-9B72D041E71B}"/>
    <dgm:cxn modelId="{0A59AC6B-3772-4068-9A05-63D84F876482}" type="presOf" srcId="{BC1B7086-7435-4794-B335-414F68792008}" destId="{B1B02695-E31D-40DD-B9B9-86A50F45C90F}" srcOrd="0" destOrd="0" presId="urn:microsoft.com/office/officeart/2005/8/layout/hierarchy4"/>
    <dgm:cxn modelId="{68DAF61D-897E-4F74-B70A-A5885E1E5C68}" type="presOf" srcId="{BE3DC4F5-6208-4ACB-8050-0312CD251902}" destId="{C3CE15A0-8FFB-45C7-B43D-4BB2B7485FFA}" srcOrd="0" destOrd="0" presId="urn:microsoft.com/office/officeart/2005/8/layout/hierarchy4"/>
    <dgm:cxn modelId="{235FFB9D-A8A5-40CD-BBA5-64B470AE83AF}" srcId="{BDD34DD0-793E-4355-90F8-D015E1A7F77A}" destId="{2DD8BFC0-B2EF-4846-956C-CDA70CAE30FA}" srcOrd="2" destOrd="0" parTransId="{8E754F77-4DD4-44DE-8E98-99BCDCC339E0}" sibTransId="{BDA4891B-7E1C-4D85-BAA7-2AFB8AB58C39}"/>
    <dgm:cxn modelId="{87ADE78D-9318-45E6-8C4F-24C94749B697}" srcId="{795A257E-3DD7-42C9-81AC-D2AD58CF12D4}" destId="{1C69C65B-EEE2-4C0E-B2E3-45287940671A}" srcOrd="1" destOrd="0" parTransId="{6C281C82-5998-449D-897F-F846741C988E}" sibTransId="{774D48F6-3A63-4274-8324-2F40F017BC66}"/>
    <dgm:cxn modelId="{F7849EDA-F2F5-4A90-B442-8F76567CE8AE}" type="presOf" srcId="{BDD34DD0-793E-4355-90F8-D015E1A7F77A}" destId="{361D9029-9449-4220-B9BE-0CAC0553F04E}" srcOrd="0" destOrd="0" presId="urn:microsoft.com/office/officeart/2005/8/layout/hierarchy4"/>
    <dgm:cxn modelId="{F5A19CEC-E497-44D6-98B8-014AAED6B8C5}" type="presOf" srcId="{5D071B7A-145F-4DBF-A2C6-C67349DA212A}" destId="{3D8A5457-565D-4F71-82E3-44DBD44921DA}" srcOrd="0" destOrd="0" presId="urn:microsoft.com/office/officeart/2005/8/layout/hierarchy4"/>
    <dgm:cxn modelId="{D9434B19-155D-4C31-A57C-16F438F3CD7F}" srcId="{795A257E-3DD7-42C9-81AC-D2AD58CF12D4}" destId="{BC1B7086-7435-4794-B335-414F68792008}" srcOrd="0" destOrd="0" parTransId="{3655C285-F7D6-4B7C-A440-B121F30DC840}" sibTransId="{778CC5DB-6591-4A68-85E0-4346B5EA01C7}"/>
    <dgm:cxn modelId="{6012B594-E9B6-442C-8DE4-DFBE36EB4408}" type="presOf" srcId="{F49DAEAE-0BA9-4ABB-AD9F-124B5158A75F}" destId="{9E244412-E8B1-47D4-AAFE-4332DBB805AD}" srcOrd="0" destOrd="0" presId="urn:microsoft.com/office/officeart/2005/8/layout/hierarchy4"/>
    <dgm:cxn modelId="{CCD60514-7B41-45A8-B768-E66DCC784D3D}" type="presOf" srcId="{795A257E-3DD7-42C9-81AC-D2AD58CF12D4}" destId="{94F6D997-9E16-4B16-BA63-F41CC35E0195}" srcOrd="0" destOrd="0" presId="urn:microsoft.com/office/officeart/2005/8/layout/hierarchy4"/>
    <dgm:cxn modelId="{EE7723F0-8EDE-41A6-8387-96750220E9E1}" type="presOf" srcId="{2DD8BFC0-B2EF-4846-956C-CDA70CAE30FA}" destId="{D917E61C-732B-46E7-B206-CC97E1335DEC}" srcOrd="0" destOrd="0" presId="urn:microsoft.com/office/officeart/2005/8/layout/hierarchy4"/>
    <dgm:cxn modelId="{EF8F2D56-F33E-4C55-85CF-521253A5DBC8}" srcId="{BDD34DD0-793E-4355-90F8-D015E1A7F77A}" destId="{BE3DC4F5-6208-4ACB-8050-0312CD251902}" srcOrd="1" destOrd="0" parTransId="{45C57179-2E21-4B16-91A3-35CA4A04708E}" sibTransId="{A6F81E05-3625-451D-97B6-AF81E331FCAD}"/>
    <dgm:cxn modelId="{1F2CCBB9-237D-43BE-BDED-B1583A355765}" type="presParOf" srcId="{9E244412-E8B1-47D4-AAFE-4332DBB805AD}" destId="{BEDAAB9D-981D-4D24-BBEC-4C12D53E6C67}" srcOrd="0" destOrd="0" presId="urn:microsoft.com/office/officeart/2005/8/layout/hierarchy4"/>
    <dgm:cxn modelId="{F7B51532-FB93-4268-80AA-FFEF6182C107}" type="presParOf" srcId="{BEDAAB9D-981D-4D24-BBEC-4C12D53E6C67}" destId="{361D9029-9449-4220-B9BE-0CAC0553F04E}" srcOrd="0" destOrd="0" presId="urn:microsoft.com/office/officeart/2005/8/layout/hierarchy4"/>
    <dgm:cxn modelId="{9AA09D27-EA4D-46EF-B913-7979FAA6845C}" type="presParOf" srcId="{BEDAAB9D-981D-4D24-BBEC-4C12D53E6C67}" destId="{41934484-F8DD-48C6-9CA5-89F01C914322}" srcOrd="1" destOrd="0" presId="urn:microsoft.com/office/officeart/2005/8/layout/hierarchy4"/>
    <dgm:cxn modelId="{7248E9F9-866F-41DB-B3FC-94E68BB1CB59}" type="presParOf" srcId="{BEDAAB9D-981D-4D24-BBEC-4C12D53E6C67}" destId="{6A4C4C54-786F-4A68-8C25-CE9F109ED0C3}" srcOrd="2" destOrd="0" presId="urn:microsoft.com/office/officeart/2005/8/layout/hierarchy4"/>
    <dgm:cxn modelId="{8A3BFFF3-767F-4F7D-A378-1CF1460143BD}" type="presParOf" srcId="{6A4C4C54-786F-4A68-8C25-CE9F109ED0C3}" destId="{E29EE5C6-869D-4FCB-A54A-F8AC9E76EE88}" srcOrd="0" destOrd="0" presId="urn:microsoft.com/office/officeart/2005/8/layout/hierarchy4"/>
    <dgm:cxn modelId="{FD028BC1-5321-49C8-8F8B-51FA277206CF}" type="presParOf" srcId="{E29EE5C6-869D-4FCB-A54A-F8AC9E76EE88}" destId="{3D8A5457-565D-4F71-82E3-44DBD44921DA}" srcOrd="0" destOrd="0" presId="urn:microsoft.com/office/officeart/2005/8/layout/hierarchy4"/>
    <dgm:cxn modelId="{596165D9-D567-47E4-8CFE-0627D82A9B9E}" type="presParOf" srcId="{E29EE5C6-869D-4FCB-A54A-F8AC9E76EE88}" destId="{BA39CEC8-9320-4591-A0DF-5DE7E64A03FE}" srcOrd="1" destOrd="0" presId="urn:microsoft.com/office/officeart/2005/8/layout/hierarchy4"/>
    <dgm:cxn modelId="{5B4D12AF-2860-4D2F-B4E8-DCFDEF054C45}" type="presParOf" srcId="{6A4C4C54-786F-4A68-8C25-CE9F109ED0C3}" destId="{338458DD-567C-4853-805B-B4A2359114FA}" srcOrd="1" destOrd="0" presId="urn:microsoft.com/office/officeart/2005/8/layout/hierarchy4"/>
    <dgm:cxn modelId="{E66779DC-5DCE-4B6B-ACCB-A7C9EC1E2D94}" type="presParOf" srcId="{6A4C4C54-786F-4A68-8C25-CE9F109ED0C3}" destId="{18DDFC12-37CE-4EE3-A8B0-EAB4BE3137CF}" srcOrd="2" destOrd="0" presId="urn:microsoft.com/office/officeart/2005/8/layout/hierarchy4"/>
    <dgm:cxn modelId="{2582AE37-4E85-459F-90E1-157FC26001DB}" type="presParOf" srcId="{18DDFC12-37CE-4EE3-A8B0-EAB4BE3137CF}" destId="{C3CE15A0-8FFB-45C7-B43D-4BB2B7485FFA}" srcOrd="0" destOrd="0" presId="urn:microsoft.com/office/officeart/2005/8/layout/hierarchy4"/>
    <dgm:cxn modelId="{7269CAE1-689E-40C2-890F-F900961D9C15}" type="presParOf" srcId="{18DDFC12-37CE-4EE3-A8B0-EAB4BE3137CF}" destId="{86D1F917-90C6-4572-8E0C-9FA5F1A75743}" srcOrd="1" destOrd="0" presId="urn:microsoft.com/office/officeart/2005/8/layout/hierarchy4"/>
    <dgm:cxn modelId="{B7EB6417-C6C2-45CC-9720-B64419A3BC88}" type="presParOf" srcId="{6A4C4C54-786F-4A68-8C25-CE9F109ED0C3}" destId="{24FE4F3E-C496-4780-A95C-A6D795747B45}" srcOrd="3" destOrd="0" presId="urn:microsoft.com/office/officeart/2005/8/layout/hierarchy4"/>
    <dgm:cxn modelId="{17A37662-A630-457F-927E-09C19BE15BF0}" type="presParOf" srcId="{6A4C4C54-786F-4A68-8C25-CE9F109ED0C3}" destId="{87DDAD16-8D8A-4B3E-83D9-F182FD5C4C37}" srcOrd="4" destOrd="0" presId="urn:microsoft.com/office/officeart/2005/8/layout/hierarchy4"/>
    <dgm:cxn modelId="{819AD593-E9A1-4AE7-9633-422F188CC968}" type="presParOf" srcId="{87DDAD16-8D8A-4B3E-83D9-F182FD5C4C37}" destId="{D917E61C-732B-46E7-B206-CC97E1335DEC}" srcOrd="0" destOrd="0" presId="urn:microsoft.com/office/officeart/2005/8/layout/hierarchy4"/>
    <dgm:cxn modelId="{688569E4-0304-4613-B7B1-C6111C15B699}" type="presParOf" srcId="{87DDAD16-8D8A-4B3E-83D9-F182FD5C4C37}" destId="{BE46C971-BC47-4E02-A92B-4FE01251D586}" srcOrd="1" destOrd="0" presId="urn:microsoft.com/office/officeart/2005/8/layout/hierarchy4"/>
    <dgm:cxn modelId="{97D3FE95-11E2-4730-A97D-5D50B39C54E4}" type="presParOf" srcId="{6A4C4C54-786F-4A68-8C25-CE9F109ED0C3}" destId="{A6A13964-93C4-4719-BEA7-6E6956DA8E82}" srcOrd="5" destOrd="0" presId="urn:microsoft.com/office/officeart/2005/8/layout/hierarchy4"/>
    <dgm:cxn modelId="{30B191D4-9171-4AA5-B7CD-706164E13E28}" type="presParOf" srcId="{6A4C4C54-786F-4A68-8C25-CE9F109ED0C3}" destId="{7739BB71-7B22-40FD-AB10-F30715DDB4B3}" srcOrd="6" destOrd="0" presId="urn:microsoft.com/office/officeart/2005/8/layout/hierarchy4"/>
    <dgm:cxn modelId="{50DA1377-FBB0-4293-A07D-7C2998FEE922}" type="presParOf" srcId="{7739BB71-7B22-40FD-AB10-F30715DDB4B3}" destId="{94F6D997-9E16-4B16-BA63-F41CC35E0195}" srcOrd="0" destOrd="0" presId="urn:microsoft.com/office/officeart/2005/8/layout/hierarchy4"/>
    <dgm:cxn modelId="{1BA5EC27-AC7B-45C1-8ACD-BAEAB6382FF7}" type="presParOf" srcId="{7739BB71-7B22-40FD-AB10-F30715DDB4B3}" destId="{C6E50581-F0DE-4042-8DA9-77359552BB52}" srcOrd="1" destOrd="0" presId="urn:microsoft.com/office/officeart/2005/8/layout/hierarchy4"/>
    <dgm:cxn modelId="{9E71BAE3-4B40-4F14-8D6C-D373D0DFFD33}" type="presParOf" srcId="{7739BB71-7B22-40FD-AB10-F30715DDB4B3}" destId="{70EBC813-0ED0-4570-95CC-AF723AD2B609}" srcOrd="2" destOrd="0" presId="urn:microsoft.com/office/officeart/2005/8/layout/hierarchy4"/>
    <dgm:cxn modelId="{79A0B73A-F79C-4CD5-8D11-3BFAA78C7041}" type="presParOf" srcId="{70EBC813-0ED0-4570-95CC-AF723AD2B609}" destId="{996D2F99-7A29-4550-A2E3-8C07708E9D95}" srcOrd="0" destOrd="0" presId="urn:microsoft.com/office/officeart/2005/8/layout/hierarchy4"/>
    <dgm:cxn modelId="{83D94C2B-F9D6-45DC-A87C-C5D8C9922A2D}" type="presParOf" srcId="{996D2F99-7A29-4550-A2E3-8C07708E9D95}" destId="{B1B02695-E31D-40DD-B9B9-86A50F45C90F}" srcOrd="0" destOrd="0" presId="urn:microsoft.com/office/officeart/2005/8/layout/hierarchy4"/>
    <dgm:cxn modelId="{162DFAFD-6207-4911-ABA6-F92192A40C29}" type="presParOf" srcId="{996D2F99-7A29-4550-A2E3-8C07708E9D95}" destId="{8A99AA57-A7FA-4DFB-B717-E75DB6C0D031}" srcOrd="1" destOrd="0" presId="urn:microsoft.com/office/officeart/2005/8/layout/hierarchy4"/>
    <dgm:cxn modelId="{FC85DE03-B292-4A42-880F-40A8E735C974}" type="presParOf" srcId="{70EBC813-0ED0-4570-95CC-AF723AD2B609}" destId="{79FAEED2-909E-4A52-A060-46954759C10C}" srcOrd="1" destOrd="0" presId="urn:microsoft.com/office/officeart/2005/8/layout/hierarchy4"/>
    <dgm:cxn modelId="{E51E28B2-7D05-4165-9E45-9BF19E18A039}" type="presParOf" srcId="{70EBC813-0ED0-4570-95CC-AF723AD2B609}" destId="{648B7F95-B51C-47AE-A4D1-EF3464D431A1}" srcOrd="2" destOrd="0" presId="urn:microsoft.com/office/officeart/2005/8/layout/hierarchy4"/>
    <dgm:cxn modelId="{4D1B6959-AACD-4656-903F-A0B4F7E4084D}" type="presParOf" srcId="{648B7F95-B51C-47AE-A4D1-EF3464D431A1}" destId="{7D78B97B-713F-4691-A703-47A7E931991C}" srcOrd="0" destOrd="0" presId="urn:microsoft.com/office/officeart/2005/8/layout/hierarchy4"/>
    <dgm:cxn modelId="{A3976276-682B-425D-B776-9F705FA548DF}" type="presParOf" srcId="{648B7F95-B51C-47AE-A4D1-EF3464D431A1}" destId="{4BDABDAD-375E-49CD-9371-6158DF072D2D}" srcOrd="1" destOrd="0" presId="urn:microsoft.com/office/officeart/2005/8/layout/hierarchy4"/>
    <dgm:cxn modelId="{AEE5E6CD-4133-41C0-A496-A2BFAF605A95}" type="presParOf" srcId="{70EBC813-0ED0-4570-95CC-AF723AD2B609}" destId="{B35B5FAE-CD29-4F3F-B3DC-F83CFC8A92A1}" srcOrd="3" destOrd="0" presId="urn:microsoft.com/office/officeart/2005/8/layout/hierarchy4"/>
    <dgm:cxn modelId="{CC60D459-F878-4BDE-9BD9-96ACEA77DB12}" type="presParOf" srcId="{70EBC813-0ED0-4570-95CC-AF723AD2B609}" destId="{16BBC04C-2104-4754-A81B-86A4DA2FAFAF}" srcOrd="4" destOrd="0" presId="urn:microsoft.com/office/officeart/2005/8/layout/hierarchy4"/>
    <dgm:cxn modelId="{7EEF69A2-2EFE-49EC-8F32-2F573C6BF3F7}" type="presParOf" srcId="{16BBC04C-2104-4754-A81B-86A4DA2FAFAF}" destId="{2010B270-7394-4DD4-BF23-2B2BAD4B0237}" srcOrd="0" destOrd="0" presId="urn:microsoft.com/office/officeart/2005/8/layout/hierarchy4"/>
    <dgm:cxn modelId="{CDF4200A-DB77-4514-874B-7C517D08D933}" type="presParOf" srcId="{16BBC04C-2104-4754-A81B-86A4DA2FAFAF}" destId="{4BCC577D-B69F-4DDB-8181-EDA0196A110B}" srcOrd="1" destOrd="0" presId="urn:microsoft.com/office/officeart/2005/8/layout/hierarchy4"/>
  </dgm:cxnLst>
  <dgm:bg/>
  <dgm:whole/>
  <dgm:extLst>
    <a:ext uri="http://schemas.microsoft.com/office/drawing/2008/diagram">
      <dsp:dataModelExt xmlns:dsp="http://schemas.microsoft.com/office/drawing/2008/diagram" xmlns=""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B4989ED-B476-47C1-BA28-9FD37D55A448}" type="doc">
      <dgm:prSet loTypeId="urn:microsoft.com/office/officeart/2005/8/layout/radial1" loCatId="cycle" qsTypeId="urn:microsoft.com/office/officeart/2005/8/quickstyle/3d1" qsCatId="3D" csTypeId="urn:microsoft.com/office/officeart/2005/8/colors/colorful2" csCatId="colorful" phldr="1"/>
      <dgm:spPr/>
      <dgm:t>
        <a:bodyPr/>
        <a:lstStyle/>
        <a:p>
          <a:endParaRPr lang="en-US"/>
        </a:p>
      </dgm:t>
    </dgm:pt>
    <dgm:pt modelId="{2E357E90-970D-499B-8469-2A7FEB0492A0}">
      <dgm:prSet phldrT="[Text]" custT="1"/>
      <dgm:spPr>
        <a:xfrm>
          <a:off x="4153303" y="1894357"/>
          <a:ext cx="1268205" cy="1268205"/>
        </a:xfrm>
        <a:gradFill rotWithShape="0">
          <a:gsLst>
            <a:gs pos="0">
              <a:srgbClr val="4F81BD">
                <a:hueOff val="0"/>
                <a:satOff val="0"/>
                <a:lumOff val="0"/>
                <a:alphaOff val="0"/>
                <a:shade val="51000"/>
                <a:satMod val="130000"/>
              </a:srgbClr>
            </a:gs>
            <a:gs pos="80000">
              <a:srgbClr val="4F81BD">
                <a:hueOff val="0"/>
                <a:satOff val="0"/>
                <a:lumOff val="0"/>
                <a:alphaOff val="0"/>
                <a:shade val="93000"/>
                <a:satMod val="130000"/>
              </a:srgbClr>
            </a:gs>
            <a:gs pos="100000">
              <a:srgbClr val="4F81B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r>
            <a:rPr lang="en-US" sz="1100" b="1" dirty="0" smtClean="0">
              <a:solidFill>
                <a:sysClr val="window" lastClr="FFFFFF"/>
              </a:solidFill>
              <a:effectLst/>
              <a:latin typeface="Calibri" pitchFamily="34" charset="0"/>
              <a:ea typeface="+mn-ea"/>
              <a:cs typeface="Arial" pitchFamily="34" charset="0"/>
            </a:rPr>
            <a:t>Data Management</a:t>
          </a:r>
        </a:p>
        <a:p>
          <a:r>
            <a:rPr lang="en-US" sz="1100" b="1" dirty="0" smtClean="0">
              <a:solidFill>
                <a:sysClr val="window" lastClr="FFFFFF"/>
              </a:solidFill>
              <a:effectLst/>
              <a:latin typeface="Calibri" pitchFamily="34" charset="0"/>
              <a:ea typeface="+mn-ea"/>
              <a:cs typeface="Arial" pitchFamily="34" charset="0"/>
            </a:rPr>
            <a:t>Expertise</a:t>
          </a:r>
          <a:endParaRPr lang="en-US" sz="1100" dirty="0">
            <a:solidFill>
              <a:sysClr val="window" lastClr="FFFFFF"/>
            </a:solidFill>
            <a:latin typeface="Calibri" pitchFamily="34" charset="0"/>
            <a:ea typeface="+mn-ea"/>
            <a:cs typeface="+mn-cs"/>
          </a:endParaRPr>
        </a:p>
      </dgm:t>
    </dgm:pt>
    <dgm:pt modelId="{4E1C4F6A-E381-419C-9FFE-F930BA62301F}" type="parTrans" cxnId="{EFA16D9E-7AB5-495D-8848-C45F7B8B7A28}">
      <dgm:prSet/>
      <dgm:spPr/>
      <dgm:t>
        <a:bodyPr/>
        <a:lstStyle/>
        <a:p>
          <a:endParaRPr lang="en-US" sz="1100">
            <a:latin typeface="Calibri" pitchFamily="34" charset="0"/>
          </a:endParaRPr>
        </a:p>
      </dgm:t>
    </dgm:pt>
    <dgm:pt modelId="{7C953176-CFC1-4489-8A8C-DBF737E793F6}" type="sibTrans" cxnId="{EFA16D9E-7AB5-495D-8848-C45F7B8B7A28}">
      <dgm:prSet/>
      <dgm:spPr/>
      <dgm:t>
        <a:bodyPr/>
        <a:lstStyle/>
        <a:p>
          <a:endParaRPr lang="en-US" sz="1100">
            <a:latin typeface="Calibri" pitchFamily="34" charset="0"/>
          </a:endParaRPr>
        </a:p>
      </dgm:t>
    </dgm:pt>
    <dgm:pt modelId="{51472588-80D3-4913-9C94-800932C20107}">
      <dgm:prSet phldrT="[Text]" custT="1">
        <dgm:style>
          <a:lnRef idx="1">
            <a:schemeClr val="accent4"/>
          </a:lnRef>
          <a:fillRef idx="2">
            <a:schemeClr val="accent4"/>
          </a:fillRef>
          <a:effectRef idx="1">
            <a:schemeClr val="accent4"/>
          </a:effectRef>
          <a:fontRef idx="minor">
            <a:schemeClr val="dk1"/>
          </a:fontRef>
        </dgm:style>
      </dgm:prSet>
      <dgm:spPr>
        <a:xfrm>
          <a:off x="3864744" y="16059"/>
          <a:ext cx="1815994" cy="1268205"/>
        </a:xfrm>
        <a:gradFill rotWithShape="1">
          <a:gsLst>
            <a:gs pos="0">
              <a:srgbClr val="8064A2">
                <a:tint val="50000"/>
                <a:satMod val="300000"/>
              </a:srgbClr>
            </a:gs>
            <a:gs pos="35000">
              <a:srgbClr val="8064A2">
                <a:tint val="37000"/>
                <a:satMod val="300000"/>
              </a:srgbClr>
            </a:gs>
            <a:gs pos="100000">
              <a:srgbClr val="8064A2">
                <a:tint val="15000"/>
                <a:satMod val="350000"/>
              </a:srgbClr>
            </a:gs>
          </a:gsLst>
          <a:lin ang="16200000" scaled="1"/>
        </a:gradFill>
        <a:ln w="9525" cap="flat" cmpd="sng" algn="ctr">
          <a:solidFill>
            <a:srgbClr val="8064A2">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Market Data</a:t>
          </a:r>
        </a:p>
        <a:p>
          <a:r>
            <a:rPr lang="en-US" sz="1100" dirty="0" smtClean="0">
              <a:solidFill>
                <a:sysClr val="windowText" lastClr="000000"/>
              </a:solidFill>
              <a:effectLst/>
              <a:latin typeface="Calibri" pitchFamily="34" charset="0"/>
              <a:ea typeface="+mn-ea"/>
              <a:cs typeface="+mn-cs"/>
            </a:rPr>
            <a:t>Bloomberg, Thomson Reuters, </a:t>
          </a:r>
        </a:p>
        <a:p>
          <a:r>
            <a:rPr lang="en-US" sz="1100" dirty="0" smtClean="0">
              <a:solidFill>
                <a:sysClr val="windowText" lastClr="000000"/>
              </a:solidFill>
              <a:effectLst/>
              <a:latin typeface="Calibri" pitchFamily="34" charset="0"/>
              <a:ea typeface="+mn-ea"/>
              <a:cs typeface="+mn-cs"/>
            </a:rPr>
            <a:t>, WM, S&amp;P, Moody, Fitch, Scotia, Muller, IDC, IDSI</a:t>
          </a:r>
          <a:endParaRPr lang="en-US" sz="1100" dirty="0">
            <a:solidFill>
              <a:sysClr val="windowText" lastClr="000000"/>
            </a:solidFill>
            <a:latin typeface="Calibri" pitchFamily="34" charset="0"/>
            <a:ea typeface="+mn-ea"/>
            <a:cs typeface="+mn-cs"/>
          </a:endParaRPr>
        </a:p>
      </dgm:t>
    </dgm:pt>
    <dgm:pt modelId="{1160BAA9-ADB6-40F2-BFE2-68EAA182FA20}" type="parTrans" cxnId="{289E3644-FD5A-441C-A4F2-F9AA75FF0CC7}">
      <dgm:prSet custT="1">
        <dgm:style>
          <a:lnRef idx="3">
            <a:schemeClr val="accent4"/>
          </a:lnRef>
          <a:fillRef idx="0">
            <a:schemeClr val="accent4"/>
          </a:fillRef>
          <a:effectRef idx="2">
            <a:schemeClr val="accent4"/>
          </a:effectRef>
          <a:fontRef idx="minor">
            <a:schemeClr val="tx1"/>
          </a:fontRef>
        </dgm:style>
      </dgm:prSet>
      <dgm:spPr>
        <a:xfrm rot="16173162">
          <a:off x="4475004" y="1577522"/>
          <a:ext cx="610139"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0E28B25C-F52F-46F9-9C89-2BF3BA861BE5}" type="sibTrans" cxnId="{289E3644-FD5A-441C-A4F2-F9AA75FF0CC7}">
      <dgm:prSet/>
      <dgm:spPr/>
      <dgm:t>
        <a:bodyPr/>
        <a:lstStyle/>
        <a:p>
          <a:endParaRPr lang="en-US" sz="1100">
            <a:latin typeface="Calibri" pitchFamily="34" charset="0"/>
          </a:endParaRPr>
        </a:p>
      </dgm:t>
    </dgm:pt>
    <dgm:pt modelId="{D95A5F7D-216D-4BDF-A83E-09FE22F38CBF}">
      <dgm:prSet phldrT="[Text]" custT="1">
        <dgm:style>
          <a:lnRef idx="1">
            <a:schemeClr val="accent5"/>
          </a:lnRef>
          <a:fillRef idx="2">
            <a:schemeClr val="accent5"/>
          </a:fillRef>
          <a:effectRef idx="1">
            <a:schemeClr val="accent5"/>
          </a:effectRef>
          <a:fontRef idx="minor">
            <a:schemeClr val="dk1"/>
          </a:fontRef>
        </dgm:style>
      </dgm:prSet>
      <dgm:spPr>
        <a:xfrm>
          <a:off x="6176524" y="1027449"/>
          <a:ext cx="1815994" cy="1268205"/>
        </a:xfrm>
        <a:gradFill rotWithShape="1">
          <a:gsLst>
            <a:gs pos="0">
              <a:srgbClr val="4BACC6">
                <a:tint val="50000"/>
                <a:satMod val="300000"/>
              </a:srgbClr>
            </a:gs>
            <a:gs pos="35000">
              <a:srgbClr val="4BACC6">
                <a:tint val="37000"/>
                <a:satMod val="300000"/>
              </a:srgbClr>
            </a:gs>
            <a:gs pos="100000">
              <a:srgbClr val="4BACC6">
                <a:tint val="15000"/>
                <a:satMod val="350000"/>
              </a:srgbClr>
            </a:gs>
          </a:gsLst>
          <a:lin ang="16200000" scaled="1"/>
        </a:gradFill>
        <a:ln w="9525" cap="flat" cmpd="sng" algn="ctr">
          <a:solidFill>
            <a:srgbClr val="4BACC6">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Reference Data </a:t>
          </a:r>
        </a:p>
        <a:p>
          <a:r>
            <a:rPr lang="en-US" sz="1100" dirty="0" smtClean="0">
              <a:solidFill>
                <a:sysClr val="windowText" lastClr="000000"/>
              </a:solidFill>
              <a:effectLst/>
              <a:latin typeface="Calibri" pitchFamily="34" charset="0"/>
              <a:ea typeface="+mn-ea"/>
              <a:cs typeface="+mn-cs"/>
            </a:rPr>
            <a:t>Reporting, Reference Data Store, Data Hub, Historic Data Store, Analytical Marts</a:t>
          </a:r>
          <a:endParaRPr lang="en-US" sz="1100" dirty="0">
            <a:solidFill>
              <a:sysClr val="windowText" lastClr="000000"/>
            </a:solidFill>
            <a:latin typeface="Calibri" pitchFamily="34" charset="0"/>
            <a:ea typeface="+mn-ea"/>
            <a:cs typeface="+mn-cs"/>
          </a:endParaRPr>
        </a:p>
      </dgm:t>
    </dgm:pt>
    <dgm:pt modelId="{7A76F05D-B190-4A22-A68C-52208FF291DD}" type="parTrans" cxnId="{B44D6F2E-2262-47AF-9CFA-77C6AA8BFA42}">
      <dgm:prSet custT="1">
        <dgm:style>
          <a:lnRef idx="3">
            <a:schemeClr val="accent4"/>
          </a:lnRef>
          <a:fillRef idx="0">
            <a:schemeClr val="accent4"/>
          </a:fillRef>
          <a:effectRef idx="2">
            <a:schemeClr val="accent4"/>
          </a:effectRef>
          <a:fontRef idx="minor">
            <a:schemeClr val="tx1"/>
          </a:fontRef>
        </dgm:style>
      </dgm:prSet>
      <dgm:spPr>
        <a:xfrm rot="20359440">
          <a:off x="5349515" y="2121999"/>
          <a:ext cx="967339"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D15B46D5-5486-4604-9315-F5973B7D32A1}" type="sibTrans" cxnId="{B44D6F2E-2262-47AF-9CFA-77C6AA8BFA42}">
      <dgm:prSet/>
      <dgm:spPr/>
      <dgm:t>
        <a:bodyPr/>
        <a:lstStyle/>
        <a:p>
          <a:endParaRPr lang="en-US" sz="1100">
            <a:latin typeface="Calibri" pitchFamily="34" charset="0"/>
          </a:endParaRPr>
        </a:p>
      </dgm:t>
    </dgm:pt>
    <dgm:pt modelId="{3AD4D4C6-AA74-4CE8-989F-8D52DC597D15}">
      <dgm:prSet phldrT="[Text]" custT="1">
        <dgm:style>
          <a:lnRef idx="1">
            <a:schemeClr val="accent2"/>
          </a:lnRef>
          <a:fillRef idx="2">
            <a:schemeClr val="accent2"/>
          </a:fillRef>
          <a:effectRef idx="1">
            <a:schemeClr val="accent2"/>
          </a:effectRef>
          <a:fontRef idx="minor">
            <a:schemeClr val="dk1"/>
          </a:fontRef>
        </dgm:style>
      </dgm:prSet>
      <dgm:spPr>
        <a:xfrm>
          <a:off x="1538523" y="2906488"/>
          <a:ext cx="1815994" cy="1268205"/>
        </a:xfrm>
        <a:gradFill rotWithShape="1">
          <a:gsLst>
            <a:gs pos="0">
              <a:srgbClr val="C0504D">
                <a:tint val="50000"/>
                <a:satMod val="300000"/>
              </a:srgbClr>
            </a:gs>
            <a:gs pos="35000">
              <a:srgbClr val="C0504D">
                <a:tint val="37000"/>
                <a:satMod val="300000"/>
              </a:srgbClr>
            </a:gs>
            <a:gs pos="100000">
              <a:srgbClr val="C0504D">
                <a:tint val="15000"/>
                <a:satMod val="350000"/>
              </a:srgbClr>
            </a:gs>
          </a:gsLst>
          <a:lin ang="16200000" scaled="1"/>
        </a:gradFill>
        <a:ln w="9525" cap="flat" cmpd="sng" algn="ctr">
          <a:solidFill>
            <a:srgbClr val="C0504D">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Derived Data</a:t>
          </a:r>
          <a:r>
            <a:rPr lang="en-US" sz="1100" dirty="0" smtClean="0">
              <a:solidFill>
                <a:srgbClr val="C00000"/>
              </a:solidFill>
              <a:effectLst/>
              <a:latin typeface="Calibri" pitchFamily="34" charset="0"/>
              <a:ea typeface="+mn-ea"/>
              <a:cs typeface="+mn-cs"/>
            </a:rPr>
            <a:t> </a:t>
          </a:r>
        </a:p>
        <a:p>
          <a:r>
            <a:rPr lang="en-US" sz="1100" dirty="0" smtClean="0">
              <a:solidFill>
                <a:sysClr val="windowText" lastClr="000000"/>
              </a:solidFill>
              <a:effectLst/>
              <a:latin typeface="Calibri" pitchFamily="34" charset="0"/>
              <a:ea typeface="+mn-ea"/>
              <a:cs typeface="+mn-cs"/>
            </a:rPr>
            <a:t>Database System, Reporting, Pricing, Analytics, Data Consolidation/ Validation </a:t>
          </a:r>
          <a:endParaRPr lang="en-US" sz="1100" dirty="0">
            <a:solidFill>
              <a:sysClr val="windowText" lastClr="000000"/>
            </a:solidFill>
            <a:latin typeface="Calibri" pitchFamily="34" charset="0"/>
            <a:ea typeface="+mn-ea"/>
            <a:cs typeface="+mn-cs"/>
          </a:endParaRPr>
        </a:p>
      </dgm:t>
    </dgm:pt>
    <dgm:pt modelId="{C853F1FE-3BA4-4FAF-8427-EA3058BBC659}" type="parTrans" cxnId="{DA811572-6327-4A6A-B0B1-5F514AF7BCD4}">
      <dgm:prSet custT="1">
        <dgm:style>
          <a:lnRef idx="3">
            <a:schemeClr val="accent4"/>
          </a:lnRef>
          <a:fillRef idx="0">
            <a:schemeClr val="accent4"/>
          </a:fillRef>
          <a:effectRef idx="2">
            <a:schemeClr val="accent4"/>
          </a:effectRef>
          <a:fontRef idx="minor">
            <a:schemeClr val="tx1"/>
          </a:fontRef>
        </dgm:style>
      </dgm:prSet>
      <dgm:spPr>
        <a:xfrm rot="9397065">
          <a:off x="3174384" y="2981660"/>
          <a:ext cx="1075139"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4155EB3D-5F25-4D34-A3A9-A3ECF3060CF5}" type="sibTrans" cxnId="{DA811572-6327-4A6A-B0B1-5F514AF7BCD4}">
      <dgm:prSet/>
      <dgm:spPr/>
      <dgm:t>
        <a:bodyPr/>
        <a:lstStyle/>
        <a:p>
          <a:endParaRPr lang="en-US" sz="1100">
            <a:latin typeface="Calibri" pitchFamily="34" charset="0"/>
          </a:endParaRPr>
        </a:p>
      </dgm:t>
    </dgm:pt>
    <dgm:pt modelId="{72C7A471-2FE3-4A13-ABC0-D5DA9481D50C}">
      <dgm:prSet phldrT="[Text]" custT="1">
        <dgm:style>
          <a:lnRef idx="1">
            <a:schemeClr val="accent3"/>
          </a:lnRef>
          <a:fillRef idx="2">
            <a:schemeClr val="accent3"/>
          </a:fillRef>
          <a:effectRef idx="1">
            <a:schemeClr val="accent3"/>
          </a:effectRef>
          <a:fontRef idx="minor">
            <a:schemeClr val="dk1"/>
          </a:fontRef>
        </dgm:style>
      </dgm:prSet>
      <dgm:spPr>
        <a:xfrm>
          <a:off x="1583939" y="1027465"/>
          <a:ext cx="1815994" cy="1268205"/>
        </a:xfrm>
        <a:gradFill rotWithShape="1">
          <a:gsLst>
            <a:gs pos="0">
              <a:srgbClr val="9BBB59">
                <a:tint val="50000"/>
                <a:satMod val="300000"/>
              </a:srgbClr>
            </a:gs>
            <a:gs pos="35000">
              <a:srgbClr val="9BBB59">
                <a:tint val="37000"/>
                <a:satMod val="300000"/>
              </a:srgbClr>
            </a:gs>
            <a:gs pos="100000">
              <a:srgbClr val="9BBB59">
                <a:tint val="15000"/>
                <a:satMod val="350000"/>
              </a:srgbClr>
            </a:gs>
          </a:gsLst>
          <a:lin ang="16200000" scaled="1"/>
        </a:gradFill>
        <a:ln w="9525" cap="flat" cmpd="sng" algn="ctr">
          <a:solidFill>
            <a:srgbClr val="9BBB59">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Static Data</a:t>
          </a:r>
        </a:p>
        <a:p>
          <a:r>
            <a:rPr lang="en-US" sz="1100" dirty="0" smtClean="0">
              <a:solidFill>
                <a:sysClr val="windowText" lastClr="000000"/>
              </a:solidFill>
              <a:effectLst/>
              <a:latin typeface="Calibri" pitchFamily="34" charset="0"/>
              <a:ea typeface="+mn-ea"/>
              <a:cs typeface="+mn-cs"/>
            </a:rPr>
            <a:t>Static Data Capture, External linkage, data structure, data dictionary tables and views</a:t>
          </a:r>
          <a:endParaRPr lang="en-US" sz="1100" dirty="0">
            <a:solidFill>
              <a:sysClr val="windowText" lastClr="000000"/>
            </a:solidFill>
            <a:latin typeface="Calibri" pitchFamily="34" charset="0"/>
            <a:ea typeface="+mn-ea"/>
            <a:cs typeface="+mn-cs"/>
          </a:endParaRPr>
        </a:p>
      </dgm:t>
    </dgm:pt>
    <dgm:pt modelId="{56BA01DE-F765-4D2B-96F0-4E8B58D4226A}" type="parTrans" cxnId="{762FA367-234A-4792-B636-DCA535F2BFD2}">
      <dgm:prSet custT="1">
        <dgm:style>
          <a:lnRef idx="3">
            <a:schemeClr val="accent4"/>
          </a:lnRef>
          <a:fillRef idx="0">
            <a:schemeClr val="accent4"/>
          </a:fillRef>
          <a:effectRef idx="2">
            <a:schemeClr val="accent4"/>
          </a:effectRef>
          <a:fontRef idx="minor">
            <a:schemeClr val="tx1"/>
          </a:fontRef>
        </dgm:style>
      </dgm:prSet>
      <dgm:spPr>
        <a:xfrm rot="12041354">
          <a:off x="3259484" y="2122020"/>
          <a:ext cx="965855"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9AF4A6F8-B57B-450D-9B1B-2B7EF825CEB2}" type="sibTrans" cxnId="{762FA367-234A-4792-B636-DCA535F2BFD2}">
      <dgm:prSet/>
      <dgm:spPr/>
      <dgm:t>
        <a:bodyPr/>
        <a:lstStyle/>
        <a:p>
          <a:endParaRPr lang="en-US" sz="1100">
            <a:latin typeface="Calibri" pitchFamily="34" charset="0"/>
          </a:endParaRPr>
        </a:p>
      </dgm:t>
    </dgm:pt>
    <dgm:pt modelId="{FD488136-8690-4C77-B4F2-A5867F87D444}">
      <dgm:prSet phldrT="[Text]" custT="1">
        <dgm:style>
          <a:lnRef idx="1">
            <a:schemeClr val="accent6"/>
          </a:lnRef>
          <a:fillRef idx="2">
            <a:schemeClr val="accent6"/>
          </a:fillRef>
          <a:effectRef idx="1">
            <a:schemeClr val="accent6"/>
          </a:effectRef>
          <a:fontRef idx="minor">
            <a:schemeClr val="dk1"/>
          </a:fontRef>
        </dgm:style>
      </dgm:prSet>
      <dgm:spPr>
        <a:xfrm>
          <a:off x="6176526" y="2905778"/>
          <a:ext cx="1815994" cy="1268205"/>
        </a:xfrm>
        <a:gradFill rotWithShape="1">
          <a:gsLst>
            <a:gs pos="0">
              <a:srgbClr val="F79646">
                <a:tint val="50000"/>
                <a:satMod val="300000"/>
              </a:srgbClr>
            </a:gs>
            <a:gs pos="35000">
              <a:srgbClr val="F79646">
                <a:tint val="37000"/>
                <a:satMod val="300000"/>
              </a:srgbClr>
            </a:gs>
            <a:gs pos="100000">
              <a:srgbClr val="F79646">
                <a:tint val="15000"/>
                <a:satMod val="350000"/>
              </a:srgbClr>
            </a:gs>
          </a:gsLst>
          <a:lin ang="16200000" scaled="1"/>
        </a:gradFill>
        <a:ln w="9525" cap="flat" cmpd="sng" algn="ctr">
          <a:solidFill>
            <a:srgbClr val="F79646">
              <a:shade val="95000"/>
              <a:satMod val="105000"/>
            </a:srgbClr>
          </a:solidFill>
          <a:prstDash val="solid"/>
        </a:ln>
        <a:effectLst>
          <a:outerShdw blurRad="40000" dist="20000" dir="5400000" rotWithShape="0">
            <a:srgbClr val="000000">
              <a:alpha val="38000"/>
            </a:srgbClr>
          </a:outerShdw>
        </a:effectLst>
        <a:scene3d>
          <a:camera prst="orthographicFront"/>
          <a:lightRig rig="flat" dir="t"/>
        </a:scene3d>
        <a:sp3d>
          <a:bevelT/>
        </a:sp3d>
      </dgm:spPr>
      <dgm:t>
        <a:bodyPr/>
        <a:lstStyle/>
        <a:p>
          <a:r>
            <a:rPr lang="en-US" sz="1100" b="1" dirty="0" smtClean="0">
              <a:solidFill>
                <a:srgbClr val="C00000"/>
              </a:solidFill>
              <a:effectLst/>
              <a:latin typeface="Calibri" pitchFamily="34" charset="0"/>
              <a:ea typeface="+mn-ea"/>
              <a:cs typeface="+mn-cs"/>
            </a:rPr>
            <a:t>Trade Data</a:t>
          </a:r>
        </a:p>
        <a:p>
          <a:r>
            <a:rPr lang="en-US" sz="1100" dirty="0" smtClean="0">
              <a:solidFill>
                <a:sysClr val="windowText" lastClr="000000"/>
              </a:solidFill>
              <a:effectLst/>
              <a:latin typeface="Calibri" pitchFamily="34" charset="0"/>
              <a:ea typeface="+mn-ea"/>
              <a:cs typeface="+mn-cs"/>
            </a:rPr>
            <a:t>Trade Capture, STP,FIX Data Consolidation/ Validation</a:t>
          </a:r>
          <a:endParaRPr lang="en-US" sz="1100" dirty="0">
            <a:solidFill>
              <a:sysClr val="windowText" lastClr="000000"/>
            </a:solidFill>
            <a:latin typeface="Calibri" pitchFamily="34" charset="0"/>
            <a:ea typeface="+mn-ea"/>
            <a:cs typeface="+mn-cs"/>
          </a:endParaRPr>
        </a:p>
      </dgm:t>
    </dgm:pt>
    <dgm:pt modelId="{F347DAE6-3B09-4EFF-BB2D-10E5F9D7AC46}" type="parTrans" cxnId="{242C0FE5-4D33-40F7-8381-8222883ABA5B}">
      <dgm:prSet custT="1">
        <dgm:style>
          <a:lnRef idx="3">
            <a:schemeClr val="accent4"/>
          </a:lnRef>
          <a:fillRef idx="0">
            <a:schemeClr val="accent4"/>
          </a:fillRef>
          <a:effectRef idx="2">
            <a:schemeClr val="accent4"/>
          </a:effectRef>
          <a:fontRef idx="minor">
            <a:schemeClr val="tx1"/>
          </a:fontRef>
        </dgm:style>
      </dgm:prSet>
      <dgm:spPr>
        <a:xfrm rot="1425833">
          <a:off x="5323802" y="2981045"/>
          <a:ext cx="1036584" cy="23588"/>
        </a:xfrm>
        <a:noFill/>
        <a:ln w="38100" cap="flat" cmpd="sng" algn="ctr">
          <a:solidFill>
            <a:srgbClr val="8064A2"/>
          </a:solidFill>
          <a:prstDash val="solid"/>
        </a:ln>
        <a:effectLst>
          <a:outerShdw blurRad="40000" dist="23000" dir="5400000" rotWithShape="0">
            <a:srgbClr val="000000">
              <a:alpha val="35000"/>
            </a:srgbClr>
          </a:outerShdw>
        </a:effectLst>
        <a:scene3d>
          <a:camera prst="orthographicFront"/>
          <a:lightRig rig="flat" dir="t"/>
        </a:scene3d>
        <a:sp3d/>
      </dgm:spPr>
      <dgm:t>
        <a:bodyPr/>
        <a:lstStyle/>
        <a:p>
          <a:endParaRPr lang="en-US" sz="1100" dirty="0">
            <a:solidFill>
              <a:sysClr val="windowText" lastClr="000000">
                <a:hueOff val="0"/>
                <a:satOff val="0"/>
                <a:lumOff val="0"/>
                <a:alphaOff val="0"/>
              </a:sysClr>
            </a:solidFill>
            <a:latin typeface="Calibri" pitchFamily="34" charset="0"/>
            <a:ea typeface="+mn-ea"/>
            <a:cs typeface="+mn-cs"/>
          </a:endParaRPr>
        </a:p>
      </dgm:t>
    </dgm:pt>
    <dgm:pt modelId="{8602AB09-4B4C-4E7C-8E87-054067A8AB3B}" type="sibTrans" cxnId="{242C0FE5-4D33-40F7-8381-8222883ABA5B}">
      <dgm:prSet/>
      <dgm:spPr/>
      <dgm:t>
        <a:bodyPr/>
        <a:lstStyle/>
        <a:p>
          <a:endParaRPr lang="en-US" sz="1100">
            <a:latin typeface="Calibri" pitchFamily="34" charset="0"/>
          </a:endParaRPr>
        </a:p>
      </dgm:t>
    </dgm:pt>
    <dgm:pt modelId="{16978D53-DD3D-45DA-AACD-3956B0F5FC15}" type="pres">
      <dgm:prSet presAssocID="{BB4989ED-B476-47C1-BA28-9FD37D55A448}" presName="cycle" presStyleCnt="0">
        <dgm:presLayoutVars>
          <dgm:chMax val="1"/>
          <dgm:dir/>
          <dgm:animLvl val="ctr"/>
          <dgm:resizeHandles val="exact"/>
        </dgm:presLayoutVars>
      </dgm:prSet>
      <dgm:spPr/>
      <dgm:t>
        <a:bodyPr/>
        <a:lstStyle/>
        <a:p>
          <a:endParaRPr lang="en-US"/>
        </a:p>
      </dgm:t>
    </dgm:pt>
    <dgm:pt modelId="{EF8F11D6-D313-4352-B17A-6859B280B046}" type="pres">
      <dgm:prSet presAssocID="{2E357E90-970D-499B-8469-2A7FEB0492A0}" presName="centerShape" presStyleLbl="node0" presStyleIdx="0" presStyleCnt="1" custLinFactNeighborX="-1553" custLinFactNeighborY="6796"/>
      <dgm:spPr>
        <a:prstGeom prst="ellipse">
          <a:avLst/>
        </a:prstGeom>
      </dgm:spPr>
      <dgm:t>
        <a:bodyPr/>
        <a:lstStyle/>
        <a:p>
          <a:endParaRPr lang="en-US"/>
        </a:p>
      </dgm:t>
    </dgm:pt>
    <dgm:pt modelId="{AC59A879-A5F4-4F48-A5D7-310A22EC4B9B}" type="pres">
      <dgm:prSet presAssocID="{1160BAA9-ADB6-40F2-BFE2-68EAA182FA20}" presName="Name9" presStyleLbl="parChTrans1D2" presStyleIdx="0" presStyleCnt="5"/>
      <dgm:spPr>
        <a:custGeom>
          <a:avLst/>
          <a:gdLst/>
          <a:ahLst/>
          <a:cxnLst/>
          <a:rect l="0" t="0" r="0" b="0"/>
          <a:pathLst>
            <a:path>
              <a:moveTo>
                <a:pt x="0" y="11794"/>
              </a:moveTo>
              <a:lnTo>
                <a:pt x="610139" y="11794"/>
              </a:lnTo>
            </a:path>
          </a:pathLst>
        </a:custGeom>
      </dgm:spPr>
      <dgm:t>
        <a:bodyPr/>
        <a:lstStyle/>
        <a:p>
          <a:endParaRPr lang="en-US"/>
        </a:p>
      </dgm:t>
    </dgm:pt>
    <dgm:pt modelId="{712F6238-28C6-4E37-B01D-31E2A954CFC2}" type="pres">
      <dgm:prSet presAssocID="{1160BAA9-ADB6-40F2-BFE2-68EAA182FA20}" presName="connTx" presStyleLbl="parChTrans1D2" presStyleIdx="0" presStyleCnt="5"/>
      <dgm:spPr/>
      <dgm:t>
        <a:bodyPr/>
        <a:lstStyle/>
        <a:p>
          <a:endParaRPr lang="en-US"/>
        </a:p>
      </dgm:t>
    </dgm:pt>
    <dgm:pt modelId="{A24118AF-73BA-44AC-9CC6-F1471AF79D9E}" type="pres">
      <dgm:prSet presAssocID="{51472588-80D3-4913-9C94-800932C20107}" presName="node" presStyleLbl="node1" presStyleIdx="0" presStyleCnt="5" custScaleX="143194" custRadScaleRad="100225" custRadScaleInc="-6344">
        <dgm:presLayoutVars>
          <dgm:bulletEnabled val="1"/>
        </dgm:presLayoutVars>
      </dgm:prSet>
      <dgm:spPr>
        <a:prstGeom prst="roundRect">
          <a:avLst/>
        </a:prstGeom>
      </dgm:spPr>
      <dgm:t>
        <a:bodyPr/>
        <a:lstStyle/>
        <a:p>
          <a:endParaRPr lang="en-US"/>
        </a:p>
      </dgm:t>
    </dgm:pt>
    <dgm:pt modelId="{0FA75166-4506-4E59-806D-2420EBD33EFA}" type="pres">
      <dgm:prSet presAssocID="{7A76F05D-B190-4A22-A68C-52208FF291DD}" presName="Name9" presStyleLbl="parChTrans1D2" presStyleIdx="1" presStyleCnt="5"/>
      <dgm:spPr>
        <a:custGeom>
          <a:avLst/>
          <a:gdLst/>
          <a:ahLst/>
          <a:cxnLst/>
          <a:rect l="0" t="0" r="0" b="0"/>
          <a:pathLst>
            <a:path>
              <a:moveTo>
                <a:pt x="0" y="11794"/>
              </a:moveTo>
              <a:lnTo>
                <a:pt x="967339" y="11794"/>
              </a:lnTo>
            </a:path>
          </a:pathLst>
        </a:custGeom>
      </dgm:spPr>
      <dgm:t>
        <a:bodyPr/>
        <a:lstStyle/>
        <a:p>
          <a:endParaRPr lang="en-US"/>
        </a:p>
      </dgm:t>
    </dgm:pt>
    <dgm:pt modelId="{640D536F-9AB3-462D-9E3A-BE4491220184}" type="pres">
      <dgm:prSet presAssocID="{7A76F05D-B190-4A22-A68C-52208FF291DD}" presName="connTx" presStyleLbl="parChTrans1D2" presStyleIdx="1" presStyleCnt="5"/>
      <dgm:spPr/>
      <dgm:t>
        <a:bodyPr/>
        <a:lstStyle/>
        <a:p>
          <a:endParaRPr lang="en-US"/>
        </a:p>
      </dgm:t>
    </dgm:pt>
    <dgm:pt modelId="{DFDB3B38-28FD-40B9-BB10-3AD3077A679B}" type="pres">
      <dgm:prSet presAssocID="{D95A5F7D-216D-4BDF-A83E-09FE22F38CBF}" presName="node" presStyleLbl="node1" presStyleIdx="1" presStyleCnt="5" custScaleX="143194" custRadScaleRad="141447" custRadScaleInc="5656">
        <dgm:presLayoutVars>
          <dgm:bulletEnabled val="1"/>
        </dgm:presLayoutVars>
      </dgm:prSet>
      <dgm:spPr>
        <a:prstGeom prst="roundRect">
          <a:avLst/>
        </a:prstGeom>
      </dgm:spPr>
      <dgm:t>
        <a:bodyPr/>
        <a:lstStyle/>
        <a:p>
          <a:endParaRPr lang="en-US"/>
        </a:p>
      </dgm:t>
    </dgm:pt>
    <dgm:pt modelId="{97F007E8-67B1-46D0-B482-5042E9ED9FDC}" type="pres">
      <dgm:prSet presAssocID="{F347DAE6-3B09-4EFF-BB2D-10E5F9D7AC46}" presName="Name9" presStyleLbl="parChTrans1D2" presStyleIdx="2" presStyleCnt="5"/>
      <dgm:spPr>
        <a:custGeom>
          <a:avLst/>
          <a:gdLst/>
          <a:ahLst/>
          <a:cxnLst/>
          <a:rect l="0" t="0" r="0" b="0"/>
          <a:pathLst>
            <a:path>
              <a:moveTo>
                <a:pt x="0" y="11794"/>
              </a:moveTo>
              <a:lnTo>
                <a:pt x="1036584" y="11794"/>
              </a:lnTo>
            </a:path>
          </a:pathLst>
        </a:custGeom>
      </dgm:spPr>
      <dgm:t>
        <a:bodyPr/>
        <a:lstStyle/>
        <a:p>
          <a:endParaRPr lang="en-US"/>
        </a:p>
      </dgm:t>
    </dgm:pt>
    <dgm:pt modelId="{5A221069-0312-4652-A4D4-816E4D438AB5}" type="pres">
      <dgm:prSet presAssocID="{F347DAE6-3B09-4EFF-BB2D-10E5F9D7AC46}" presName="connTx" presStyleLbl="parChTrans1D2" presStyleIdx="2" presStyleCnt="5"/>
      <dgm:spPr/>
      <dgm:t>
        <a:bodyPr/>
        <a:lstStyle/>
        <a:p>
          <a:endParaRPr lang="en-US"/>
        </a:p>
      </dgm:t>
    </dgm:pt>
    <dgm:pt modelId="{B8610748-9D19-4F88-82FE-97A9D57F05B8}" type="pres">
      <dgm:prSet presAssocID="{FD488136-8690-4C77-B4F2-A5867F87D444}" presName="node" presStyleLbl="node1" presStyleIdx="2" presStyleCnt="5" custScaleX="143194" custRadScaleRad="155224" custRadScaleInc="-69933">
        <dgm:presLayoutVars>
          <dgm:bulletEnabled val="1"/>
        </dgm:presLayoutVars>
      </dgm:prSet>
      <dgm:spPr>
        <a:prstGeom prst="roundRect">
          <a:avLst/>
        </a:prstGeom>
      </dgm:spPr>
      <dgm:t>
        <a:bodyPr/>
        <a:lstStyle/>
        <a:p>
          <a:endParaRPr lang="en-US"/>
        </a:p>
      </dgm:t>
    </dgm:pt>
    <dgm:pt modelId="{E6ABDA48-FEFE-41A6-8EEC-81231A28FA55}" type="pres">
      <dgm:prSet presAssocID="{C853F1FE-3BA4-4FAF-8427-EA3058BBC659}" presName="Name9" presStyleLbl="parChTrans1D2" presStyleIdx="3" presStyleCnt="5"/>
      <dgm:spPr>
        <a:custGeom>
          <a:avLst/>
          <a:gdLst/>
          <a:ahLst/>
          <a:cxnLst/>
          <a:rect l="0" t="0" r="0" b="0"/>
          <a:pathLst>
            <a:path>
              <a:moveTo>
                <a:pt x="0" y="11794"/>
              </a:moveTo>
              <a:lnTo>
                <a:pt x="1075139" y="11794"/>
              </a:lnTo>
            </a:path>
          </a:pathLst>
        </a:custGeom>
      </dgm:spPr>
      <dgm:t>
        <a:bodyPr/>
        <a:lstStyle/>
        <a:p>
          <a:endParaRPr lang="en-US"/>
        </a:p>
      </dgm:t>
    </dgm:pt>
    <dgm:pt modelId="{83BBA460-EA4A-4FD6-BAD4-8F87E7B6AE42}" type="pres">
      <dgm:prSet presAssocID="{C853F1FE-3BA4-4FAF-8427-EA3058BBC659}" presName="connTx" presStyleLbl="parChTrans1D2" presStyleIdx="3" presStyleCnt="5"/>
      <dgm:spPr/>
      <dgm:t>
        <a:bodyPr/>
        <a:lstStyle/>
        <a:p>
          <a:endParaRPr lang="en-US"/>
        </a:p>
      </dgm:t>
    </dgm:pt>
    <dgm:pt modelId="{E83DC592-319C-44A5-AEA8-BCB084037139}" type="pres">
      <dgm:prSet presAssocID="{3AD4D4C6-AA74-4CE8-989F-8D52DC597D15}" presName="node" presStyleLbl="node1" presStyleIdx="3" presStyleCnt="5" custScaleX="143194" custRadScaleRad="163064" custRadScaleInc="74067">
        <dgm:presLayoutVars>
          <dgm:bulletEnabled val="1"/>
        </dgm:presLayoutVars>
      </dgm:prSet>
      <dgm:spPr>
        <a:prstGeom prst="roundRect">
          <a:avLst/>
        </a:prstGeom>
      </dgm:spPr>
      <dgm:t>
        <a:bodyPr/>
        <a:lstStyle/>
        <a:p>
          <a:endParaRPr lang="en-US"/>
        </a:p>
      </dgm:t>
    </dgm:pt>
    <dgm:pt modelId="{1B272C1F-FE50-4B79-AFB0-522F20A82231}" type="pres">
      <dgm:prSet presAssocID="{56BA01DE-F765-4D2B-96F0-4E8B58D4226A}" presName="Name9" presStyleLbl="parChTrans1D2" presStyleIdx="4" presStyleCnt="5"/>
      <dgm:spPr>
        <a:custGeom>
          <a:avLst/>
          <a:gdLst/>
          <a:ahLst/>
          <a:cxnLst/>
          <a:rect l="0" t="0" r="0" b="0"/>
          <a:pathLst>
            <a:path>
              <a:moveTo>
                <a:pt x="0" y="11794"/>
              </a:moveTo>
              <a:lnTo>
                <a:pt x="965855" y="11794"/>
              </a:lnTo>
            </a:path>
          </a:pathLst>
        </a:custGeom>
      </dgm:spPr>
      <dgm:t>
        <a:bodyPr/>
        <a:lstStyle/>
        <a:p>
          <a:endParaRPr lang="en-US"/>
        </a:p>
      </dgm:t>
    </dgm:pt>
    <dgm:pt modelId="{F5698B3C-B0CB-451A-AD94-E577ECBDA3F7}" type="pres">
      <dgm:prSet presAssocID="{56BA01DE-F765-4D2B-96F0-4E8B58D4226A}" presName="connTx" presStyleLbl="parChTrans1D2" presStyleIdx="4" presStyleCnt="5"/>
      <dgm:spPr/>
      <dgm:t>
        <a:bodyPr/>
        <a:lstStyle/>
        <a:p>
          <a:endParaRPr lang="en-US"/>
        </a:p>
      </dgm:t>
    </dgm:pt>
    <dgm:pt modelId="{BCCB3AB7-B652-427A-9C23-C083D3F9BB8E}" type="pres">
      <dgm:prSet presAssocID="{72C7A471-2FE3-4A13-ABC0-D5DA9481D50C}" presName="node" presStyleLbl="node1" presStyleIdx="4" presStyleCnt="5" custScaleX="143194" custRadScaleRad="147333" custRadScaleInc="-7473">
        <dgm:presLayoutVars>
          <dgm:bulletEnabled val="1"/>
        </dgm:presLayoutVars>
      </dgm:prSet>
      <dgm:spPr>
        <a:prstGeom prst="roundRect">
          <a:avLst/>
        </a:prstGeom>
      </dgm:spPr>
      <dgm:t>
        <a:bodyPr/>
        <a:lstStyle/>
        <a:p>
          <a:endParaRPr lang="en-US"/>
        </a:p>
      </dgm:t>
    </dgm:pt>
  </dgm:ptLst>
  <dgm:cxnLst>
    <dgm:cxn modelId="{EC845B1F-7F1B-41B0-87C6-48E7D6F58436}" type="presOf" srcId="{C853F1FE-3BA4-4FAF-8427-EA3058BBC659}" destId="{E6ABDA48-FEFE-41A6-8EEC-81231A28FA55}" srcOrd="0" destOrd="0" presId="urn:microsoft.com/office/officeart/2005/8/layout/radial1"/>
    <dgm:cxn modelId="{A08E84A7-A038-41B9-B2A9-9405B5C09FE8}" type="presOf" srcId="{2E357E90-970D-499B-8469-2A7FEB0492A0}" destId="{EF8F11D6-D313-4352-B17A-6859B280B046}" srcOrd="0" destOrd="0" presId="urn:microsoft.com/office/officeart/2005/8/layout/radial1"/>
    <dgm:cxn modelId="{00BB1409-FE98-460A-AA6A-2AD334925F06}" type="presOf" srcId="{F347DAE6-3B09-4EFF-BB2D-10E5F9D7AC46}" destId="{97F007E8-67B1-46D0-B482-5042E9ED9FDC}" srcOrd="0" destOrd="0" presId="urn:microsoft.com/office/officeart/2005/8/layout/radial1"/>
    <dgm:cxn modelId="{E943D4AC-5E2C-4EE9-A8E7-0E176A4426A3}" type="presOf" srcId="{56BA01DE-F765-4D2B-96F0-4E8B58D4226A}" destId="{F5698B3C-B0CB-451A-AD94-E577ECBDA3F7}" srcOrd="1" destOrd="0" presId="urn:microsoft.com/office/officeart/2005/8/layout/radial1"/>
    <dgm:cxn modelId="{B44D6F2E-2262-47AF-9CFA-77C6AA8BFA42}" srcId="{2E357E90-970D-499B-8469-2A7FEB0492A0}" destId="{D95A5F7D-216D-4BDF-A83E-09FE22F38CBF}" srcOrd="1" destOrd="0" parTransId="{7A76F05D-B190-4A22-A68C-52208FF291DD}" sibTransId="{D15B46D5-5486-4604-9315-F5973B7D32A1}"/>
    <dgm:cxn modelId="{F740BE64-C010-4BA2-AD22-12C4ABF2BCB6}" type="presOf" srcId="{56BA01DE-F765-4D2B-96F0-4E8B58D4226A}" destId="{1B272C1F-FE50-4B79-AFB0-522F20A82231}" srcOrd="0" destOrd="0" presId="urn:microsoft.com/office/officeart/2005/8/layout/radial1"/>
    <dgm:cxn modelId="{E58C0985-18AC-4F54-92C7-83A46C41E99E}" type="presOf" srcId="{51472588-80D3-4913-9C94-800932C20107}" destId="{A24118AF-73BA-44AC-9CC6-F1471AF79D9E}" srcOrd="0" destOrd="0" presId="urn:microsoft.com/office/officeart/2005/8/layout/radial1"/>
    <dgm:cxn modelId="{EE04020A-DAB4-4D85-BEBD-8C0FB4E25F52}" type="presOf" srcId="{FD488136-8690-4C77-B4F2-A5867F87D444}" destId="{B8610748-9D19-4F88-82FE-97A9D57F05B8}" srcOrd="0" destOrd="0" presId="urn:microsoft.com/office/officeart/2005/8/layout/radial1"/>
    <dgm:cxn modelId="{2ECBF568-10E9-4406-B60D-8CF6B1ACFD6E}" type="presOf" srcId="{3AD4D4C6-AA74-4CE8-989F-8D52DC597D15}" destId="{E83DC592-319C-44A5-AEA8-BCB084037139}" srcOrd="0" destOrd="0" presId="urn:microsoft.com/office/officeart/2005/8/layout/radial1"/>
    <dgm:cxn modelId="{EFA16D9E-7AB5-495D-8848-C45F7B8B7A28}" srcId="{BB4989ED-B476-47C1-BA28-9FD37D55A448}" destId="{2E357E90-970D-499B-8469-2A7FEB0492A0}" srcOrd="0" destOrd="0" parTransId="{4E1C4F6A-E381-419C-9FFE-F930BA62301F}" sibTransId="{7C953176-CFC1-4489-8A8C-DBF737E793F6}"/>
    <dgm:cxn modelId="{0498CEC8-D928-4DED-9F6B-22A32F68CDBE}" type="presOf" srcId="{7A76F05D-B190-4A22-A68C-52208FF291DD}" destId="{640D536F-9AB3-462D-9E3A-BE4491220184}" srcOrd="1" destOrd="0" presId="urn:microsoft.com/office/officeart/2005/8/layout/radial1"/>
    <dgm:cxn modelId="{4AA3804B-1291-490C-983E-6C40C3FE3740}" type="presOf" srcId="{1160BAA9-ADB6-40F2-BFE2-68EAA182FA20}" destId="{712F6238-28C6-4E37-B01D-31E2A954CFC2}" srcOrd="1" destOrd="0" presId="urn:microsoft.com/office/officeart/2005/8/layout/radial1"/>
    <dgm:cxn modelId="{3FB703F1-6079-40C1-9F8A-CCAE7B64D076}" type="presOf" srcId="{C853F1FE-3BA4-4FAF-8427-EA3058BBC659}" destId="{83BBA460-EA4A-4FD6-BAD4-8F87E7B6AE42}" srcOrd="1" destOrd="0" presId="urn:microsoft.com/office/officeart/2005/8/layout/radial1"/>
    <dgm:cxn modelId="{13482940-E17D-42F4-97E6-C72074E4A52E}" type="presOf" srcId="{F347DAE6-3B09-4EFF-BB2D-10E5F9D7AC46}" destId="{5A221069-0312-4652-A4D4-816E4D438AB5}" srcOrd="1" destOrd="0" presId="urn:microsoft.com/office/officeart/2005/8/layout/radial1"/>
    <dgm:cxn modelId="{DA811572-6327-4A6A-B0B1-5F514AF7BCD4}" srcId="{2E357E90-970D-499B-8469-2A7FEB0492A0}" destId="{3AD4D4C6-AA74-4CE8-989F-8D52DC597D15}" srcOrd="3" destOrd="0" parTransId="{C853F1FE-3BA4-4FAF-8427-EA3058BBC659}" sibTransId="{4155EB3D-5F25-4D34-A3A9-A3ECF3060CF5}"/>
    <dgm:cxn modelId="{242C0FE5-4D33-40F7-8381-8222883ABA5B}" srcId="{2E357E90-970D-499B-8469-2A7FEB0492A0}" destId="{FD488136-8690-4C77-B4F2-A5867F87D444}" srcOrd="2" destOrd="0" parTransId="{F347DAE6-3B09-4EFF-BB2D-10E5F9D7AC46}" sibTransId="{8602AB09-4B4C-4E7C-8E87-054067A8AB3B}"/>
    <dgm:cxn modelId="{1AF8EBB7-EB7D-4354-830A-8EB13556869B}" type="presOf" srcId="{1160BAA9-ADB6-40F2-BFE2-68EAA182FA20}" destId="{AC59A879-A5F4-4F48-A5D7-310A22EC4B9B}" srcOrd="0" destOrd="0" presId="urn:microsoft.com/office/officeart/2005/8/layout/radial1"/>
    <dgm:cxn modelId="{289E3644-FD5A-441C-A4F2-F9AA75FF0CC7}" srcId="{2E357E90-970D-499B-8469-2A7FEB0492A0}" destId="{51472588-80D3-4913-9C94-800932C20107}" srcOrd="0" destOrd="0" parTransId="{1160BAA9-ADB6-40F2-BFE2-68EAA182FA20}" sibTransId="{0E28B25C-F52F-46F9-9C89-2BF3BA861BE5}"/>
    <dgm:cxn modelId="{F9D5B620-FCEF-4745-B262-21780DCCD7EE}" type="presOf" srcId="{D95A5F7D-216D-4BDF-A83E-09FE22F38CBF}" destId="{DFDB3B38-28FD-40B9-BB10-3AD3077A679B}" srcOrd="0" destOrd="0" presId="urn:microsoft.com/office/officeart/2005/8/layout/radial1"/>
    <dgm:cxn modelId="{61DC905E-7EA9-406E-9EAE-B682A22BA175}" type="presOf" srcId="{72C7A471-2FE3-4A13-ABC0-D5DA9481D50C}" destId="{BCCB3AB7-B652-427A-9C23-C083D3F9BB8E}" srcOrd="0" destOrd="0" presId="urn:microsoft.com/office/officeart/2005/8/layout/radial1"/>
    <dgm:cxn modelId="{762FA367-234A-4792-B636-DCA535F2BFD2}" srcId="{2E357E90-970D-499B-8469-2A7FEB0492A0}" destId="{72C7A471-2FE3-4A13-ABC0-D5DA9481D50C}" srcOrd="4" destOrd="0" parTransId="{56BA01DE-F765-4D2B-96F0-4E8B58D4226A}" sibTransId="{9AF4A6F8-B57B-450D-9B1B-2B7EF825CEB2}"/>
    <dgm:cxn modelId="{6C31E378-90DF-4597-A13F-3207A217C757}" type="presOf" srcId="{BB4989ED-B476-47C1-BA28-9FD37D55A448}" destId="{16978D53-DD3D-45DA-AACD-3956B0F5FC15}" srcOrd="0" destOrd="0" presId="urn:microsoft.com/office/officeart/2005/8/layout/radial1"/>
    <dgm:cxn modelId="{3E8ED0C1-DE57-4AEC-87B6-4733756C33F4}" type="presOf" srcId="{7A76F05D-B190-4A22-A68C-52208FF291DD}" destId="{0FA75166-4506-4E59-806D-2420EBD33EFA}" srcOrd="0" destOrd="0" presId="urn:microsoft.com/office/officeart/2005/8/layout/radial1"/>
    <dgm:cxn modelId="{7DAE82C7-8275-4CDB-B5D7-FDFD0E42E6FD}" type="presParOf" srcId="{16978D53-DD3D-45DA-AACD-3956B0F5FC15}" destId="{EF8F11D6-D313-4352-B17A-6859B280B046}" srcOrd="0" destOrd="0" presId="urn:microsoft.com/office/officeart/2005/8/layout/radial1"/>
    <dgm:cxn modelId="{F8D3ACD1-02EE-4307-9887-1734FCE8A44C}" type="presParOf" srcId="{16978D53-DD3D-45DA-AACD-3956B0F5FC15}" destId="{AC59A879-A5F4-4F48-A5D7-310A22EC4B9B}" srcOrd="1" destOrd="0" presId="urn:microsoft.com/office/officeart/2005/8/layout/radial1"/>
    <dgm:cxn modelId="{433BF9F9-BA6F-4B3D-BF06-85B837F9F1E5}" type="presParOf" srcId="{AC59A879-A5F4-4F48-A5D7-310A22EC4B9B}" destId="{712F6238-28C6-4E37-B01D-31E2A954CFC2}" srcOrd="0" destOrd="0" presId="urn:microsoft.com/office/officeart/2005/8/layout/radial1"/>
    <dgm:cxn modelId="{C145957D-3CD5-4A62-993B-F01CA45699A0}" type="presParOf" srcId="{16978D53-DD3D-45DA-AACD-3956B0F5FC15}" destId="{A24118AF-73BA-44AC-9CC6-F1471AF79D9E}" srcOrd="2" destOrd="0" presId="urn:microsoft.com/office/officeart/2005/8/layout/radial1"/>
    <dgm:cxn modelId="{0C8D43EA-6CD7-400E-9F35-426E7F3221BE}" type="presParOf" srcId="{16978D53-DD3D-45DA-AACD-3956B0F5FC15}" destId="{0FA75166-4506-4E59-806D-2420EBD33EFA}" srcOrd="3" destOrd="0" presId="urn:microsoft.com/office/officeart/2005/8/layout/radial1"/>
    <dgm:cxn modelId="{A9E37B07-ACB5-499C-A424-CE18811C492A}" type="presParOf" srcId="{0FA75166-4506-4E59-806D-2420EBD33EFA}" destId="{640D536F-9AB3-462D-9E3A-BE4491220184}" srcOrd="0" destOrd="0" presId="urn:microsoft.com/office/officeart/2005/8/layout/radial1"/>
    <dgm:cxn modelId="{9BD1DF8B-51B6-46CF-8C21-5361045F0A1C}" type="presParOf" srcId="{16978D53-DD3D-45DA-AACD-3956B0F5FC15}" destId="{DFDB3B38-28FD-40B9-BB10-3AD3077A679B}" srcOrd="4" destOrd="0" presId="urn:microsoft.com/office/officeart/2005/8/layout/radial1"/>
    <dgm:cxn modelId="{E9875657-9637-46C2-A9A2-DB874DED3278}" type="presParOf" srcId="{16978D53-DD3D-45DA-AACD-3956B0F5FC15}" destId="{97F007E8-67B1-46D0-B482-5042E9ED9FDC}" srcOrd="5" destOrd="0" presId="urn:microsoft.com/office/officeart/2005/8/layout/radial1"/>
    <dgm:cxn modelId="{66BA4C24-04D5-4B2A-82D1-FB7CE7DB71A7}" type="presParOf" srcId="{97F007E8-67B1-46D0-B482-5042E9ED9FDC}" destId="{5A221069-0312-4652-A4D4-816E4D438AB5}" srcOrd="0" destOrd="0" presId="urn:microsoft.com/office/officeart/2005/8/layout/radial1"/>
    <dgm:cxn modelId="{89E0E753-7A30-4C45-92BB-B479BB8531FB}" type="presParOf" srcId="{16978D53-DD3D-45DA-AACD-3956B0F5FC15}" destId="{B8610748-9D19-4F88-82FE-97A9D57F05B8}" srcOrd="6" destOrd="0" presId="urn:microsoft.com/office/officeart/2005/8/layout/radial1"/>
    <dgm:cxn modelId="{0BC893CA-7EF8-4F56-84B1-E1A1B3A590B7}" type="presParOf" srcId="{16978D53-DD3D-45DA-AACD-3956B0F5FC15}" destId="{E6ABDA48-FEFE-41A6-8EEC-81231A28FA55}" srcOrd="7" destOrd="0" presId="urn:microsoft.com/office/officeart/2005/8/layout/radial1"/>
    <dgm:cxn modelId="{1D5C9F40-EA06-4CEB-BE5A-9CFAF8A37253}" type="presParOf" srcId="{E6ABDA48-FEFE-41A6-8EEC-81231A28FA55}" destId="{83BBA460-EA4A-4FD6-BAD4-8F87E7B6AE42}" srcOrd="0" destOrd="0" presId="urn:microsoft.com/office/officeart/2005/8/layout/radial1"/>
    <dgm:cxn modelId="{89F2BC20-3C0C-4D6E-966A-7DF4D18D8D2F}" type="presParOf" srcId="{16978D53-DD3D-45DA-AACD-3956B0F5FC15}" destId="{E83DC592-319C-44A5-AEA8-BCB084037139}" srcOrd="8" destOrd="0" presId="urn:microsoft.com/office/officeart/2005/8/layout/radial1"/>
    <dgm:cxn modelId="{FFB34492-2BC7-48DE-8FD7-D991122BEA76}" type="presParOf" srcId="{16978D53-DD3D-45DA-AACD-3956B0F5FC15}" destId="{1B272C1F-FE50-4B79-AFB0-522F20A82231}" srcOrd="9" destOrd="0" presId="urn:microsoft.com/office/officeart/2005/8/layout/radial1"/>
    <dgm:cxn modelId="{5986F94E-FC71-435C-A389-15602A355EE9}" type="presParOf" srcId="{1B272C1F-FE50-4B79-AFB0-522F20A82231}" destId="{F5698B3C-B0CB-451A-AD94-E577ECBDA3F7}" srcOrd="0" destOrd="0" presId="urn:microsoft.com/office/officeart/2005/8/layout/radial1"/>
    <dgm:cxn modelId="{56E49DA9-944A-48F5-8925-A4618AF6CA70}" type="presParOf" srcId="{16978D53-DD3D-45DA-AACD-3956B0F5FC15}" destId="{BCCB3AB7-B652-427A-9C23-C083D3F9BB8E}" srcOrd="10" destOrd="0" presId="urn:microsoft.com/office/officeart/2005/8/layout/radial1"/>
  </dgm:cxnLst>
  <dgm:bg/>
  <dgm:whole/>
  <dgm:extLst>
    <a:ext uri="http://schemas.microsoft.com/office/drawing/2008/diagram">
      <dsp:dataModelExt xmlns:dsp="http://schemas.microsoft.com/office/drawing/2008/diagram" xmlns="" relId="rId4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0A0D98707D6D14382705C28BD3DAFF2" ma:contentTypeVersion="12" ma:contentTypeDescription="Create a new document." ma:contentTypeScope="" ma:versionID="177090b7b65d57bc8b4e4996af234d27">
  <xsd:schema xmlns:xsd="http://www.w3.org/2001/XMLSchema" xmlns:xs="http://www.w3.org/2001/XMLSchema" xmlns:p="http://schemas.microsoft.com/office/2006/metadata/properties" xmlns:ns2="386de3d6-2396-4a1e-a671-ff3350186e3c" xmlns:ns3="7503a2dd-7db4-45f7-acbc-701e7d83fdf7" targetNamespace="http://schemas.microsoft.com/office/2006/metadata/properties" ma:root="true" ma:fieldsID="3628bae09db8a85400ba74fe10fd8eb8" ns2:_="" ns3:_="">
    <xsd:import namespace="386de3d6-2396-4a1e-a671-ff3350186e3c"/>
    <xsd:import namespace="7503a2dd-7db4-45f7-acbc-701e7d83fdf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6de3d6-2396-4a1e-a671-ff3350186e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ceb2da71-f184-4254-8e62-0576d24e8d4c"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503a2dd-7db4-45f7-acbc-701e7d83fdf7"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aa537b6c-4bee-427e-afa1-1bbc601f9308}" ma:internalName="TaxCatchAll" ma:showField="CatchAllData" ma:web="7503a2dd-7db4-45f7-acbc-701e7d83fdf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86de3d6-2396-4a1e-a671-ff3350186e3c">
      <Terms xmlns="http://schemas.microsoft.com/office/infopath/2007/PartnerControls"/>
    </lcf76f155ced4ddcb4097134ff3c332f>
    <TaxCatchAll xmlns="7503a2dd-7db4-45f7-acbc-701e7d83fdf7" xsi:nil="true"/>
  </documentManagement>
</p:properties>
</file>

<file path=customXml/itemProps1.xml><?xml version="1.0" encoding="utf-8"?>
<ds:datastoreItem xmlns:ds="http://schemas.openxmlformats.org/officeDocument/2006/customXml" ds:itemID="{4085B75F-E796-4C2F-826F-E182A16F998F}"/>
</file>

<file path=customXml/itemProps2.xml><?xml version="1.0" encoding="utf-8"?>
<ds:datastoreItem xmlns:ds="http://schemas.openxmlformats.org/officeDocument/2006/customXml" ds:itemID="{3B05BEDF-6110-4675-9472-197433C3A811}">
  <ds:schemaRefs>
    <ds:schemaRef ds:uri="http://schemas.microsoft.com/sharepoint/v3/contenttype/forms"/>
  </ds:schemaRefs>
</ds:datastoreItem>
</file>

<file path=customXml/itemProps3.xml><?xml version="1.0" encoding="utf-8"?>
<ds:datastoreItem xmlns:ds="http://schemas.openxmlformats.org/officeDocument/2006/customXml" ds:itemID="{556A1D84-9D81-48F7-9EA2-7BA172685E83}">
  <ds:schemaRefs>
    <ds:schemaRef ds:uri="http://schemas.openxmlformats.org/officeDocument/2006/bibliography"/>
  </ds:schemaRefs>
</ds:datastoreItem>
</file>

<file path=customXml/itemProps4.xml><?xml version="1.0" encoding="utf-8"?>
<ds:datastoreItem xmlns:ds="http://schemas.openxmlformats.org/officeDocument/2006/customXml" ds:itemID="{44D5B05A-2458-4772-BA11-60C9A336D8CB}"/>
</file>

<file path=docProps/app.xml><?xml version="1.0" encoding="utf-8"?>
<Properties xmlns="http://schemas.openxmlformats.org/officeDocument/2006/extended-properties" xmlns:vt="http://schemas.openxmlformats.org/officeDocument/2006/docPropsVTypes">
  <Template>Normal.dotm</Template>
  <TotalTime>33</TotalTime>
  <Pages>77</Pages>
  <Words>14521</Words>
  <Characters>82773</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Hexaware RFP to Citi</vt:lpstr>
    </vt:vector>
  </TitlesOfParts>
  <Company>Hexaware</Company>
  <LinksUpToDate>false</LinksUpToDate>
  <CharactersWithSpaces>97100</CharactersWithSpaces>
  <SharedDoc>false</SharedDoc>
  <HLinks>
    <vt:vector size="114" baseType="variant">
      <vt:variant>
        <vt:i4>2424912</vt:i4>
      </vt:variant>
      <vt:variant>
        <vt:i4>111</vt:i4>
      </vt:variant>
      <vt:variant>
        <vt:i4>0</vt:i4>
      </vt:variant>
      <vt:variant>
        <vt:i4>5</vt:i4>
      </vt:variant>
      <vt:variant>
        <vt:lpwstr>mailto:jsd4@ntrs.com</vt:lpwstr>
      </vt:variant>
      <vt:variant>
        <vt:lpwstr/>
      </vt:variant>
      <vt:variant>
        <vt:i4>1114168</vt:i4>
      </vt:variant>
      <vt:variant>
        <vt:i4>104</vt:i4>
      </vt:variant>
      <vt:variant>
        <vt:i4>0</vt:i4>
      </vt:variant>
      <vt:variant>
        <vt:i4>5</vt:i4>
      </vt:variant>
      <vt:variant>
        <vt:lpwstr/>
      </vt:variant>
      <vt:variant>
        <vt:lpwstr>_Toc259031021</vt:lpwstr>
      </vt:variant>
      <vt:variant>
        <vt:i4>1114168</vt:i4>
      </vt:variant>
      <vt:variant>
        <vt:i4>98</vt:i4>
      </vt:variant>
      <vt:variant>
        <vt:i4>0</vt:i4>
      </vt:variant>
      <vt:variant>
        <vt:i4>5</vt:i4>
      </vt:variant>
      <vt:variant>
        <vt:lpwstr/>
      </vt:variant>
      <vt:variant>
        <vt:lpwstr>_Toc259031020</vt:lpwstr>
      </vt:variant>
      <vt:variant>
        <vt:i4>1179704</vt:i4>
      </vt:variant>
      <vt:variant>
        <vt:i4>92</vt:i4>
      </vt:variant>
      <vt:variant>
        <vt:i4>0</vt:i4>
      </vt:variant>
      <vt:variant>
        <vt:i4>5</vt:i4>
      </vt:variant>
      <vt:variant>
        <vt:lpwstr/>
      </vt:variant>
      <vt:variant>
        <vt:lpwstr>_Toc259031019</vt:lpwstr>
      </vt:variant>
      <vt:variant>
        <vt:i4>1179704</vt:i4>
      </vt:variant>
      <vt:variant>
        <vt:i4>86</vt:i4>
      </vt:variant>
      <vt:variant>
        <vt:i4>0</vt:i4>
      </vt:variant>
      <vt:variant>
        <vt:i4>5</vt:i4>
      </vt:variant>
      <vt:variant>
        <vt:lpwstr/>
      </vt:variant>
      <vt:variant>
        <vt:lpwstr>_Toc259031018</vt:lpwstr>
      </vt:variant>
      <vt:variant>
        <vt:i4>1179704</vt:i4>
      </vt:variant>
      <vt:variant>
        <vt:i4>80</vt:i4>
      </vt:variant>
      <vt:variant>
        <vt:i4>0</vt:i4>
      </vt:variant>
      <vt:variant>
        <vt:i4>5</vt:i4>
      </vt:variant>
      <vt:variant>
        <vt:lpwstr/>
      </vt:variant>
      <vt:variant>
        <vt:lpwstr>_Toc259031017</vt:lpwstr>
      </vt:variant>
      <vt:variant>
        <vt:i4>1179704</vt:i4>
      </vt:variant>
      <vt:variant>
        <vt:i4>74</vt:i4>
      </vt:variant>
      <vt:variant>
        <vt:i4>0</vt:i4>
      </vt:variant>
      <vt:variant>
        <vt:i4>5</vt:i4>
      </vt:variant>
      <vt:variant>
        <vt:lpwstr/>
      </vt:variant>
      <vt:variant>
        <vt:lpwstr>_Toc259031016</vt:lpwstr>
      </vt:variant>
      <vt:variant>
        <vt:i4>1179704</vt:i4>
      </vt:variant>
      <vt:variant>
        <vt:i4>68</vt:i4>
      </vt:variant>
      <vt:variant>
        <vt:i4>0</vt:i4>
      </vt:variant>
      <vt:variant>
        <vt:i4>5</vt:i4>
      </vt:variant>
      <vt:variant>
        <vt:lpwstr/>
      </vt:variant>
      <vt:variant>
        <vt:lpwstr>_Toc259031015</vt:lpwstr>
      </vt:variant>
      <vt:variant>
        <vt:i4>1179704</vt:i4>
      </vt:variant>
      <vt:variant>
        <vt:i4>62</vt:i4>
      </vt:variant>
      <vt:variant>
        <vt:i4>0</vt:i4>
      </vt:variant>
      <vt:variant>
        <vt:i4>5</vt:i4>
      </vt:variant>
      <vt:variant>
        <vt:lpwstr/>
      </vt:variant>
      <vt:variant>
        <vt:lpwstr>_Toc259031014</vt:lpwstr>
      </vt:variant>
      <vt:variant>
        <vt:i4>1179704</vt:i4>
      </vt:variant>
      <vt:variant>
        <vt:i4>56</vt:i4>
      </vt:variant>
      <vt:variant>
        <vt:i4>0</vt:i4>
      </vt:variant>
      <vt:variant>
        <vt:i4>5</vt:i4>
      </vt:variant>
      <vt:variant>
        <vt:lpwstr/>
      </vt:variant>
      <vt:variant>
        <vt:lpwstr>_Toc259031013</vt:lpwstr>
      </vt:variant>
      <vt:variant>
        <vt:i4>1179704</vt:i4>
      </vt:variant>
      <vt:variant>
        <vt:i4>50</vt:i4>
      </vt:variant>
      <vt:variant>
        <vt:i4>0</vt:i4>
      </vt:variant>
      <vt:variant>
        <vt:i4>5</vt:i4>
      </vt:variant>
      <vt:variant>
        <vt:lpwstr/>
      </vt:variant>
      <vt:variant>
        <vt:lpwstr>_Toc259031012</vt:lpwstr>
      </vt:variant>
      <vt:variant>
        <vt:i4>1179704</vt:i4>
      </vt:variant>
      <vt:variant>
        <vt:i4>44</vt:i4>
      </vt:variant>
      <vt:variant>
        <vt:i4>0</vt:i4>
      </vt:variant>
      <vt:variant>
        <vt:i4>5</vt:i4>
      </vt:variant>
      <vt:variant>
        <vt:lpwstr/>
      </vt:variant>
      <vt:variant>
        <vt:lpwstr>_Toc259031011</vt:lpwstr>
      </vt:variant>
      <vt:variant>
        <vt:i4>1179704</vt:i4>
      </vt:variant>
      <vt:variant>
        <vt:i4>38</vt:i4>
      </vt:variant>
      <vt:variant>
        <vt:i4>0</vt:i4>
      </vt:variant>
      <vt:variant>
        <vt:i4>5</vt:i4>
      </vt:variant>
      <vt:variant>
        <vt:lpwstr/>
      </vt:variant>
      <vt:variant>
        <vt:lpwstr>_Toc259031010</vt:lpwstr>
      </vt:variant>
      <vt:variant>
        <vt:i4>1245240</vt:i4>
      </vt:variant>
      <vt:variant>
        <vt:i4>32</vt:i4>
      </vt:variant>
      <vt:variant>
        <vt:i4>0</vt:i4>
      </vt:variant>
      <vt:variant>
        <vt:i4>5</vt:i4>
      </vt:variant>
      <vt:variant>
        <vt:lpwstr/>
      </vt:variant>
      <vt:variant>
        <vt:lpwstr>_Toc259031009</vt:lpwstr>
      </vt:variant>
      <vt:variant>
        <vt:i4>1245240</vt:i4>
      </vt:variant>
      <vt:variant>
        <vt:i4>26</vt:i4>
      </vt:variant>
      <vt:variant>
        <vt:i4>0</vt:i4>
      </vt:variant>
      <vt:variant>
        <vt:i4>5</vt:i4>
      </vt:variant>
      <vt:variant>
        <vt:lpwstr/>
      </vt:variant>
      <vt:variant>
        <vt:lpwstr>_Toc259031008</vt:lpwstr>
      </vt:variant>
      <vt:variant>
        <vt:i4>1245240</vt:i4>
      </vt:variant>
      <vt:variant>
        <vt:i4>20</vt:i4>
      </vt:variant>
      <vt:variant>
        <vt:i4>0</vt:i4>
      </vt:variant>
      <vt:variant>
        <vt:i4>5</vt:i4>
      </vt:variant>
      <vt:variant>
        <vt:lpwstr/>
      </vt:variant>
      <vt:variant>
        <vt:lpwstr>_Toc259031007</vt:lpwstr>
      </vt:variant>
      <vt:variant>
        <vt:i4>1245240</vt:i4>
      </vt:variant>
      <vt:variant>
        <vt:i4>14</vt:i4>
      </vt:variant>
      <vt:variant>
        <vt:i4>0</vt:i4>
      </vt:variant>
      <vt:variant>
        <vt:i4>5</vt:i4>
      </vt:variant>
      <vt:variant>
        <vt:lpwstr/>
      </vt:variant>
      <vt:variant>
        <vt:lpwstr>_Toc259031006</vt:lpwstr>
      </vt:variant>
      <vt:variant>
        <vt:i4>1245240</vt:i4>
      </vt:variant>
      <vt:variant>
        <vt:i4>8</vt:i4>
      </vt:variant>
      <vt:variant>
        <vt:i4>0</vt:i4>
      </vt:variant>
      <vt:variant>
        <vt:i4>5</vt:i4>
      </vt:variant>
      <vt:variant>
        <vt:lpwstr/>
      </vt:variant>
      <vt:variant>
        <vt:lpwstr>_Toc259031005</vt:lpwstr>
      </vt:variant>
      <vt:variant>
        <vt:i4>1245240</vt:i4>
      </vt:variant>
      <vt:variant>
        <vt:i4>2</vt:i4>
      </vt:variant>
      <vt:variant>
        <vt:i4>0</vt:i4>
      </vt:variant>
      <vt:variant>
        <vt:i4>5</vt:i4>
      </vt:variant>
      <vt:variant>
        <vt:lpwstr/>
      </vt:variant>
      <vt:variant>
        <vt:lpwstr>_Toc259031004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Hexaware RFP to Citi</dc:title>
  <dc:subject>Hexaware RFP to Citi</dc:subject>
  <dc:creator>Hexaware</dc:creator>
  <cp:keywords>Proposal</cp:keywords>
  <cp:lastModifiedBy>2322</cp:lastModifiedBy>
  <cp:revision>18</cp:revision>
  <cp:lastPrinted>2009-08-13T14:57:00Z</cp:lastPrinted>
  <dcterms:created xsi:type="dcterms:W3CDTF">2010-04-19T08:45:00Z</dcterms:created>
  <dcterms:modified xsi:type="dcterms:W3CDTF">2010-04-19T10:07:00Z</dcterms:modified>
  <cp:category>Proposal</cp:category>
  <cp:contentStatus>Active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0x01010060A0D98707D6D14382705C28BD3DAFF2</vt:lpwstr>
  </property>
</Properties>
</file>