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300"/>
        <w:jc w:val="center"/>
      </w:pPr>
      <w:r>
        <w:t xml:space="preserve">DentalExplain</w:t>
      </w:r>
    </w:p>
    <w:p>
      <w:pPr>
        <w:spacing w:after="1500"/>
        <w:jc w:val="center"/>
      </w:pPr>
      <w:r>
        <w:rPr>
          <w:rFonts w:ascii="Times New Roman" w:cs="Times New Roman" w:eastAsia="Times New Roman" w:hAnsi="Times New Roman"/>
          <w:sz w:val="32"/>
          <w:szCs w:val="32"/>
        </w:rPr>
        <w:t xml:space="preserve">A Dental Diagnosis Expert System</w:t>
      </w:r>
    </w:p>
    <w:p>
      <w:pPr>
        <w:spacing w:after="120" w:line="270"/>
        <w:jc w:val="center"/>
      </w:pPr>
      <w:r>
        <w:rPr>
          <w:rFonts w:ascii="Times New Roman" w:cs="Times New Roman" w:eastAsia="Times New Roman" w:hAnsi="Times New Roman"/>
        </w:rPr>
        <w:t xml:space="preserve">Vishwa Jayawickrama</w:t>
      </w:r>
    </w:p>
    <w:p>
      <w:pPr>
        <w:spacing w:after="120" w:line="270"/>
        <w:jc w:val="center"/>
      </w:pPr>
      <w:r>
        <w:rPr>
          <w:rFonts w:ascii="Times New Roman" w:cs="Times New Roman" w:eastAsia="Times New Roman" w:hAnsi="Times New Roman"/>
        </w:rPr>
        <w:t xml:space="preserve">CM3321</w:t>
      </w:r>
    </w:p>
    <w:p>
      <w:pPr>
        <w:spacing w:after="120" w:line="270"/>
        <w:jc w:val="center"/>
      </w:pPr>
      <w:r>
        <w:rPr>
          <w:rFonts w:ascii="Times New Roman" w:cs="Times New Roman" w:eastAsia="Times New Roman" w:hAnsi="Times New Roman"/>
        </w:rPr>
        <w:t xml:space="preserve">Logic Programming and Artificial Cognitive Systems</w:t>
      </w:r>
    </w:p>
    <w:p>
      <w:pPr>
        <w:spacing w:after="120" w:line="270"/>
        <w:jc w:val="center"/>
      </w:pPr>
      <w:r>
        <w:rPr>
          <w:rFonts w:ascii="Times New Roman" w:cs="Times New Roman" w:eastAsia="Times New Roman" w:hAnsi="Times New Roman"/>
        </w:rPr>
        <w:t xml:space="preserve">29 September 2026</w:t>
      </w:r>
    </w:p>
    <w:p>
      <w:pPr>
        <w:spacing w:after="120" w:before="700"/>
        <w:jc w:val="center"/>
      </w:pPr>
      <w:r>
        <w:rPr>
          <w:rFonts w:ascii="Times New Roman" w:cs="Times New Roman" w:eastAsia="Times New Roman" w:hAnsi="Times New Roman"/>
        </w:rPr>
        <w:t xml:space="preserve">Application 1.3.0   Knowledge 0.4.0</w:t>
      </w:r>
    </w:p>
    <w:p>
      <w:pPr>
        <w:pStyle w:val="Heading1"/>
        <w:keepNext/>
        <w:pageBreakBefore/>
        <w:spacing w:after="140" w:before="0"/>
      </w:pPr>
      <w:r>
        <w:t xml:space="preserve">Abstract</w:t>
      </w:r>
    </w:p>
    <w:p>
      <w:pPr>
        <w:spacing w:after="120" w:line="270"/>
      </w:pPr>
      <w:r>
        <w:rPr>
          <w:rFonts w:ascii="Times New Roman" w:cs="Times New Roman" w:eastAsia="Times New Roman" w:hAnsi="Times New Roman"/>
        </w:rPr>
        <w:t xml:space="preserve">DentalExplain is a native desktop expert system for assessing common tooth-pain and gum-symptom presentations from predefined consultation answers and dentist-supplied examination findings. The application supports five candidate conditions: dental caries, reversible pulpitis, symptomatic irreversible pulpitis, gingivitis and periodontitis. Java Swing provides the interface, while SWI-Prolog 10.0.2 performs validation, adaptive question routing and explicit forward chaining through JPL.</w:t>
      </w:r>
    </w:p>
    <w:p>
      <w:pPr>
        <w:spacing w:after="120" w:line="270"/>
      </w:pPr>
      <w:r>
        <w:rPr>
          <w:rFonts w:ascii="Times New Roman" w:cs="Times New Roman" w:eastAsia="Times New Roman" w:hAnsi="Times New Roman"/>
        </w:rPr>
        <w:t xml:space="preserve">The knowledge base contains 30 authored domain facts and 25 production rules. A separate catalogue defines 27 questions: two setup fields, eight reported-symptom questions and 17 examination questions. The consultation uses two adaptive questionnaire steps, preserves applicable answers during Back navigation and excludes answers when their parent makes them inapplicable. Inference evaluates the complete condition catalogue and permits coexisting candidates. Unknown information remains distinct from explicit absence.</w:t>
      </w:r>
    </w:p>
    <w:p>
      <w:pPr>
        <w:spacing w:after="120" w:line="270"/>
      </w:pPr>
      <w:r>
        <w:rPr>
          <w:rFonts w:ascii="Times New Roman" w:cs="Times New Roman" w:eastAsia="Times New Roman" w:hAnsi="Times New Roman"/>
        </w:rPr>
        <w:t xml:space="preserve">Twenty synthetic acceptance cases and 51 Prolog checks pass. Java integration and interface checks, together with external-runtime verification, pass on Apple Silicon macOS, Windows x64 and Ubuntu 24.04 x64. Manual desktop verification was performed on macOS; Windows and Linux verification was automated. The lightweight submission includes installation scripts, runtime-free application files, and interface and Prolog source. Kushala Jayawickrama, a final-year fifth-year Dental Surgery undergraduate at the University of Peradeniya, is the project's human expert. The questionnaire was conducted with her, and her input together with published dental sources informed the facts and rules. Clinical validation remains pending.</w:t>
      </w:r>
    </w:p>
    <w:p>
      <w:pPr>
        <w:pStyle w:val="Heading1"/>
        <w:keepNext/>
        <w:pageBreakBefore/>
        <w:spacing w:after="140" w:before="0"/>
      </w:pPr>
      <w:r>
        <w:t xml:space="preserve">Contents</w:t>
      </w:r>
    </w:p>
    <w:p>
      <w:pPr>
        <w:tabs>
          <w:tab w:val="right" w:pos="9360" w:leader="dot"/>
        </w:tabs>
        <w:spacing w:after="155"/>
      </w:pPr>
      <w:r>
        <w:rPr>
          <w:rFonts w:ascii="Times New Roman" w:cs="Times New Roman" w:eastAsia="Times New Roman" w:hAnsi="Times New Roman"/>
        </w:rPr>
        <w:t xml:space="preserve">Abstract	2</w:t>
      </w:r>
    </w:p>
    <w:p>
      <w:pPr>
        <w:tabs>
          <w:tab w:val="right" w:pos="9360" w:leader="dot"/>
        </w:tabs>
        <w:spacing w:after="155"/>
      </w:pPr>
      <w:r>
        <w:rPr>
          <w:rFonts w:ascii="Times New Roman" w:cs="Times New Roman" w:eastAsia="Times New Roman" w:hAnsi="Times New Roman"/>
        </w:rPr>
        <w:t xml:space="preserve">1 Introduction	4</w:t>
      </w:r>
    </w:p>
    <w:p>
      <w:pPr>
        <w:tabs>
          <w:tab w:val="right" w:pos="9360" w:leader="dot"/>
        </w:tabs>
        <w:spacing w:after="155"/>
      </w:pPr>
      <w:r>
        <w:rPr>
          <w:rFonts w:ascii="Times New Roman" w:cs="Times New Roman" w:eastAsia="Times New Roman" w:hAnsi="Times New Roman"/>
        </w:rPr>
        <w:t xml:space="preserve">2 Domain Definition and Scope	5</w:t>
      </w:r>
    </w:p>
    <w:p>
      <w:pPr>
        <w:tabs>
          <w:tab w:val="right" w:pos="9360" w:leader="dot"/>
        </w:tabs>
        <w:spacing w:after="155"/>
      </w:pPr>
      <w:r>
        <w:rPr>
          <w:rFonts w:ascii="Times New Roman" w:cs="Times New Roman" w:eastAsia="Times New Roman" w:hAnsi="Times New Roman"/>
        </w:rPr>
        <w:t xml:space="preserve">3 Knowledge Acquisition	6</w:t>
      </w:r>
    </w:p>
    <w:p>
      <w:pPr>
        <w:tabs>
          <w:tab w:val="right" w:pos="9360" w:leader="dot"/>
        </w:tabs>
        <w:spacing w:after="155"/>
      </w:pPr>
      <w:r>
        <w:rPr>
          <w:rFonts w:ascii="Times New Roman" w:cs="Times New Roman" w:eastAsia="Times New Roman" w:hAnsi="Times New Roman"/>
        </w:rPr>
        <w:t xml:space="preserve">4 Expert System Architecture	7</w:t>
      </w:r>
    </w:p>
    <w:p>
      <w:pPr>
        <w:tabs>
          <w:tab w:val="right" w:pos="9360" w:leader="dot"/>
        </w:tabs>
        <w:spacing w:after="155"/>
      </w:pPr>
      <w:r>
        <w:rPr>
          <w:rFonts w:ascii="Times New Roman" w:cs="Times New Roman" w:eastAsia="Times New Roman" w:hAnsi="Times New Roman"/>
        </w:rPr>
        <w:t xml:space="preserve">5 Knowledge Representation	9</w:t>
      </w:r>
    </w:p>
    <w:p>
      <w:pPr>
        <w:tabs>
          <w:tab w:val="right" w:pos="9360" w:leader="dot"/>
        </w:tabs>
        <w:spacing w:after="155"/>
      </w:pPr>
      <w:r>
        <w:rPr>
          <w:rFonts w:ascii="Times New Roman" w:cs="Times New Roman" w:eastAsia="Times New Roman" w:hAnsi="Times New Roman"/>
        </w:rPr>
        <w:t xml:space="preserve">6 Inference Method	10</w:t>
      </w:r>
    </w:p>
    <w:p>
      <w:pPr>
        <w:tabs>
          <w:tab w:val="right" w:pos="9360" w:leader="dot"/>
        </w:tabs>
        <w:spacing w:after="155"/>
      </w:pPr>
      <w:r>
        <w:rPr>
          <w:rFonts w:ascii="Times New Roman" w:cs="Times New Roman" w:eastAsia="Times New Roman" w:hAnsi="Times New Roman"/>
        </w:rPr>
        <w:t xml:space="preserve">7 System Design and Implementation	11</w:t>
      </w:r>
    </w:p>
    <w:p>
      <w:pPr>
        <w:tabs>
          <w:tab w:val="right" w:pos="9360" w:leader="dot"/>
        </w:tabs>
        <w:spacing w:after="155"/>
      </w:pPr>
      <w:r>
        <w:rPr>
          <w:rFonts w:ascii="Times New Roman" w:cs="Times New Roman" w:eastAsia="Times New Roman" w:hAnsi="Times New Roman"/>
        </w:rPr>
        <w:t xml:space="preserve">8 Testing and Evaluation	18</w:t>
      </w:r>
    </w:p>
    <w:p>
      <w:pPr>
        <w:tabs>
          <w:tab w:val="right" w:pos="9360" w:leader="dot"/>
        </w:tabs>
        <w:spacing w:after="155"/>
      </w:pPr>
      <w:r>
        <w:rPr>
          <w:rFonts w:ascii="Times New Roman" w:cs="Times New Roman" w:eastAsia="Times New Roman" w:hAnsi="Times New Roman"/>
        </w:rPr>
        <w:t xml:space="preserve">9 Conclusion	20</w:t>
      </w:r>
    </w:p>
    <w:p>
      <w:pPr>
        <w:tabs>
          <w:tab w:val="right" w:pos="9360" w:leader="dot"/>
        </w:tabs>
        <w:spacing w:after="155"/>
      </w:pPr>
      <w:r>
        <w:rPr>
          <w:rFonts w:ascii="Times New Roman" w:cs="Times New Roman" w:eastAsia="Times New Roman" w:hAnsi="Times New Roman"/>
        </w:rPr>
        <w:t xml:space="preserve">References	21</w:t>
      </w:r>
    </w:p>
    <w:p>
      <w:pPr>
        <w:tabs>
          <w:tab w:val="right" w:pos="9360" w:leader="dot"/>
        </w:tabs>
        <w:spacing w:after="155"/>
      </w:pPr>
      <w:r>
        <w:rPr>
          <w:rFonts w:ascii="Times New Roman" w:cs="Times New Roman" w:eastAsia="Times New Roman" w:hAnsi="Times New Roman"/>
        </w:rPr>
        <w:t xml:space="preserve">Appendix A User Manual	22</w:t>
      </w:r>
    </w:p>
    <w:p>
      <w:pPr>
        <w:tabs>
          <w:tab w:val="right" w:pos="9360" w:leader="dot"/>
        </w:tabs>
        <w:spacing w:after="155"/>
      </w:pPr>
      <w:r>
        <w:rPr>
          <w:rFonts w:ascii="Times New Roman" w:cs="Times New Roman" w:eastAsia="Times New Roman" w:hAnsi="Times New Roman"/>
        </w:rPr>
        <w:t xml:space="preserve">Appendix B Human Expert Questionnaire	23</w:t>
      </w:r>
    </w:p>
    <w:p>
      <w:pPr>
        <w:tabs>
          <w:tab w:val="right" w:pos="9360" w:leader="dot"/>
        </w:tabs>
        <w:spacing w:after="155"/>
      </w:pPr>
      <w:r>
        <w:rPr>
          <w:rFonts w:ascii="Times New Roman" w:cs="Times New Roman" w:eastAsia="Times New Roman" w:hAnsi="Times New Roman"/>
        </w:rPr>
        <w:t xml:space="preserve">Appendix C Knowledge Catalogue	24</w:t>
      </w:r>
    </w:p>
    <w:p>
      <w:pPr>
        <w:pStyle w:val="Heading1"/>
        <w:keepNext/>
        <w:pageBreakBefore/>
        <w:spacing w:after="140" w:before="0"/>
      </w:pPr>
      <w:r>
        <w:t xml:space="preserve">1 Introduction</w:t>
      </w:r>
    </w:p>
    <w:p>
      <w:pPr>
        <w:pStyle w:val="Heading2"/>
        <w:keepNext/>
        <w:spacing w:after="140" w:before="220"/>
      </w:pPr>
      <w:r>
        <w:t xml:space="preserve">1.1 Background</w:t>
      </w:r>
    </w:p>
    <w:p>
      <w:pPr>
        <w:spacing w:after="120" w:line="270"/>
      </w:pPr>
      <w:r>
        <w:rPr>
          <w:rFonts w:ascii="Times New Roman" w:cs="Times New Roman" w:eastAsia="Times New Roman" w:hAnsi="Times New Roman"/>
        </w:rPr>
        <w:t xml:space="preserve">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pPr>
        <w:spacing w:after="120" w:line="270"/>
      </w:pPr>
      <w:r>
        <w:rPr>
          <w:rFonts w:ascii="Times New Roman" w:cs="Times New Roman" w:eastAsia="Times New Roman" w:hAnsi="Times New Roman"/>
        </w:rPr>
        <w:t xml:space="preserve">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pPr>
        <w:pStyle w:val="Heading2"/>
        <w:keepNext/>
        <w:spacing w:after="140" w:before="220"/>
      </w:pPr>
      <w:r>
        <w:t xml:space="preserve">1.2 Problem statement</w:t>
      </w:r>
    </w:p>
    <w:p>
      <w:pPr>
        <w:spacing w:after="120" w:line="270"/>
      </w:pPr>
      <w:r>
        <w:rPr>
          <w:rFonts w:ascii="Times New Roman" w:cs="Times New Roman" w:eastAsia="Times New Roman" w:hAnsi="Times New Roman"/>
        </w:rPr>
        <w:t xml:space="preserve">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pPr>
        <w:spacing w:after="120" w:line="270"/>
      </w:pPr>
      <w:r>
        <w:rPr>
          <w:rFonts w:ascii="Times New Roman" w:cs="Times New Roman" w:eastAsia="Times New Roman" w:hAnsi="Times New Roman"/>
        </w:rPr>
        <w:t xml:space="preserve">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pPr>
        <w:pStyle w:val="Heading1"/>
        <w:keepNext/>
        <w:pageBreakBefore/>
        <w:spacing w:after="140" w:before="0"/>
      </w:pPr>
      <w:r>
        <w:t xml:space="preserve">2 Domain Definition and Scope</w:t>
      </w:r>
    </w:p>
    <w:p>
      <w:pPr>
        <w:pStyle w:val="Heading2"/>
        <w:keepNext/>
        <w:spacing w:after="140" w:before="220"/>
      </w:pPr>
      <w:r>
        <w:t xml:space="preserve">2.1 Specific domain</w:t>
      </w:r>
    </w:p>
    <w:p>
      <w:pPr>
        <w:spacing w:after="120" w:line="270"/>
      </w:pPr>
      <w:r>
        <w:rPr>
          <w:rFonts w:ascii="Times New Roman" w:cs="Times New Roman" w:eastAsia="Times New Roman" w:hAnsi="Times New Roman"/>
        </w:rPr>
        <w:t xml:space="preserve">The domain is dental diagnostic decision support for common tooth pain and gum symptoms across age groups, using reported symptoms, affected tooth type and explicitly supplied dental examination findings. The supported targets are dental caries, reversible pulpitis, symptomatic irreversible pulpitis, gingivitis and periodontitis.</w:t>
      </w:r>
    </w:p>
    <w:p>
      <w:pPr>
        <w:spacing w:after="120" w:line="270"/>
      </w:pPr>
      <w:r>
        <w:rPr>
          <w:rFonts w:ascii="Times New Roman" w:cs="Times New Roman" w:eastAsia="Times New Roman" w:hAnsi="Times New Roman"/>
        </w:rPr>
        <w:t xml:space="preserve">Age is selected as 0-5, 6-12, 13-17, 18-64 or 65-120 years. These are consultation context groups, not diagnostic thresholds. Affected tooth type and root maturity are supplied independently; the engine does not infer them from age.</w:t>
      </w:r>
    </w:p>
    <w:p>
      <w:pPr>
        <w:pStyle w:val="Heading2"/>
        <w:keepNext/>
        <w:spacing w:after="140" w:before="220"/>
      </w:pPr>
      <w:r>
        <w:t xml:space="preserve">2.2 Included scope</w:t>
      </w:r>
    </w:p>
    <w:p>
      <w:pPr>
        <w:spacing w:after="120" w:line="270"/>
      </w:pPr>
      <w:r>
        <w:rPr>
          <w:rFonts w:ascii="Times New Roman" w:cs="Times New Roman" w:eastAsia="Times New Roman" w:hAnsi="Times New Roman"/>
        </w:rPr>
        <w:t xml:space="preserve">The consultation collects two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pPr>
        <w:spacing w:after="120" w:line="270"/>
      </w:pPr>
      <w:r>
        <w:rPr>
          <w:rFonts w:ascii="Times New Roman" w:cs="Times New Roman" w:eastAsia="Times New Roman" w:hAnsi="Times New Roman"/>
        </w:rPr>
        <w:t xml:space="preserve">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pPr>
        <w:pStyle w:val="Heading2"/>
        <w:keepNext/>
        <w:spacing w:after="140" w:before="220"/>
      </w:pPr>
      <w:r>
        <w:t xml:space="preserve">2.3 Excluded scope</w:t>
      </w:r>
    </w:p>
    <w:p>
      <w:pPr>
        <w:spacing w:after="120" w:line="270"/>
      </w:pPr>
      <w:r>
        <w:rPr>
          <w:rFonts w:ascii="Times New Roman" w:cs="Times New Roman" w:eastAsia="Times New Roman" w:hAnsi="Times New Roman"/>
        </w:rPr>
        <w:t xml:space="preserve">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pPr>
        <w:pStyle w:val="Heading1"/>
        <w:keepNext/>
        <w:pageBreakBefore/>
        <w:spacing w:after="140" w:before="0"/>
      </w:pPr>
      <w:r>
        <w:t xml:space="preserve">3 Knowledge Acquisition</w:t>
      </w:r>
    </w:p>
    <w:p>
      <w:pPr>
        <w:pStyle w:val="Heading2"/>
        <w:keepNext/>
        <w:spacing w:after="140" w:before="220"/>
      </w:pPr>
      <w:r>
        <w:t xml:space="preserve">3.1 Human expert and knowledge sources</w:t>
      </w:r>
    </w:p>
    <w:p>
      <w:pPr>
        <w:spacing w:after="120" w:line="270"/>
      </w:pPr>
      <w:r>
        <w:rPr>
          <w:rFonts w:ascii="Times New Roman" w:cs="Times New Roman" w:eastAsia="Times New Roman" w:hAnsi="Times New Roman"/>
        </w:rPr>
        <w:t xml:space="preserve">Knowledge was acquired through a questionnaire conducted with the human expert and review of published dental sources. The expert's contribution and qualifications are recorded below.</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Name:</w:t>
      </w:r>
      <w:r>
        <w:rPr>
          <w:rFonts w:ascii="Times New Roman" w:cs="Times New Roman" w:eastAsia="Times New Roman" w:hAnsi="Times New Roman"/>
        </w:rPr>
        <w:t xml:space="preserve"> Kushala Jayawickrama.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Qualification:</w:t>
      </w:r>
      <w:r>
        <w:rPr>
          <w:rFonts w:ascii="Times New Roman" w:cs="Times New Roman" w:eastAsia="Times New Roman" w:hAnsi="Times New Roman"/>
        </w:rPr>
        <w:t xml:space="preserve"> Final-year fifth-year Dental Surgery undergraduate.</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University:</w:t>
      </w:r>
      <w:r>
        <w:rPr>
          <w:rFonts w:ascii="Times New Roman" w:cs="Times New Roman" w:eastAsia="Times New Roman" w:hAnsi="Times New Roman"/>
        </w:rPr>
        <w:t xml:space="preserve"> University of Peradeniya.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Contribution:</w:t>
      </w:r>
      <w:r>
        <w:rPr>
          <w:rFonts w:ascii="Times New Roman" w:cs="Times New Roman" w:eastAsia="Times New Roman" w:hAnsi="Times New Roman"/>
        </w:rPr>
        <w:t xml:space="preserve"> Her questionnaire input, together with published dental sources, informed the authored facts and production rules, including symptom distinctions, examination findings and dentition-related interpretation. The conducted questionnaire appears in Appendix B.</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Knowledge sources:</w:t>
      </w:r>
      <w:r>
        <w:rPr>
          <w:rFonts w:ascii="Times New Roman" w:cs="Times New Roman" w:eastAsia="Times New Roman" w:hAnsi="Times New Roman"/>
        </w:rPr>
        <w:t xml:space="preserve"> NIDCR caries information, AAE diagnostic terminology, AAPD pediatric pulp guidance, AAP gum-disease information and EFP periodontal classification references [1-6].</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Validation status:</w:t>
      </w:r>
      <w:r>
        <w:rPr>
          <w:rFonts w:ascii="Times New Roman" w:cs="Times New Roman" w:eastAsia="Times New Roman" w:hAnsi="Times New Roman"/>
        </w:rPr>
        <w:t xml:space="preserve"> Expert participation is confirmed; completed clinical validation is not claimed and remains pending. Her undergraduate qualification is not represented as qualified-dentist status.</w:t>
      </w:r>
    </w:p>
    <w:p>
      <w:pPr>
        <w:pStyle w:val="Heading2"/>
        <w:keepNext/>
        <w:spacing w:after="140" w:before="220"/>
      </w:pPr>
      <w:r>
        <w:t xml:space="preserve">3.2 Questionnaire and rule traceability</w:t>
      </w:r>
    </w:p>
    <w:p>
      <w:pPr>
        <w:spacing w:after="120" w:line="270"/>
      </w:pPr>
      <w:r>
        <w:rPr>
          <w:rFonts w:ascii="Times New Roman" w:cs="Times New Roman" w:eastAsia="Times New Roman" w:hAnsi="Times New Roman"/>
        </w:rPr>
        <w:t xml:space="preserve">The human expert questionnaire is included in Appendix B. It contains 15 questions covering the five supported conditions, relevant examination findings, dentition, root maturity, uncertainty, conflicting evidence, warning signs and expected outputs. These are the questions conducted with Kushala, as confirmed by the project author. Responses, interview dates, signatures and completed approval are not reproduced or invented.</w:t>
      </w:r>
    </w:p>
    <w:p>
      <w:pPr>
        <w:spacing w:after="120" w:line="270"/>
      </w:pPr>
      <w:r>
        <w:rPr>
          <w:rFonts w:ascii="Times New Roman" w:cs="Times New Roman" w:eastAsia="Times New Roman" w:hAnsi="Times New Roman"/>
        </w:rPr>
        <w:t xml:space="preserve">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pPr>
        <w:spacing w:after="120" w:line="270"/>
      </w:pPr>
      <w:r>
        <w:rPr>
          <w:rFonts w:ascii="Times New Roman" w:cs="Times New Roman" w:eastAsia="Times New Roman" w:hAnsi="Times New Roman"/>
        </w:rPr>
        <w:t xml:space="preserve">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pPr>
        <w:pStyle w:val="Heading1"/>
        <w:keepNext/>
        <w:pageBreakBefore/>
        <w:spacing w:after="140" w:before="0"/>
      </w:pPr>
      <w:r>
        <w:t xml:space="preserve">4 Expert System Architecture</w:t>
      </w:r>
    </w:p>
    <w:p>
      <w:pPr>
        <w:pStyle w:val="Heading2"/>
        <w:keepNext/>
        <w:spacing w:after="140" w:before="220"/>
      </w:pPr>
      <w:r>
        <w:t xml:space="preserve">4.1 Anatomy of the system</w:t>
      </w:r>
    </w:p>
    <w:p>
      <w:pPr>
        <w:keepNext/>
        <w:spacing w:after="80" w:before="120"/>
        <w:jc w:val="center"/>
      </w:pPr>
      <w:r>
        <w:drawing>
          <wp:inline distT="0" distB="0" distL="0" distR="0">
            <wp:extent cx="5943600" cy="2695575"/>
            <wp:effectExtent t="0" r="0" b="0" l="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1 Expert system block diagram</w:t>
      </w:r>
    </w:p>
    <w:p>
      <w:pPr>
        <w:spacing w:after="120" w:line="270"/>
      </w:pPr>
      <w:r>
        <w:rPr>
          <w:rFonts w:ascii="Times New Roman" w:cs="Times New Roman" w:eastAsia="Times New Roman" w:hAnsi="Times New Roman"/>
        </w:rPr>
        <w:t xml:space="preserve">The user supplies consultation inputs through the Java Swing User Interface and receives assessment results through the same interface. The SWI-Prolog Inference Engine applies knowledge from the SWI-Prolog Knowledge Base to those inputs. Questionnaire data from the Human Expert and published Dental Reference Sources flow through Knowledge Acquisition into the Knowledge Base. These arrows describe information flow, rather than a knowledge-editing screen.</w:t>
      </w:r>
    </w:p>
    <w:p>
      <w:pPr>
        <w:pStyle w:val="Heading2"/>
        <w:keepNext/>
        <w:pageBreakBefore/>
        <w:spacing w:after="140" w:before="220"/>
      </w:pPr>
      <w:r>
        <w:t xml:space="preserve">4.2 Implemented components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Component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Responsibility</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User</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reported symptoms and dentist-supplied findings; interpret the returned assessment.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Swing User Interface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Present setup, the two questionnaire steps, results and the read-only knowledge catalogue.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SWI-Prolog Inference Engine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Validate consultation inputs, apply forward chaining and identify supported candidates or missing information.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SWI-Prolog Knowledge Base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Store 30 domain facts, 25 production rules and a separate question catalogue with source and review metadata.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Human Expert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Contribute domain knowledge through the conducted questionnaire; clinical validation remains pending.</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Dental Reference Sources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published evidence for clinical concepts and diagnostic criteria.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Knowledge Acquisition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Translate expert questionnaire input and published sources into structured facts and rules.</w:t>
            </w:r>
          </w:p>
        </w:tc>
      </w:tr>
    </w:tbl>
    <w:p>
      <w:pPr>
        <w:spacing w:after="80"/>
      </w:pPr>
    </w:p>
    <w:p>
      <w:pPr>
        <w:spacing w:after="120" w:line="270"/>
      </w:pPr>
      <w:r>
        <w:rPr>
          <w:rFonts w:ascii="Times New Roman" w:cs="Times New Roman" w:eastAsia="Times New Roman" w:hAnsi="Times New Roman"/>
        </w:rPr>
        <w:t xml:space="preserve">Consultation observations are passed into each assessment. Intermediate deductions remain within inference processing. The architecture includes no separate working-memory component, explanation facility or knowledge-editing interface. Section 7 describes the integration and packaging details.</w:t>
      </w:r>
    </w:p>
    <w:p>
      <w:pPr>
        <w:pStyle w:val="Heading1"/>
        <w:keepNext/>
        <w:pageBreakBefore/>
        <w:spacing w:after="140" w:before="0"/>
      </w:pPr>
      <w:r>
        <w:t xml:space="preserve">5 Knowledge Representation</w:t>
      </w:r>
    </w:p>
    <w:p>
      <w:pPr>
        <w:pStyle w:val="Heading2"/>
        <w:keepNext/>
        <w:spacing w:after="140" w:before="220"/>
      </w:pPr>
      <w:r>
        <w:t xml:space="preserve">5.1 Facts</w:t>
      </w:r>
    </w:p>
    <w:p>
      <w:pPr>
        <w:spacing w:after="120" w:line="270"/>
      </w:pPr>
      <w:r>
        <w:rPr>
          <w:rFonts w:ascii="Times New Roman" w:cs="Times New Roman" w:eastAsia="Times New Roman" w:hAnsi="Times New Roman"/>
        </w:rPr>
        <w:t xml:space="preserve">The 30 authored domain facts are reusable statements represented by domain_fact/5. Each record contains an identifier, a structured domain term, a description, a source identifier and a review status. One example is:</w:t>
      </w:r>
    </w:p>
    <w:p>
      <w:pPr>
        <w:spacing w:after="0" w:line="225"/>
      </w:pPr>
      <w:r>
        <w:rPr>
          <w:rFonts w:ascii="Times New Roman" w:cs="Times New Roman" w:eastAsia="Times New Roman" w:hAnsi="Times New Roman"/>
          <w:sz w:val="18"/>
          <w:szCs w:val="18"/>
        </w:rPr>
        <w:t xml:space="preserve">domain_fact(f07, applicable_dentition(caries,both),</w:t>
      </w:r>
    </w:p>
    <w:p>
      <w:pPr>
        <w:spacing w:after="0" w:line="225"/>
      </w:pPr>
      <w:r>
        <w:rPr>
          <w:rFonts w:ascii="Times New Roman" w:cs="Times New Roman" w:eastAsia="Times New Roman" w:hAnsi="Times New Roman"/>
          <w:sz w:val="18"/>
          <w:szCs w:val="18"/>
        </w:rPr>
        <w:t xml:space="preserve">  'Caries can occur in primary and permanent teeth.',</w:t>
      </w:r>
    </w:p>
    <w:p>
      <w:pPr>
        <w:spacing w:after="0" w:line="225"/>
      </w:pPr>
      <w:r>
        <w:rPr>
          <w:rFonts w:ascii="Times New Roman" w:cs="Times New Roman" w:eastAsia="Times New Roman" w:hAnsi="Times New Roman"/>
          <w:sz w:val="18"/>
          <w:szCs w:val="18"/>
        </w:rPr>
        <w:t xml:space="preserve">  nidcr, pending).</w:t>
      </w:r>
    </w:p>
    <w:p>
      <w:pPr>
        <w:spacing w:after="120" w:line="270"/>
      </w:pPr>
    </w:p>
    <w:p>
      <w:pPr>
        <w:spacing w:after="120" w:line="270"/>
      </w:pPr>
      <w:r>
        <w:rPr>
          <w:rFonts w:ascii="Times New Roman" w:cs="Times New Roman" w:eastAsia="Times New Roman" w:hAnsi="Times New Roman"/>
        </w:rPr>
        <w:t xml:space="preserve">Some facts are explicitly queried through kb(...) premises. Others describe clinical concepts and provenance in the knowledge catalogue. They are not 30 patient observations. Question schemas, metadata, test data and per-call deductions do not inflate the authored fact count.</w:t>
      </w:r>
    </w:p>
    <w:p>
      <w:pPr>
        <w:pStyle w:val="Heading2"/>
        <w:keepNext/>
        <w:spacing w:after="140" w:before="220"/>
      </w:pPr>
      <w:r>
        <w:t xml:space="preserve">5.2 Production rules</w:t>
      </w:r>
    </w:p>
    <w:p>
      <w:pPr>
        <w:spacing w:after="120" w:line="270"/>
      </w:pPr>
      <w:r>
        <w:rPr>
          <w:rFonts w:ascii="Times New Roman" w:cs="Times New Roman" w:eastAsia="Times New Roman" w:hAnsi="Times New Roman"/>
        </w:rPr>
        <w:t xml:space="preserve">The 25 rule/5 records contain an identifier, premise list, conclusion, source and review status. Equality and numeric comparisons test supplied findings; derived(...) requires an intermediate deduction; kb(...) checks an authored domain term. For example:</w:t>
      </w:r>
    </w:p>
    <w:p>
      <w:pPr>
        <w:spacing w:after="0" w:line="225"/>
      </w:pPr>
      <w:r>
        <w:rPr>
          <w:rFonts w:ascii="Times New Roman" w:cs="Times New Roman" w:eastAsia="Times New Roman" w:hAnsi="Times New Roman"/>
          <w:sz w:val="18"/>
          <w:szCs w:val="18"/>
        </w:rPr>
        <w:t xml:space="preserve">rule(r01, [eq(cavity,yes),eq(soft_tissue,yes)],</w:t>
      </w:r>
    </w:p>
    <w:p>
      <w:pPr>
        <w:spacing w:after="0" w:line="225"/>
      </w:pPr>
      <w:r>
        <w:rPr>
          <w:rFonts w:ascii="Times New Roman" w:cs="Times New Roman" w:eastAsia="Times New Roman" w:hAnsi="Times New Roman"/>
          <w:sz w:val="18"/>
          <w:szCs w:val="18"/>
        </w:rPr>
        <w:t xml:space="preserve">  carious_lesion, nidcr, pending).</w:t>
      </w:r>
    </w:p>
    <w:p>
      <w:pPr>
        <w:spacing w:after="0" w:line="225"/>
      </w:pPr>
      <w:r>
        <w:rPr>
          <w:rFonts w:ascii="Times New Roman" w:cs="Times New Roman" w:eastAsia="Times New Roman" w:hAnsi="Times New Roman"/>
          <w:sz w:val="18"/>
          <w:szCs w:val="18"/>
        </w:rPr>
        <w:t xml:space="preserve">rule(r04, [derived(carious_lesion),</w:t>
      </w:r>
    </w:p>
    <w:p>
      <w:pPr>
        <w:spacing w:after="0" w:line="225"/>
      </w:pPr>
      <w:r>
        <w:rPr>
          <w:rFonts w:ascii="Times New Roman" w:cs="Times New Roman" w:eastAsia="Times New Roman" w:hAnsi="Times New Roman"/>
          <w:sz w:val="18"/>
          <w:szCs w:val="18"/>
        </w:rPr>
        <w:t xml:space="preserve">           kb(applicable_dentition(caries,both))],</w:t>
      </w:r>
    </w:p>
    <w:p>
      <w:pPr>
        <w:spacing w:after="0" w:line="225"/>
      </w:pPr>
      <w:r>
        <w:rPr>
          <w:rFonts w:ascii="Times New Roman" w:cs="Times New Roman" w:eastAsia="Times New Roman" w:hAnsi="Times New Roman"/>
          <w:sz w:val="18"/>
          <w:szCs w:val="18"/>
        </w:rPr>
        <w:t xml:space="preserve">  candidate(caries), nidcr, pending).</w:t>
      </w:r>
    </w:p>
    <w:p>
      <w:pPr>
        <w:spacing w:after="120" w:line="270"/>
      </w:pPr>
    </w:p>
    <w:p>
      <w:pPr>
        <w:spacing w:after="120" w:line="270"/>
      </w:pPr>
      <w:r>
        <w:rPr>
          <w:rFonts w:ascii="Times New Roman" w:cs="Times New Roman" w:eastAsia="Times New Roman" w:hAnsi="Times New Roman"/>
        </w:rPr>
        <w:t xml:space="preserve">Rules r01-r04 concern caries. Rules r05-r17 form provoked-pain and pulpal patterns and apply tooth/root-specific branches. Rules r18-r25 form gingival inflammation and periodontal destruction patterns. The complete premises and conclusions appear in Appendix C.</w:t>
      </w:r>
    </w:p>
    <w:p>
      <w:pPr>
        <w:pStyle w:val="Heading2"/>
        <w:keepNext/>
        <w:spacing w:after="140" w:before="220"/>
      </w:pPr>
      <w:r>
        <w:t xml:space="preserve">5.3 Questions and consultation observations</w:t>
      </w:r>
    </w:p>
    <w:p>
      <w:pPr>
        <w:spacing w:after="120" w:line="270"/>
      </w:pPr>
      <w:r>
        <w:rPr>
          <w:rFonts w:ascii="Times New Roman" w:cs="Times New Roman" w:eastAsia="Times New Roman" w:hAnsi="Times New Roman"/>
        </w:rPr>
        <w:t xml:space="preserve">The separate catalogue defines 27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pPr>
        <w:spacing w:after="120" w:line="270"/>
      </w:pPr>
      <w:r>
        <w:rPr>
          <w:rFonts w:ascii="Times New Roman" w:cs="Times New Roman" w:eastAsia="Times New Roman" w:hAnsi="Times New Roman"/>
        </w:rPr>
        <w:t xml:space="preserve">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pPr>
        <w:pStyle w:val="Heading1"/>
        <w:keepNext/>
        <w:pageBreakBefore/>
        <w:spacing w:after="140" w:before="0"/>
      </w:pPr>
      <w:r>
        <w:t xml:space="preserve">6 Inference Method</w:t>
      </w:r>
    </w:p>
    <w:p>
      <w:pPr>
        <w:pStyle w:val="Heading2"/>
        <w:keepNext/>
        <w:spacing w:after="140" w:before="220"/>
      </w:pPr>
      <w:r>
        <w:t xml:space="preserve">6.1 Forward chaining and justification</w:t>
      </w:r>
    </w:p>
    <w:p>
      <w:pPr>
        <w:spacing w:after="120" w:line="270"/>
      </w:pPr>
      <w:r>
        <w:rPr>
          <w:rFonts w:ascii="Times New Roman" w:cs="Times New Roman" w:eastAsia="Times New Roman" w:hAnsi="Times New Roman"/>
        </w:rPr>
        <w:t xml:space="preserve">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pPr>
        <w:spacing w:after="120" w:line="270"/>
      </w:pPr>
      <w:r>
        <w:rPr>
          <w:rFonts w:ascii="Times New Roman" w:cs="Times New Roman" w:eastAsia="Times New Roman" w:hAnsi="Times New Roman"/>
        </w:rPr>
        <w:t xml:space="preserve">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pPr>
        <w:pStyle w:val="Heading2"/>
        <w:keepNext/>
        <w:spacing w:after="140" w:before="220"/>
      </w:pPr>
      <w:r>
        <w:t xml:space="preserve">6.2 Worked dental example</w:t>
      </w:r>
    </w:p>
    <w:p>
      <w:pPr>
        <w:spacing w:after="120" w:line="270"/>
      </w:pPr>
      <w:r>
        <w:rPr>
          <w:rFonts w:ascii="Times New Roman" w:cs="Times New Roman" w:eastAsia="Times New Roman" w:hAnsi="Times New Roman"/>
        </w:rPr>
        <w:t xml:space="preserve">Consider TC06: an adult group, permanent tooth, mature roots, a supplied carious lesion, cold/sweet-provoked pain that stops promptly, no spontaneous or sleep-interrupting pain, no percussion/apical findings, no warning signs and a brief thermal response.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120"/>
        <w:gridCol w:w="3120"/>
        <w:gridCol w:w="3120"/>
      </w:tblGrid>
      <w:tr>
        <w:trPr>
          <w:cantSplit/>
          <w:tblHeader/>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Forward pass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Newly supported deductions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Relevant rules</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carious_lesion and 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r02, r05 and r06</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candidate(caries) and brief_provoked_pain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r04 and r08</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3</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reversible_pattern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r09</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candidate(reversible_pulpitis)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r12</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further conclusions; fixed point reached</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new rule conclusion</w:t>
            </w:r>
          </w:p>
        </w:tc>
      </w:tr>
    </w:tbl>
    <w:p>
      <w:pPr>
        <w:spacing w:after="80"/>
      </w:pPr>
    </w:p>
    <w:p>
      <w:pPr>
        <w:spacing w:after="120" w:line="270"/>
      </w:pPr>
      <w:r>
        <w:rPr>
          <w:rFonts w:ascii="Times New Roman" w:cs="Times New Roman" w:eastAsia="Times New Roman" w:hAnsi="Times New Roman"/>
        </w:rPr>
        <w:t xml:space="preserve">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pPr>
        <w:pStyle w:val="Heading2"/>
        <w:keepNext/>
        <w:spacing w:after="140" w:before="220"/>
      </w:pPr>
      <w:r>
        <w:t xml:space="preserve">6.3 Missing information and assessment statuses</w:t>
      </w:r>
    </w:p>
    <w:p>
      <w:pPr>
        <w:spacing w:after="120" w:line="270"/>
      </w:pPr>
      <w:r>
        <w:rPr>
          <w:rFonts w:ascii="Times New Roman" w:cs="Times New Roman" w:eastAsia="Times New Roman" w:hAnsi="Times New Roman"/>
        </w:rPr>
        <w:t xml:space="preserve">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pPr>
        <w:spacing w:after="120" w:line="270"/>
      </w:pPr>
      <w:r>
        <w:rPr>
          <w:rFonts w:ascii="Times New Roman" w:cs="Times New Roman" w:eastAsia="Times New Roman" w:hAnsi="Times New Roman"/>
        </w:rPr>
        <w:t xml:space="preserve">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pPr>
        <w:pStyle w:val="Heading1"/>
        <w:keepNext/>
        <w:pageBreakBefore/>
        <w:spacing w:after="140" w:before="0"/>
      </w:pPr>
      <w:r>
        <w:t xml:space="preserve">7 System Design and Implementation</w:t>
      </w:r>
    </w:p>
    <w:p>
      <w:pPr>
        <w:pStyle w:val="Heading2"/>
        <w:keepNext/>
        <w:spacing w:after="140" w:before="220"/>
      </w:pPr>
      <w:r>
        <w:t xml:space="preserve">7.1 Technology and execution boundary</w:t>
      </w:r>
    </w:p>
    <w:p>
      <w:pPr>
        <w:spacing w:after="120" w:line="270"/>
      </w:pPr>
      <w:r>
        <w:rPr>
          <w:rFonts w:ascii="Times New Roman" w:cs="Times New Roman" w:eastAsia="Times New Roman" w:hAnsi="Times New Roman"/>
        </w:rPr>
        <w:t xml:space="preserve">Java 21 and Swing provide the native desktop interface. SWI-Prolog 10.0.2 performs reasoning through matching JPL Java/JNI libraries. Java Swing was selected for standard controls and a shared interface codebase. JPL still requires platform-specific native dependencies [7]. Runtime-free launchers use explicitly installed Java and matching Prolog/JPL dependencies [7,8]. The expert-system implementation uses Java, Prolog and shell scripts, with no Python inference or interface implementation.</w:t>
      </w:r>
    </w:p>
    <w:p>
      <w:pPr>
        <w:spacing w:after="120" w:line="270"/>
      </w:pPr>
      <w:r>
        <w:rPr>
          <w:rFonts w:ascii="Times New Roman" w:cs="Times New Roman" w:eastAsia="Times New Roman" w:hAnsi="Times New Roman"/>
        </w:rPr>
        <w:t xml:space="preserve">The Java bridge constructs typed terms instead of concatenating user text into Prolog queries. The public assessment and routing interfaces are:</w:t>
      </w:r>
    </w:p>
    <w:p>
      <w:pPr>
        <w:spacing w:after="0" w:line="225"/>
      </w:pPr>
      <w:r>
        <w:rPr>
          <w:rFonts w:ascii="Times New Roman" w:cs="Times New Roman" w:eastAsia="Times New Roman" w:hAnsi="Times New Roman"/>
          <w:sz w:val="18"/>
          <w:szCs w:val="18"/>
        </w:rPr>
        <w:t xml:space="preserve">assess(Observations,</w:t>
      </w:r>
    </w:p>
    <w:p>
      <w:pPr>
        <w:spacing w:after="0" w:line="225"/>
      </w:pPr>
      <w:r>
        <w:rPr>
          <w:rFonts w:ascii="Times New Roman" w:cs="Times New Roman" w:eastAsia="Times New Roman" w:hAnsi="Times New Roman"/>
          <w:sz w:val="18"/>
          <w:szCs w:val="18"/>
        </w:rPr>
        <w:t xml:space="preserve">  result(Status,CandidateIds,MissingQuestionIds,Messages)).</w:t>
      </w:r>
    </w:p>
    <w:p>
      <w:pPr>
        <w:spacing w:after="0" w:line="225"/>
      </w:pPr>
      <w:r>
        <w:rPr>
          <w:rFonts w:ascii="Times New Roman" w:cs="Times New Roman" w:eastAsia="Times New Roman" w:hAnsi="Times New Roman"/>
          <w:sz w:val="18"/>
          <w:szCs w:val="18"/>
        </w:rPr>
        <w:t xml:space="preserve">active_questions(Observations,Stage,QuestionIds).</w:t>
      </w:r>
    </w:p>
    <w:p>
      <w:pPr>
        <w:spacing w:after="120" w:line="270"/>
      </w:pPr>
    </w:p>
    <w:p>
      <w:pPr>
        <w:spacing w:after="120" w:line="270"/>
      </w:pPr>
      <w:r>
        <w:rPr>
          <w:rFonts w:ascii="Times New Roman" w:cs="Times New Roman" w:eastAsia="Times New Roman" w:hAnsi="Times New Roman"/>
        </w:rPr>
        <w:t xml:space="preserve">Java calls Bridge.assess(answers) and Bridge.activeQuestions(answers,stage). Prolog validates identifiers, allowed values, duplicate keys and list shapes at the boundary. Catalog operations expose questions, facts, rules, condition labels, sources and knowledge version.</w:t>
      </w:r>
    </w:p>
    <w:p>
      <w:pPr>
        <w:pStyle w:val="Heading2"/>
        <w:keepNext/>
        <w:spacing w:after="140" w:before="220"/>
      </w:pPr>
      <w:r>
        <w:t xml:space="preserve">7.2 Adaptive consultation and lifecycle</w:t>
      </w:r>
    </w:p>
    <w:p>
      <w:pPr>
        <w:spacing w:after="120" w:line="270"/>
      </w:pPr>
      <w:r>
        <w:rPr>
          <w:rFonts w:ascii="Times New Roman" w:cs="Times New Roman" w:eastAsia="Times New Roman" w:hAnsi="Times New Roman"/>
        </w:rPr>
        <w:t xml:space="preserve">Setup collects age group and affected tooth type.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pPr>
        <w:spacing w:after="120" w:line="270"/>
      </w:pPr>
      <w:r>
        <w:rPr>
          <w:rFonts w:ascii="Times New Roman" w:cs="Times New Roman" w:eastAsia="Times New Roman" w:hAnsi="Times New Roman"/>
        </w:rPr>
        <w:t xml:space="preserve">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pPr>
        <w:spacing w:after="120" w:line="270"/>
      </w:pPr>
      <w:r>
        <w:rPr>
          <w:rFonts w:ascii="Times New Roman" w:cs="Times New Roman" w:eastAsia="Times New Roman" w:hAnsi="Times New Roman"/>
        </w:rPr>
        <w:t xml:space="preserve">Results provide New consultation as the only action. It clears selections and results and restores defaults. Back navigation remains available before assessment. Knowledge viewing is read-only; no editing or result-saving dialog is provided.</w:t>
      </w:r>
    </w:p>
    <w:p>
      <w:pPr>
        <w:spacing w:after="120" w:line="270"/>
      </w:pPr>
      <w:r>
        <w:rPr>
          <w:rFonts w:ascii="Times New Roman" w:cs="Times New Roman" w:eastAsia="Times New Roman" w:hAnsi="Times New Roman"/>
        </w:rPr>
        <w:t xml:space="preserve">The 27-question catalogue is not a fixed questionnaire shown in full. Routing reuses forward deductions and unresolved prerequisites: unanswered questions disappear when their rules are blocked or a condition already has sufficient support. Explicit applicable answers remain present so the evidence supporting a candidate is retained. Age group, affected tooth type, tooth pain, gum symptoms, warning signs and jaw clicking remain available as consultation context and scope checks. The goal of 10-15 answers is met by straightforward cases, while pain-related or incomplete cases can require more. No separate measurements or clinical premises are merged.</w:t>
      </w:r>
    </w:p>
    <w:p>
      <w:pPr>
        <w:pStyle w:val="Heading2"/>
        <w:keepNext/>
        <w:spacing w:after="140" w:before="220"/>
      </w:pPr>
      <w:r>
        <w:t xml:space="preserve">7.3 Executable and runtime dependencies</w:t>
      </w:r>
    </w:p>
    <w:p>
      <w:pPr>
        <w:spacing w:after="120" w:line="270"/>
      </w:pPr>
      <w:r>
        <w:rPr>
          <w:rFonts w:ascii="Times New Roman" w:cs="Times New Roman" w:eastAsia="Times New Roman" w:hAnsi="Times New Roman"/>
        </w:rPr>
        <w:t xml:space="preserve">Application version 1.3.0 uses knowledge version 0.4.0. The submission contains one shared application JAR, a small Windows x64 startup executable and an Apple Silicon macOS app wrapper. Java and SWI-Prolog runtimes are installed separately rather than included in the ZIP. Two root scripts per operating system perform dependency installation and current-user application installation. Appendix A gives the launch instructions.</w:t>
      </w:r>
    </w:p>
    <w:p>
      <w:pPr>
        <w:spacing w:after="120" w:line="270"/>
      </w:pPr>
      <w:r>
        <w:rPr>
          <w:rFonts w:ascii="Times New Roman" w:cs="Times New Roman" w:eastAsia="Times New Roman" w:hAnsi="Times New Roman"/>
        </w:rPr>
        <w:t xml:space="preserve">Dependency scripts verify official download checksums, retain unrelated installations and use matching JPL libraries from SWI-Prolog 10.0.2. Java 21 is installed machine-wide using Temurin vendor installers on Windows/macOS and OpenJDK through APT on Ubuntu. Prolog uses a versioned location: Program Files on Windows, /Applications/SWI-Prolog-10.0.2.app on macOS and /opt/dentalexplain-dependencies/swipl-10.0.2 on Linux. Ubuntu builds the verified 10.0.2 source with JPL; initial compilation takes longer [7,8].</w:t>
      </w:r>
    </w:p>
    <w:p>
      <w:pPr>
        <w:spacing w:after="120" w:line="270"/>
      </w:pPr>
      <w:r>
        <w:rPr>
          <w:rFonts w:ascii="Times New Roman" w:cs="Times New Roman" w:eastAsia="Times New Roman" w:hAnsi="Times New Roman"/>
        </w:rPr>
        <w:t xml:space="preserve">DentalExplain itself is installed for the current user. Windows provides desktop and Start-menu shortcuts to DentalExplain.exe; macOS installs DentalExplain.app in the user’s Applications folder; Linux provides an application-menu shortcut. Startup resolves knowledge and dependency paths explicitly and reports missing dependencies. Initial setup needs internet access and administrator permission; ordinary consultations work offline afterward. Windows signing and macOS notarization remain pending. Archived distributions can still use bundled runtimes.</w:t>
      </w:r>
    </w:p>
    <w:p>
      <w:pPr>
        <w:pStyle w:val="Heading2"/>
        <w:keepNext/>
        <w:spacing w:after="140" w:before="220"/>
      </w:pPr>
      <w:r>
        <w:t xml:space="preserve">7.4 Welcome and consultation setup</w:t>
      </w:r>
    </w:p>
    <w:p>
      <w:pPr>
        <w:keepNext/>
        <w:spacing w:after="80" w:before="120"/>
        <w:jc w:val="center"/>
      </w:pPr>
      <w:r>
        <w:drawing>
          <wp:inline distT="0" distB="0" distL="0" distR="0">
            <wp:extent cx="5943600" cy="4276725"/>
            <wp:effectExtent t="0" r="0" b="0" l="0"/>
            <wp:docPr id="1"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2 Current welcome screen</w:t>
      </w:r>
    </w:p>
    <w:p>
      <w:pPr>
        <w:spacing w:after="120" w:line="270"/>
      </w:pPr>
      <w:r>
        <w:rPr>
          <w:rFonts w:ascii="Times New Roman" w:cs="Times New Roman" w:eastAsia="Times New Roman" w:hAnsi="Times New Roman"/>
        </w:rPr>
        <w:t xml:space="preserve">The welcome screen offers Start consultation and View knowledge base, identifies the supported conditions and describes the consultation flow.</w:t>
      </w:r>
    </w:p>
    <w:p>
      <w:pPr>
        <w:keepNext/>
        <w:spacing w:after="80" w:before="120"/>
        <w:jc w:val="center"/>
      </w:pPr>
      <w:r>
        <w:drawing>
          <wp:inline distT="0" distB="0" distL="0" distR="0">
            <wp:extent cx="5943600" cy="4276725"/>
            <wp:effectExtent t="0" r="0" b="0" l="0"/>
            <wp:docPr id="1" name="Figure 3 Current setup with predefined age and affected-tooth selections" descr="Figure 3 Current setup with predefined age and affected-tooth selections" title="Figure 3 Current setup with predefined age and affected-tooth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3 Current setup with predefined age and affected-tooth selections</w:t>
      </w:r>
    </w:p>
    <w:p>
      <w:pPr>
        <w:spacing w:after="120" w:line="270"/>
      </w:pPr>
      <w:r>
        <w:rPr>
          <w:rFonts w:ascii="Times New Roman" w:cs="Times New Roman" w:eastAsia="Times New Roman" w:hAnsi="Times New Roman"/>
        </w:rPr>
        <w:t xml:space="preserve">Setup uses two non-editable dropdowns. Age group does not automatically determine tooth type or diagnosis. The form retains its white background, internal padding and consistent Latin Modern Sans typography.</w:t>
      </w:r>
    </w:p>
    <w:p>
      <w:pPr>
        <w:pStyle w:val="Heading2"/>
        <w:keepNext/>
        <w:spacing w:after="140" w:before="220"/>
      </w:pPr>
      <w:r>
        <w:t xml:space="preserve">7.5 Reported symptoms and relevant findings</w:t>
      </w:r>
    </w:p>
    <w:p>
      <w:pPr>
        <w:keepNext/>
        <w:spacing w:after="80" w:before="120"/>
        <w:jc w:val="center"/>
      </w:pPr>
      <w:r>
        <w:drawing>
          <wp:inline distT="0" distB="0" distL="0" distR="0">
            <wp:extent cx="5943600" cy="4276725"/>
            <wp:effectExtent t="0" r="0" b="0" l="0"/>
            <wp:docPr id="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4 Pain selection reveals question-specific symptom follow-ups</w:t>
      </w:r>
    </w:p>
    <w:p>
      <w:pPr>
        <w:spacing w:after="120" w:line="270"/>
      </w:pPr>
      <w:r>
        <w:rPr>
          <w:rFonts w:ascii="Times New Roman" w:cs="Times New Roman" w:eastAsia="Times New Roman" w:hAnsi="Times New Roman"/>
        </w:rPr>
        <w:t xml:space="preserve">Step 1 separates reported symptoms from examination findings. Reporting tooth pain reveals trigger, persistence, spontaneous and sleep-interruption questions. Checkbox special answers remain mutually exclusive with findings.</w:t>
      </w:r>
    </w:p>
    <w:p>
      <w:pPr>
        <w:keepNext/>
        <w:spacing w:after="80" w:before="120"/>
        <w:jc w:val="center"/>
      </w:pPr>
      <w:r>
        <w:drawing>
          <wp:inline distT="0" distB="0" distL="0" distR="0">
            <wp:extent cx="5943600" cy="4276725"/>
            <wp:effectExtent t="0" r="0" b="0" l="0"/>
            <wp:docPr id="1"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5 Dentist-supplied findings in the second questionnaire step</w:t>
      </w:r>
    </w:p>
    <w:p>
      <w:pPr>
        <w:spacing w:after="120" w:line="270"/>
      </w:pPr>
      <w:r>
        <w:rPr>
          <w:rFonts w:ascii="Times New Roman" w:cs="Times New Roman" w:eastAsia="Times New Roman" w:hAnsi="Times New Roman"/>
        </w:rPr>
        <w:t xml:space="preserve">Step 2 presents applicable caries, pulp/apical and periodontal findings. Long forms scroll, while Back and Assess actions remain available outside the scroll area. Uncertainty keeps potentially relevant follow-ups available.</w:t>
      </w:r>
    </w:p>
    <w:p>
      <w:pPr>
        <w:pStyle w:val="Heading2"/>
        <w:keepNext/>
        <w:spacing w:after="140" w:before="220"/>
      </w:pPr>
      <w:r>
        <w:t xml:space="preserve">7.6 Results and knowledge workspace</w:t>
      </w:r>
    </w:p>
    <w:p>
      <w:pPr>
        <w:keepNext/>
        <w:spacing w:after="80" w:before="120"/>
        <w:jc w:val="center"/>
      </w:pPr>
      <w:r>
        <w:drawing>
          <wp:inline distT="0" distB="0" distL="0" distR="0">
            <wp:extent cx="5943600" cy="4276725"/>
            <wp:effectExtent t="0" r="0" b="0" l="0"/>
            <wp:docPr id="1" name="Figure 6 Coexisting supported candidates from a synthetic consultation" descr="Figure 6 Coexisting supported candidates from a synthetic consultation" title="Figure 6 Coexisting supported candidates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6 Coexisting supported candidates from a synthetic consultation</w:t>
      </w:r>
    </w:p>
    <w:p>
      <w:pPr>
        <w:spacing w:after="120" w:line="270"/>
      </w:pPr>
      <w:r>
        <w:rPr>
          <w:rFonts w:ascii="Times New Roman" w:cs="Times New Roman" w:eastAsia="Times New Roman" w:hAnsi="Times New Roman"/>
        </w:rPr>
        <w:t xml:space="preserve">Results display supported candidates and any additional requested findings. New consultation is the only result action. The screenshot shows coexisting caries and reversible-pulpitis candidates from the illustrated synthetic pain consultation.</w:t>
      </w:r>
    </w:p>
    <w:p>
      <w:pPr>
        <w:keepNext/>
        <w:spacing w:after="80" w:before="120"/>
        <w:jc w:val="center"/>
      </w:pPr>
      <w:r>
        <w:drawing>
          <wp:inline distT="0" distB="0" distL="0" distR="0">
            <wp:extent cx="5943600" cy="4276725"/>
            <wp:effectExtent t="0" r="0" b="0" l="0"/>
            <wp:docPr id="1"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7 Read-only knowledge workspace with separate catalogue tabs</w:t>
      </w:r>
    </w:p>
    <w:p>
      <w:pPr>
        <w:spacing w:after="120" w:line="270"/>
      </w:pPr>
      <w:r>
        <w:rPr>
          <w:rFonts w:ascii="Times New Roman" w:cs="Times New Roman" w:eastAsia="Times New Roman" w:hAnsi="Times New Roman"/>
        </w:rPr>
        <w:t xml:space="preserve">Questions, Facts and Rules have separate counts. Search filters the active table, and selecting a row displays its full content and source. The workspace provides inspection rather than knowledge editing.</w:t>
      </w:r>
    </w:p>
    <w:p>
      <w:pPr>
        <w:pStyle w:val="Heading1"/>
        <w:keepNext/>
        <w:pageBreakBefore/>
        <w:spacing w:after="140" w:before="0"/>
      </w:pPr>
      <w:r>
        <w:t xml:space="preserve">8 Testing and Evaluation</w:t>
      </w:r>
    </w:p>
    <w:p>
      <w:pPr>
        <w:pStyle w:val="Heading2"/>
        <w:keepNext/>
        <w:spacing w:after="140" w:before="220"/>
      </w:pPr>
      <w:r>
        <w:t xml:space="preserve">8.1 Testing strategy</w:t>
      </w:r>
    </w:p>
    <w:p>
      <w:pPr>
        <w:spacing w:after="120" w:line="270"/>
      </w:pPr>
      <w:r>
        <w:rPr>
          <w:rFonts w:ascii="Times New Roman" w:cs="Times New Roman" w:eastAsia="Times New Roman" w:hAnsi="Times New Roman"/>
        </w:rPr>
        <w:t xml:space="preserve">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The separate acceptance-test document records the full inputs, expected responses and actual software outcomes.</w:t>
      </w:r>
    </w:p>
    <w:p>
      <w:pPr>
        <w:spacing w:after="120" w:line="270"/>
      </w:pPr>
      <w:r>
        <w:rPr>
          <w:rFonts w:ascii="Times New Roman" w:cs="Times New Roman" w:eastAsia="Times New Roman" w:hAnsi="Times New Roman"/>
        </w:rPr>
        <w:t xml:space="preserve">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27 control schemas, Back navigation, hidden-answer clearing, results, reset and stale callbacks.</w:t>
      </w:r>
    </w:p>
    <w:p>
      <w:pPr>
        <w:pStyle w:val="Heading2"/>
        <w:keepNext/>
        <w:spacing w:after="140" w:before="220"/>
      </w:pPr>
      <w:r>
        <w:t xml:space="preserve">8.2 Automated results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40"/>
        <w:gridCol w:w="2340"/>
        <w:gridCol w:w="2340"/>
        <w:gridCol w:w="2340"/>
      </w:tblGrid>
      <w:tr>
        <w:trPr>
          <w:cantSplit/>
          <w:tblHeader/>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Check</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macOS ARM64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Windows x64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Ubuntu 24.04 x64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forward acceptance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51 Prolog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JPL cases and 14 routed diagnostic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Controlled inputs and consultation lifecycle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under Xvfb</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External-runtime launch from a path with spaces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Installed application startup</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app</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exe</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launcher and menu entry</w:t>
            </w:r>
          </w:p>
        </w:tc>
      </w:tr>
    </w:tbl>
    <w:p>
      <w:pPr>
        <w:spacing w:after="80"/>
      </w:pPr>
    </w:p>
    <w:p>
      <w:pPr>
        <w:spacing w:after="120" w:line="270"/>
      </w:pPr>
      <w:r>
        <w:rPr>
          <w:rFonts w:ascii="Times New Roman" w:cs="Times New Roman" w:eastAsia="Times New Roman" w:hAnsi="Times New Roman"/>
        </w:rPr>
        <w:t xml:space="preserve">These results are recorded in the successful cross-platform workflow on 29 September 2026 [10]. The workflow uses machine-wide external dependencies and runtime-free current-user installations. Repeated installation and missing-dependency/checksum failures were checked. The report-data export separately reassesses all 20 fixtures. Full case records remain in the separate acceptance-test document.</w:t>
      </w:r>
    </w:p>
    <w:p>
      <w:pPr>
        <w:pStyle w:val="Heading2"/>
        <w:keepNext/>
        <w:spacing w:after="140" w:before="220"/>
      </w:pPr>
      <w:r>
        <w:t xml:space="preserve">Measured consultation lengths</w:t>
      </w:r>
    </w:p>
    <w:p>
      <w:pPr>
        <w:spacing w:after="120" w:line="270"/>
      </w:pPr>
      <w:r>
        <w:rPr>
          <w:rFonts w:ascii="Times New Roman" w:cs="Times New Roman" w:eastAsia="Times New Roman" w:hAnsi="Times New Roman"/>
        </w:rPr>
        <w:t xml:space="preserve">A scripted walkthrough answers questions in catalogue order and reevaluates routing after each answer. Counts include setup and Unknown answers. Final visible questions are reported separately; this avoids mistaking the last screen for the total consultation length.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40"/>
        <w:gridCol w:w="2340"/>
        <w:gridCol w:w="2340"/>
        <w:gridCol w:w="2340"/>
      </w:tblGrid>
      <w:tr>
        <w:trPr>
          <w:cantSplit/>
          <w:tblHeader/>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Scenario</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Individually answered questions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Final visible questions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TC01-TC03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12</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TC04-TC06</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21-23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18-20</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TC07-TC09</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19-20</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15-17</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TC10-TC12</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TC13-TC14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18</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16</w:t>
            </w:r>
          </w:p>
        </w:tc>
      </w:tr>
    </w:tbl>
    <w:p>
      <w:pPr>
        <w:spacing w:after="80"/>
      </w:pPr>
    </w:p>
    <w:p>
      <w:pPr>
        <w:spacing w:after="120" w:line="270"/>
      </w:pPr>
      <w:r>
        <w:rPr>
          <w:rFonts w:ascii="Times New Roman" w:cs="Times New Roman" w:eastAsia="Times New Roman" w:hAnsi="Times New Roman"/>
        </w:rPr>
        <w:t xml:space="preserve">Caries and gingivitis meet the 10-15 target in these fixtures. TC04-TC09 and TC13-TC14 exceed 15 because all five conditions and separate findings are retained. TC15-TC20 are validation/reset edge cases, not completed diagnostic walkthroughs. The separate acceptance-test document records every count.</w:t>
      </w:r>
    </w:p>
    <w:p>
      <w:pPr>
        <w:pStyle w:val="Heading2"/>
        <w:keepNext/>
        <w:spacing w:after="140" w:before="220"/>
      </w:pPr>
      <w:r>
        <w:t xml:space="preserve">8.3 Desktop and submission verification</w:t>
      </w:r>
    </w:p>
    <w:p>
      <w:pPr>
        <w:spacing w:after="120" w:line="270"/>
      </w:pPr>
      <w:r>
        <w:rPr>
          <w:rFonts w:ascii="Times New Roman" w:cs="Times New Roman" w:eastAsia="Times New Roman" w:hAnsi="Times New Roman"/>
        </w:rPr>
        <w:t xml:space="preserve">Manual desktop verification on macOS includes consultation navigation, result display, knowledge viewing and New consultation. Windows and Linux desktop behavior was checked automatically on hosted runners; a separate manual Windows/Linux consultation is not claimed. Screenshots in this report were captured from the current installed macOS application using synthetic selections. Native window capture excludes the mouse pointer and computer-use cursor overlays.</w:t>
      </w:r>
    </w:p>
    <w:p>
      <w:pPr>
        <w:spacing w:after="120" w:line="270"/>
      </w:pPr>
      <w:r>
        <w:rPr>
          <w:rFonts w:ascii="Times New Roman" w:cs="Times New Roman" w:eastAsia="Times New Roman" w:hAnsi="Times New Roman"/>
        </w:rPr>
        <w:t xml:space="preserve">The submission assembly verifies source inclusion, report files, six root installation scripts, runtime-free application files, executable permissions and SHA-256 checksums. Launch checks use extracted folders containing spaces. Recorded software results do not establish diagnostic accuracy in real patients; clinical knowledge and expectations remain pending review.</w:t>
      </w:r>
    </w:p>
    <w:p>
      <w:pPr>
        <w:pStyle w:val="Heading1"/>
        <w:keepNext/>
        <w:pageBreakBefore/>
        <w:spacing w:after="140" w:before="0"/>
      </w:pPr>
      <w:r>
        <w:t xml:space="preserve">9 Conclusion</w:t>
      </w:r>
    </w:p>
    <w:p>
      <w:pPr>
        <w:spacing w:after="120" w:line="270"/>
      </w:pPr>
      <w:r>
        <w:rPr>
          <w:rFonts w:ascii="Times New Roman" w:cs="Times New Roman" w:eastAsia="Times New Roman" w:hAnsi="Times New Roman"/>
        </w:rPr>
        <w:t xml:space="preserve">DentalExplain implements a runnable native expert system combining Java Swing with embedded SWI-Prolog through JPL. Its 27-question adaptive consultation collects controlled evidence in two steps, while 25 production rules and 30 authored domain facts support five candidate conditions through forward chaining.</w:t>
      </w:r>
    </w:p>
    <w:p>
      <w:pPr>
        <w:spacing w:after="120" w:line="270"/>
      </w:pPr>
      <w:r>
        <w:rPr>
          <w:rFonts w:ascii="Times New Roman" w:cs="Times New Roman" w:eastAsia="Times New Roman" w:hAnsi="Times New Roman"/>
        </w:rPr>
        <w:t xml:space="preserve">The implementation preserves uncertainty, supports coexisting candidates and returns defined responses for incomplete, conflicting and unsupported inputs. The submission provides source, runtime-free application files, six installation scripts and a launch-only user manual. Automated verification passes across the three target platforms, with manual macOS inspection. The human expert is identified and the conducted questionnaire is supplied in Appendix B; clinical review remains pending.</w:t>
      </w:r>
    </w:p>
    <w:p>
      <w:pPr>
        <w:pStyle w:val="Heading1"/>
        <w:keepNext/>
        <w:pageBreakBefore/>
        <w:spacing w:after="140" w:before="0"/>
      </w:pPr>
      <w:r>
        <w:t xml:space="preserve">References</w:t>
      </w:r>
    </w:p>
    <w:p>
      <w:pPr>
        <w:spacing w:after="120" w:line="270"/>
      </w:pPr>
      <w:r>
        <w:rPr>
          <w:rFonts w:ascii="Times New Roman" w:cs="Times New Roman" w:eastAsia="Times New Roman" w:hAnsi="Times New Roman"/>
        </w:rPr>
        <w:t xml:space="preserve">[1] National Institute of Dental and Craniofacial Research. Tooth Decay. https://www.nidcr.nih.gov/health-info/tooth-decay</w:t>
      </w:r>
    </w:p>
    <w:p>
      <w:pPr>
        <w:spacing w:after="120" w:line="270"/>
      </w:pPr>
      <w:r>
        <w:rPr>
          <w:rFonts w:ascii="Times New Roman" w:cs="Times New Roman" w:eastAsia="Times New Roman" w:hAnsi="Times New Roman"/>
        </w:rPr>
        <w:t xml:space="preserve">[2] American Association of Endodontists. AAE Consensus Conference Recommended Diagnostic Terminology. 2009. https://www.aae.org/specialty/wp-content/uploads/sites/2/2017/07/aaeconsensusconferencerecommendeddiagnosticterminology.pdf</w:t>
      </w:r>
    </w:p>
    <w:p>
      <w:pPr>
        <w:spacing w:after="120" w:line="270"/>
      </w:pPr>
      <w:r>
        <w:rPr>
          <w:rFonts w:ascii="Times New Roman" w:cs="Times New Roman" w:eastAsia="Times New Roman" w:hAnsi="Times New Roman"/>
        </w:rPr>
        <w:t xml:space="preserve">[3] American Academy of Pediatric Dentistry. Pulp Therapy for Primary and Immature Permanent Teeth. https://www.aapd.org/media/Policies_Guidelines/BP_PulpTherapy.pdf</w:t>
      </w:r>
    </w:p>
    <w:p>
      <w:pPr>
        <w:spacing w:after="120" w:line="270"/>
      </w:pPr>
      <w:r>
        <w:rPr>
          <w:rFonts w:ascii="Times New Roman" w:cs="Times New Roman" w:eastAsia="Times New Roman" w:hAnsi="Times New Roman"/>
        </w:rPr>
        <w:t xml:space="preserve">[4] American Academy of Periodontology. Gum Disease Information. https://www.perio.org/for-patients/gum-disease-information/</w:t>
      </w:r>
    </w:p>
    <w:p>
      <w:pPr>
        <w:spacing w:after="120" w:line="270"/>
      </w:pPr>
      <w:r>
        <w:rPr>
          <w:rFonts w:ascii="Times New Roman" w:cs="Times New Roman" w:eastAsia="Times New Roman" w:hAnsi="Times New Roman"/>
        </w:rPr>
        <w:t xml:space="preserve">[5] Sanz M and Tonetti M. Periodontitis Guidance for Clinicians. European Federation of Periodontology, 2019. https://www.efp.org/fileadmin/uploads/efp/Documents/Campaigns/New_Classification/Guidance_Notes/report-02.pdf</w:t>
      </w:r>
    </w:p>
    <w:p>
      <w:pPr>
        <w:spacing w:after="120" w:line="270"/>
      </w:pPr>
      <w:r>
        <w:rPr>
          <w:rFonts w:ascii="Times New Roman" w:cs="Times New Roman" w:eastAsia="Times New Roman" w:hAnsi="Times New Roman"/>
        </w:rPr>
        <w:t xml:space="preserve">[6]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pPr>
        <w:spacing w:after="120" w:line="270"/>
      </w:pPr>
      <w:r>
        <w:rPr>
          <w:rFonts w:ascii="Times New Roman" w:cs="Times New Roman" w:eastAsia="Times New Roman" w:hAnsi="Times New Roman"/>
        </w:rPr>
        <w:t xml:space="preserve">[7] JPL. Deploying for users. https://jpl7.org/Deployment</w:t>
      </w:r>
    </w:p>
    <w:p>
      <w:pPr>
        <w:spacing w:after="120" w:line="270"/>
      </w:pPr>
      <w:r>
        <w:rPr>
          <w:rFonts w:ascii="Times New Roman" w:cs="Times New Roman" w:eastAsia="Times New Roman" w:hAnsi="Times New Roman"/>
        </w:rPr>
        <w:t xml:space="preserve">[8] Eclipse Adoptium. Installing Temurin. https://adoptium.net/installation/</w:t>
      </w:r>
    </w:p>
    <w:p>
      <w:pPr>
        <w:spacing w:after="120" w:line="270"/>
      </w:pPr>
      <w:r>
        <w:rPr>
          <w:rFonts w:ascii="Times New Roman" w:cs="Times New Roman" w:eastAsia="Times New Roman" w:hAnsi="Times New Roman"/>
        </w:rPr>
        <w:t xml:space="preserve">[9] Oracle. Concurrency in Swing. https://docs.oracle.com/javase/tutorial/uiswing/concurrency/index.html</w:t>
      </w:r>
    </w:p>
    <w:p>
      <w:pPr>
        <w:spacing w:after="120" w:line="270"/>
      </w:pPr>
      <w:r>
        <w:rPr>
          <w:rFonts w:ascii="Times New Roman" w:cs="Times New Roman" w:eastAsia="Times New Roman" w:hAnsi="Times New Roman"/>
        </w:rPr>
        <w:t xml:space="preserve">[10] DentalExplain. Verified lightweight external-runtime workflow, 29 September 2026, source commit 0f346be. https://github.com/vishwajayawickrama/dental-expert-system/actions/runs/36574386759</w:t>
      </w:r>
    </w:p>
    <w:p>
      <w:pPr>
        <w:spacing w:after="120" w:line="270"/>
      </w:pPr>
      <w:r>
        <w:rPr>
          <w:rFonts w:ascii="Times New Roman" w:cs="Times New Roman" w:eastAsia="Times New Roman" w:hAnsi="Times New Roman"/>
        </w:rPr>
        <w:t xml:space="preserve">References accessed on 29 September 2026. Source identifiers used in Appendix C map as follows: nidcr [1], aae [2], aapd [3], aap [4], efp [5], efp_g [6].</w:t>
      </w:r>
    </w:p>
    <w:p>
      <w:pPr>
        <w:pStyle w:val="Heading1"/>
        <w:keepNext/>
        <w:pageBreakBefore/>
        <w:spacing w:after="140" w:before="0"/>
      </w:pPr>
      <w:r>
        <w:t xml:space="preserve">Appendix A User Manual</w:t>
      </w:r>
    </w:p>
    <w:p>
      <w:pPr>
        <w:spacing w:after="120" w:line="270"/>
      </w:pPr>
      <w:r>
        <w:rPr>
          <w:rFonts w:ascii="Times New Roman" w:cs="Times New Roman" w:eastAsia="Times New Roman" w:hAnsi="Times New Roman"/>
        </w:rPr>
        <w:t xml:space="preserve">Application </w:t>
      </w:r>
      <w:r>
        <w:rPr>
          <w:rFonts w:ascii="Times New Roman" w:cs="Times New Roman" w:eastAsia="Times New Roman" w:hAnsi="Times New Roman"/>
          <w:b/>
          <w:bCs/>
        </w:rPr>
        <w:t xml:space="preserve">1.3.0</w:t>
      </w:r>
      <w:r>
        <w:rPr>
          <w:rFonts w:ascii="Times New Roman" w:cs="Times New Roman" w:eastAsia="Times New Roman" w:hAnsi="Times New Roman"/>
        </w:rPr>
        <w:t xml:space="preserve">; knowledge </w:t>
      </w:r>
      <w:r>
        <w:rPr>
          <w:rFonts w:ascii="Times New Roman" w:cs="Times New Roman" w:eastAsia="Times New Roman" w:hAnsi="Times New Roman"/>
          <w:b/>
          <w:bCs/>
        </w:rPr>
        <w:t xml:space="preserve">0.4.0</w:t>
      </w:r>
      <w:r>
        <w:rPr>
          <w:rFonts w:ascii="Times New Roman" w:cs="Times New Roman" w:eastAsia="Times New Roman" w:hAnsi="Times New Roman"/>
        </w:rPr>
        <w:t xml:space="preserve">. Extract the complete DentalExplain-submission.zip first. Initial dependency installation needs internet access and administrator permission. It installs Java 21 and SWI-Prolog/JPL 10.0.2 machine-wide; the second script installs DentalExplain for your current user. Keep the extracted folders together until setup completes. Ordinary consultations then work offline.</w:t>
      </w:r>
    </w:p>
    <w:p>
      <w:pPr>
        <w:pStyle w:val="Heading2"/>
        <w:keepNext/>
        <w:spacing w:after="140" w:before="220"/>
      </w:pPr>
      <w:r>
        <w:t xml:space="preserve">A.1 Windows x64</w:t>
      </w:r>
    </w:p>
    <w:p>
      <w:pPr>
        <w:spacing w:after="120" w:line="270"/>
        <w:ind w:left="200" w:hanging="200"/>
      </w:pPr>
      <w:r>
        <w:rPr>
          <w:rFonts w:ascii="Times New Roman" w:cs="Times New Roman" w:eastAsia="Times New Roman" w:hAnsi="Times New Roman"/>
        </w:rPr>
        <w:t xml:space="preserve">1. Right-click the ZIP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w:t>
      </w:r>
    </w:p>
    <w:p>
      <w:pPr>
        <w:spacing w:after="120" w:line="270"/>
        <w:ind w:left="200" w:hanging="200"/>
      </w:pPr>
      <w:r>
        <w:rPr>
          <w:rFonts w:ascii="Times New Roman" w:cs="Times New Roman" w:eastAsia="Times New Roman" w:hAnsi="Times New Roman"/>
        </w:rPr>
        <w:t xml:space="preserve">2. Double-click </w:t>
      </w:r>
      <w:r>
        <w:rPr>
          <w:rFonts w:ascii="Times New Roman" w:cs="Times New Roman" w:eastAsia="Times New Roman" w:hAnsi="Times New Roman"/>
          <w:b/>
          <w:bCs/>
        </w:rPr>
        <w:t xml:space="preserve">Install-Dependencies-Windows.cmd</w:t>
      </w:r>
      <w:r>
        <w:rPr>
          <w:rFonts w:ascii="Times New Roman" w:cs="Times New Roman" w:eastAsia="Times New Roman" w:hAnsi="Times New Roman"/>
        </w:rPr>
        <w:t xml:space="preserve">. Allow the administrator prompt and wait for “Dependencies ready”.</w:t>
      </w:r>
    </w:p>
    <w:p>
      <w:pPr>
        <w:spacing w:after="120" w:line="270"/>
        <w:ind w:left="200" w:hanging="200"/>
      </w:pPr>
      <w:r>
        <w:rPr>
          <w:rFonts w:ascii="Times New Roman" w:cs="Times New Roman" w:eastAsia="Times New Roman" w:hAnsi="Times New Roman"/>
        </w:rPr>
        <w:t xml:space="preserve">3. Double-click </w:t>
      </w:r>
      <w:r>
        <w:rPr>
          <w:rFonts w:ascii="Times New Roman" w:cs="Times New Roman" w:eastAsia="Times New Roman" w:hAnsi="Times New Roman"/>
          <w:b/>
          <w:bCs/>
        </w:rPr>
        <w:t xml:space="preserve">Install-Application-Windows.cmd</w:t>
      </w:r>
      <w:r>
        <w:rPr>
          <w:rFonts w:ascii="Times New Roman" w:cs="Times New Roman" w:eastAsia="Times New Roman" w:hAnsi="Times New Roman"/>
        </w:rPr>
        <w:t xml:space="preserve">. The app opens after installation.</w:t>
      </w:r>
    </w:p>
    <w:p>
      <w:pPr>
        <w:spacing w:after="120" w:line="270"/>
        <w:ind w:left="200" w:hanging="200"/>
      </w:pPr>
      <w:r>
        <w:rPr>
          <w:rFonts w:ascii="Times New Roman" w:cs="Times New Roman" w:eastAsia="Times New Roman" w:hAnsi="Times New Roman"/>
        </w:rPr>
        <w:t xml:space="preserve">4. On later runs, open </w:t>
      </w:r>
      <w:r>
        <w:rPr>
          <w:rFonts w:ascii="Times New Roman" w:cs="Times New Roman" w:eastAsia="Times New Roman" w:hAnsi="Times New Roman"/>
          <w:b/>
          <w:bCs/>
        </w:rPr>
        <w:t xml:space="preserve">DentalExplain</w:t>
      </w:r>
      <w:r>
        <w:rPr>
          <w:rFonts w:ascii="Times New Roman" w:cs="Times New Roman" w:eastAsia="Times New Roman" w:hAnsi="Times New Roman"/>
        </w:rPr>
        <w:t xml:space="preserve"> from the desktop or Start menu. The shortcut starts the installed DentalExplain.exe.</w:t>
      </w:r>
    </w:p>
    <w:p>
      <w:pPr>
        <w:pStyle w:val="Heading2"/>
        <w:keepNext/>
        <w:spacing w:after="140" w:before="220"/>
      </w:pPr>
      <w:r>
        <w:t xml:space="preserve">A.2 Apple Silicon macOS</w:t>
      </w:r>
    </w:p>
    <w:p>
      <w:pPr>
        <w:spacing w:after="120" w:line="270"/>
        <w:ind w:left="200" w:hanging="200"/>
      </w:pPr>
      <w:r>
        <w:rPr>
          <w:rFonts w:ascii="Times New Roman" w:cs="Times New Roman" w:eastAsia="Times New Roman" w:hAnsi="Times New Roman"/>
        </w:rPr>
        <w:t xml:space="preserve">1. Double-click the ZIP to extract it.</w:t>
      </w:r>
    </w:p>
    <w:p>
      <w:pPr>
        <w:spacing w:after="120" w:line="270"/>
        <w:ind w:left="200" w:hanging="200"/>
      </w:pPr>
      <w:r>
        <w:rPr>
          <w:rFonts w:ascii="Times New Roman" w:cs="Times New Roman" w:eastAsia="Times New Roman" w:hAnsi="Times New Roman"/>
        </w:rPr>
        <w:t xml:space="preserve">2. Double-click </w:t>
      </w:r>
      <w:r>
        <w:rPr>
          <w:rFonts w:ascii="Times New Roman" w:cs="Times New Roman" w:eastAsia="Times New Roman" w:hAnsi="Times New Roman"/>
          <w:b/>
          <w:bCs/>
        </w:rPr>
        <w:t xml:space="preserve">Install-Dependencies-macOS.command</w:t>
      </w:r>
      <w:r>
        <w:rPr>
          <w:rFonts w:ascii="Times New Roman" w:cs="Times New Roman" w:eastAsia="Times New Roman" w:hAnsi="Times New Roman"/>
        </w:rPr>
        <w:t xml:space="preserve">. Enter your administrator password if requested; wait for “Dependencies ready”.</w:t>
      </w:r>
    </w:p>
    <w:p>
      <w:pPr>
        <w:spacing w:after="120" w:line="270"/>
        <w:ind w:left="200" w:hanging="200"/>
      </w:pPr>
      <w:r>
        <w:rPr>
          <w:rFonts w:ascii="Times New Roman" w:cs="Times New Roman" w:eastAsia="Times New Roman" w:hAnsi="Times New Roman"/>
        </w:rPr>
        <w:t xml:space="preserve">3. Double-click </w:t>
      </w:r>
      <w:r>
        <w:rPr>
          <w:rFonts w:ascii="Times New Roman" w:cs="Times New Roman" w:eastAsia="Times New Roman" w:hAnsi="Times New Roman"/>
          <w:b/>
          <w:bCs/>
        </w:rPr>
        <w:t xml:space="preserve">Install-Application-macOS.command</w:t>
      </w:r>
      <w:r>
        <w:rPr>
          <w:rFonts w:ascii="Times New Roman" w:cs="Times New Roman" w:eastAsia="Times New Roman" w:hAnsi="Times New Roman"/>
        </w:rPr>
        <w:t xml:space="preserve">. The app opens after installation.</w:t>
      </w:r>
    </w:p>
    <w:p>
      <w:pPr>
        <w:spacing w:after="120" w:line="270"/>
        <w:ind w:left="200" w:hanging="200"/>
      </w:pPr>
      <w:r>
        <w:rPr>
          <w:rFonts w:ascii="Times New Roman" w:cs="Times New Roman" w:eastAsia="Times New Roman" w:hAnsi="Times New Roman"/>
        </w:rPr>
        <w:t xml:space="preserve">4. On later runs, open </w:t>
      </w:r>
      <w:r>
        <w:rPr>
          <w:rFonts w:ascii="Times New Roman" w:cs="Times New Roman" w:eastAsia="Times New Roman" w:hAnsi="Times New Roman"/>
          <w:b/>
          <w:bCs/>
        </w:rPr>
        <w:t xml:space="preserve">DentalExplain.app</w:t>
      </w:r>
      <w:r>
        <w:rPr>
          <w:rFonts w:ascii="Times New Roman" w:cs="Times New Roman" w:eastAsia="Times New Roman" w:hAnsi="Times New Roman"/>
        </w:rPr>
        <w:t xml:space="preserve"> in your home folder’s </w:t>
      </w:r>
      <w:r>
        <w:rPr>
          <w:rFonts w:ascii="Times New Roman" w:cs="Times New Roman" w:eastAsia="Times New Roman" w:hAnsi="Times New Roman"/>
          <w:b/>
          <w:bCs/>
        </w:rPr>
        <w:t xml:space="preserve">Applications</w:t>
      </w:r>
      <w:r>
        <w:rPr>
          <w:rFonts w:ascii="Times New Roman" w:cs="Times New Roman" w:eastAsia="Times New Roman" w:hAnsi="Times New Roman"/>
        </w:rPr>
        <w:t xml:space="preserve"> folder.</w:t>
      </w:r>
    </w:p>
    <w:p>
      <w:pPr>
        <w:pStyle w:val="Heading2"/>
        <w:keepNext/>
        <w:spacing w:after="140" w:before="220"/>
      </w:pPr>
      <w:r>
        <w:t xml:space="preserve">A.3 Ubuntu 24.04 x64 desktop</w:t>
      </w:r>
    </w:p>
    <w:p>
      <w:pPr>
        <w:spacing w:after="120" w:line="270"/>
        <w:ind w:left="200" w:hanging="200"/>
      </w:pPr>
      <w:r>
        <w:rPr>
          <w:rFonts w:ascii="Times New Roman" w:cs="Times New Roman" w:eastAsia="Times New Roman" w:hAnsi="Times New Roman"/>
        </w:rPr>
        <w:t xml:space="preserve">1. Extract the ZIP and open a terminal in the extracted folder.</w:t>
      </w:r>
    </w:p>
    <w:p>
      <w:pPr>
        <w:spacing w:after="120" w:line="270"/>
        <w:ind w:left="200" w:hanging="200"/>
      </w:pPr>
      <w:r>
        <w:rPr>
          <w:rFonts w:ascii="Times New Roman" w:cs="Times New Roman" w:eastAsia="Times New Roman" w:hAnsi="Times New Roman"/>
        </w:rPr>
        <w:t xml:space="preserve">2. Run </w:t>
      </w:r>
      <w:r>
        <w:rPr>
          <w:rFonts w:ascii="Times New Roman" w:cs="Times New Roman" w:eastAsia="Times New Roman" w:hAnsi="Times New Roman"/>
        </w:rPr>
        <w:t xml:space="preserve">bash Install-Dependencies-Linux.sh</w:t>
      </w:r>
      <w:r>
        <w:rPr>
          <w:rFonts w:ascii="Times New Roman" w:cs="Times New Roman" w:eastAsia="Times New Roman" w:hAnsi="Times New Roman"/>
        </w:rPr>
        <w:t xml:space="preserve">. Enter your administrator password if requested. The first run compiles SWI-Prolog 10.0.2 with JPL and can take several minutes.</w:t>
      </w:r>
    </w:p>
    <w:p>
      <w:pPr>
        <w:spacing w:after="120" w:line="270"/>
        <w:ind w:left="200" w:hanging="200"/>
      </w:pPr>
      <w:r>
        <w:rPr>
          <w:rFonts w:ascii="Times New Roman" w:cs="Times New Roman" w:eastAsia="Times New Roman" w:hAnsi="Times New Roman"/>
        </w:rPr>
        <w:t xml:space="preserve">3. Run </w:t>
      </w:r>
      <w:r>
        <w:rPr>
          <w:rFonts w:ascii="Times New Roman" w:cs="Times New Roman" w:eastAsia="Times New Roman" w:hAnsi="Times New Roman"/>
        </w:rPr>
        <w:t xml:space="preserve">bash Install-Application-Linux.sh</w:t>
      </w:r>
      <w:r>
        <w:rPr>
          <w:rFonts w:ascii="Times New Roman" w:cs="Times New Roman" w:eastAsia="Times New Roman" w:hAnsi="Times New Roman"/>
        </w:rPr>
        <w:t xml:space="preserve">. The app opens after installation; a graphical desktop is required.</w:t>
      </w:r>
    </w:p>
    <w:p>
      <w:pPr>
        <w:spacing w:after="120" w:line="270"/>
        <w:ind w:left="200" w:hanging="200"/>
      </w:pPr>
      <w:r>
        <w:rPr>
          <w:rFonts w:ascii="Times New Roman" w:cs="Times New Roman" w:eastAsia="Times New Roman" w:hAnsi="Times New Roman"/>
        </w:rPr>
        <w:t xml:space="preserve">4. On later runs, open </w:t>
      </w:r>
      <w:r>
        <w:rPr>
          <w:rFonts w:ascii="Times New Roman" w:cs="Times New Roman" w:eastAsia="Times New Roman" w:hAnsi="Times New Roman"/>
          <w:b/>
          <w:bCs/>
        </w:rPr>
        <w:t xml:space="preserve">DentalExplain</w:t>
      </w:r>
      <w:r>
        <w:rPr>
          <w:rFonts w:ascii="Times New Roman" w:cs="Times New Roman" w:eastAsia="Times New Roman" w:hAnsi="Times New Roman"/>
        </w:rPr>
        <w:t xml:space="preserve"> from the application menu.</w:t>
      </w:r>
    </w:p>
    <w:p>
      <w:pPr>
        <w:pStyle w:val="Heading2"/>
        <w:keepNext/>
        <w:spacing w:after="140" w:before="220"/>
      </w:pPr>
      <w:r>
        <w:t xml:space="preserve">A.4 Launch troubleshooting</w:t>
      </w:r>
    </w:p>
    <w:p>
      <w:pPr>
        <w:spacing w:after="120" w:line="270"/>
      </w:pPr>
      <w:r>
        <w:rPr>
          <w:rFonts w:ascii="Times New Roman" w:cs="Times New Roman" w:eastAsia="Times New Roman" w:hAnsi="Times New Roman"/>
        </w:rPr>
        <w:t xml:space="preserve">If dependencies are missing, rerun the dependency script, then the application script. Check your internet connection if downloading fails; a checksum mismatch stops installation, so retry with a fresh official download. Existing unrelated Java/Prolog installations are retained. Use the supported operating system and architecture. For missing extracted files, extract the complete ZIP again. If macOS executable permissions were lost during extraction, run </w:t>
      </w:r>
      <w:r>
        <w:rPr>
          <w:rFonts w:ascii="Times New Roman" w:cs="Times New Roman" w:eastAsia="Times New Roman" w:hAnsi="Times New Roman"/>
        </w:rPr>
        <w:t xml:space="preserve">chmod +x Install-*.command</w:t>
      </w:r>
      <w:r>
        <w:rPr>
          <w:rFonts w:ascii="Times New Roman" w:cs="Times New Roman" w:eastAsia="Times New Roman" w:hAnsi="Times New Roman"/>
        </w:rPr>
        <w:t xml:space="preserve">. Windows signing and macOS notarization remain pending; follow your computer owner’s software policy if downloaded software is blocked.</w:t>
      </w:r>
    </w:p>
    <w:p>
      <w:pPr>
        <w:pStyle w:val="Heading1"/>
        <w:keepNext/>
        <w:pageBreakBefore/>
        <w:spacing w:after="140" w:before="0"/>
      </w:pPr>
      <w:r>
        <w:t xml:space="preserve">Appendix B Human Expert Questionnaire</w:t>
      </w:r>
    </w:p>
    <w:p>
      <w:pPr>
        <w:spacing w:after="120" w:line="270"/>
      </w:pPr>
      <w:r>
        <w:rPr>
          <w:rFonts w:ascii="Times New Roman" w:cs="Times New Roman" w:eastAsia="Times New Roman" w:hAnsi="Times New Roman"/>
        </w:rPr>
        <w:t xml:space="preserve">Human expert: Kushala Jayawickrama, final-year fifth-year Dental Surgery undergraduate, University of Peradeniya. Status: conducted questionnaire, confirmed by the project author. These 15 questions were asked of the human expert and informed the knowledge alongside published sources. Responses and interview dates are not reproduced; completed clinical approval is not claimed.</w:t>
      </w:r>
    </w:p>
    <w:p>
      <w:pPr>
        <w:pStyle w:val="Heading2"/>
        <w:keepNext/>
        <w:spacing w:after="140" w:before="220"/>
      </w:pPr>
      <w:r>
        <w:t xml:space="preserve">B.1 Questionnaire questions</w:t>
      </w:r>
    </w:p>
    <w:p>
      <w:pPr>
        <w:spacing w:after="120" w:line="270"/>
        <w:ind w:left="200" w:hanging="200"/>
      </w:pPr>
      <w:r>
        <w:rPr>
          <w:rFonts w:ascii="Times New Roman" w:cs="Times New Roman" w:eastAsia="Times New Roman" w:hAnsi="Times New Roman"/>
        </w:rPr>
        <w:t xml:space="preserve">1. Which reported symptoms and dentist-supplied findings are most useful when assessing common tooth pain and gum symptoms within these five targets? Relevant knowledge: all rule groups.</w:t>
      </w:r>
    </w:p>
    <w:p>
      <w:pPr>
        <w:spacing w:after="120" w:line="270"/>
        <w:ind w:left="200" w:hanging="200"/>
      </w:pPr>
      <w:r>
        <w:rPr>
          <w:rFonts w:ascii="Times New Roman" w:cs="Times New Roman" w:eastAsia="Times New Roman" w:hAnsi="Times New Roman"/>
        </w:rPr>
        <w:t xml:space="preserve">2. Which combinations of cavitation, softened tissue, discoloration and radiographic findings support a caries candidate, including a painless presentation? Relevant rules: r01-r04.</w:t>
      </w:r>
    </w:p>
    <w:p>
      <w:pPr>
        <w:spacing w:after="120" w:line="270"/>
        <w:ind w:left="200" w:hanging="200"/>
      </w:pPr>
      <w:r>
        <w:rPr>
          <w:rFonts w:ascii="Times New Roman" w:cs="Times New Roman" w:eastAsia="Times New Roman" w:hAnsi="Times New Roman"/>
        </w:rPr>
        <w:t xml:space="preserve">3. How should brief cold- or sweet-provoked pain be distinguished from pain that persists after the stimulus stops? Relevant rules: r05-r08 and r14.</w:t>
      </w:r>
    </w:p>
    <w:p>
      <w:pPr>
        <w:spacing w:after="120" w:line="270"/>
        <w:ind w:left="200" w:hanging="200"/>
      </w:pPr>
      <w:r>
        <w:rPr>
          <w:rFonts w:ascii="Times New Roman" w:cs="Times New Roman" w:eastAsia="Times New Roman" w:hAnsi="Times New Roman"/>
        </w:rPr>
        <w:t xml:space="preserve">4. Which explicitly absent findings should be required before supporting the implemented reversible-pulpitis pattern? Relevant rules: r09-r12.</w:t>
      </w:r>
    </w:p>
    <w:p>
      <w:pPr>
        <w:spacing w:after="120" w:line="270"/>
        <w:ind w:left="200" w:hanging="200"/>
      </w:pPr>
      <w:r>
        <w:rPr>
          <w:rFonts w:ascii="Times New Roman" w:cs="Times New Roman" w:eastAsia="Times New Roman" w:hAnsi="Times New Roman"/>
        </w:rPr>
        <w:t xml:space="preserve">5. How should spontaneous pain, sleep interruption and lingering thermal pain contribute to a symptomatic irreversible-pulpitis candidate? Relevant rules: r13-r17.</w:t>
      </w:r>
    </w:p>
    <w:p>
      <w:pPr>
        <w:spacing w:after="120" w:line="270"/>
        <w:ind w:left="200" w:hanging="200"/>
      </w:pPr>
      <w:r>
        <w:rPr>
          <w:rFonts w:ascii="Times New Roman" w:cs="Times New Roman" w:eastAsia="Times New Roman" w:hAnsi="Times New Roman"/>
        </w:rPr>
        <w:t xml:space="preserve">6. What changes in question applicability and interpretation are needed for primary teeth compared with permanent teeth? Relevant facts: f07 and f14-f16; rules r10 and r15.</w:t>
      </w:r>
    </w:p>
    <w:p>
      <w:pPr>
        <w:spacing w:after="120" w:line="270"/>
        <w:ind w:left="200" w:hanging="200"/>
      </w:pPr>
      <w:r>
        <w:rPr>
          <w:rFonts w:ascii="Times New Roman" w:cs="Times New Roman" w:eastAsia="Times New Roman" w:hAnsi="Times New Roman"/>
        </w:rPr>
        <w:t xml:space="preserve">7. How should immature permanent roots affect pulp testing and the required supporting evidence? Relevant facts: f15; rules r11 and r17.</w:t>
      </w:r>
    </w:p>
    <w:p>
      <w:pPr>
        <w:spacing w:after="120" w:line="270"/>
        <w:ind w:left="200" w:hanging="200"/>
      </w:pPr>
      <w:r>
        <w:rPr>
          <w:rFonts w:ascii="Times New Roman" w:cs="Times New Roman" w:eastAsia="Times New Roman" w:hAnsi="Times New Roman"/>
        </w:rPr>
        <w:t xml:space="preserve">8. For mature permanent teeth, how should a brief, lingering or absent thermal response be interpreted alongside other findings? Relevant rules: r12 and r16.</w:t>
      </w:r>
    </w:p>
    <w:p>
      <w:pPr>
        <w:spacing w:after="120" w:line="270"/>
        <w:ind w:left="200" w:hanging="200"/>
      </w:pPr>
      <w:r>
        <w:rPr>
          <w:rFonts w:ascii="Times New Roman" w:cs="Times New Roman" w:eastAsia="Times New Roman" w:hAnsi="Times New Roman"/>
        </w:rPr>
        <w:t xml:space="preserve">9. Which combinations of plaque, bleeding, red/swollen gingiva and bleeding-on-probing measurements support gingival inflammation? Relevant rules: r18-r19 and r25.</w:t>
      </w:r>
    </w:p>
    <w:p>
      <w:pPr>
        <w:spacing w:after="120" w:line="270"/>
        <w:ind w:left="200" w:hanging="200"/>
      </w:pPr>
      <w:r>
        <w:rPr>
          <w:rFonts w:ascii="Times New Roman" w:cs="Times New Roman" w:eastAsia="Times New Roman" w:hAnsi="Times New Roman"/>
        </w:rPr>
        <w:t xml:space="preserve">10. What attachment-loss, probing-depth and previous-destruction findings are required for the implemented intact-periodontium gingivitis candidate? Relevant rule: r20.</w:t>
      </w:r>
    </w:p>
    <w:p>
      <w:pPr>
        <w:spacing w:after="120" w:line="270"/>
        <w:ind w:left="200" w:hanging="200"/>
      </w:pPr>
      <w:r>
        <w:rPr>
          <w:rFonts w:ascii="Times New Roman" w:cs="Times New Roman" w:eastAsia="Times New Roman" w:hAnsi="Times New Roman"/>
        </w:rPr>
        <w:t xml:space="preserve">11. How should interdental attachment loss at nonadjacent teeth support a periodontitis case definition? Relevant rules: r21 and r23.</w:t>
      </w:r>
    </w:p>
    <w:p>
      <w:pPr>
        <w:spacing w:after="120" w:line="270"/>
        <w:ind w:left="200" w:hanging="200"/>
      </w:pPr>
      <w:r>
        <w:rPr>
          <w:rFonts w:ascii="Times New Roman" w:cs="Times New Roman" w:eastAsia="Times New Roman" w:hAnsi="Times New Roman"/>
        </w:rPr>
        <w:t xml:space="preserve">12. How should buccal/oral attachment loss, pocket depth, affected-tooth count and alternative local causes be combined? Relevant rules: r22-r24.</w:t>
      </w:r>
    </w:p>
    <w:p>
      <w:pPr>
        <w:spacing w:after="120" w:line="270"/>
        <w:ind w:left="200" w:hanging="200"/>
      </w:pPr>
      <w:r>
        <w:rPr>
          <w:rFonts w:ascii="Times New Roman" w:cs="Times New Roman" w:eastAsia="Times New Roman" w:hAnsi="Times New Roman"/>
        </w:rPr>
        <w:t xml:space="preserve">13. How should missing, Unknown, Not applicable and contradictory findings affect the assessment and requests for further information? Relevant processing: boundary validation and forward missing-prerequisite propagation.</w:t>
      </w:r>
    </w:p>
    <w:p>
      <w:pPr>
        <w:spacing w:after="120" w:line="270"/>
        <w:ind w:left="200" w:hanging="200"/>
      </w:pPr>
      <w:r>
        <w:rPr>
          <w:rFonts w:ascii="Times New Roman" w:cs="Times New Roman" w:eastAsia="Times New Roman" w:hAnsi="Times New Roman"/>
        </w:rPr>
        <w:t xml:space="preserve">14. Which warning signs or jaw-only presentations should leave the supported scope, and is the current routing appropriate? Relevant processing: outside_scope checks.</w:t>
      </w:r>
    </w:p>
    <w:p>
      <w:pPr>
        <w:spacing w:after="120" w:line="270"/>
        <w:ind w:left="200" w:hanging="200"/>
      </w:pPr>
      <w:r>
        <w:rPr>
          <w:rFonts w:ascii="Times New Roman" w:cs="Times New Roman" w:eastAsia="Times New Roman" w:hAnsi="Times New Roman"/>
        </w:rPr>
        <w:t xml:space="preserve">15. Do the 20 synthetic cases and their expected coexisting candidates match the intended rule behavior, and which facts, premises or questions require revision before clinical validation? Relevant evidence: Appendix C and Section 8.</w:t>
      </w:r>
    </w:p>
    <w:p>
      <w:pPr>
        <w:pStyle w:val="Heading1"/>
        <w:keepNext/>
        <w:pageBreakBefore/>
        <w:spacing w:after="140" w:before="0"/>
      </w:pPr>
      <w:r>
        <w:t xml:space="preserve">Appendix C Knowledge Catalogue</w:t>
      </w:r>
    </w:p>
    <w:p>
      <w:pPr>
        <w:spacing w:after="120" w:line="270"/>
      </w:pPr>
      <w:r>
        <w:rPr>
          <w:rFonts w:ascii="Times New Roman" w:cs="Times New Roman" w:eastAsia="Times New Roman" w:hAnsi="Times New Roman"/>
        </w:rPr>
        <w:t xml:space="preserve">These records are exported directly from the implemented Prolog catalogue. All 30 facts and 25 production rules retain pending clinical review status. Consultation observations, question schemas and test fixtures are not counted as domain facts.</w:t>
      </w:r>
    </w:p>
    <w:p>
      <w:pPr>
        <w:pStyle w:val="Heading2"/>
        <w:keepNext/>
        <w:spacing w:after="140" w:before="220"/>
      </w:pPr>
      <w:r>
        <w:t xml:space="preserve">C.1 Authored domain facts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600"/>
        <w:gridCol w:w="7760"/>
        <w:gridCol w:w="1000"/>
      </w:tblGrid>
      <w:tr>
        <w:trPr>
          <w:cantSplit/>
          <w:tblHeader/>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ID</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Domain statement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Source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damages mineralized tooth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Early caries may have no pain.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cavity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Softened tooth tissue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dentist-interpreted radiographic lesion can support caries.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White, brown or dark surface changes may accompany decay.</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can occur in primary and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 affects vital inflamed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Brief provoked pain can support 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conflicts with this reversible-pulpitis pattern.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Lingering thermal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 terminology refers to inflamed vital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primary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immature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Primary-tooth symptoms may not distinguish irreversible pulpitis from necrosis.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Cold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Sweet stimuli can provoke discomfort in decay-related presentations.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Heat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concerns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Plaque is associated with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Red or swollen gums support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Gum bleeding supports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on an intact periodontium has no attachment loss.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Previous periodontal destruction changes assessment of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 involves loss of tooth-supporting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Interdental attachment loss at two nonadjacent teeth supports the case definition.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case definition uses buccal/oral attachment loss of at least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definition also requires pocket depth greater than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f30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Attachment loss from nonperiodontal causes must be excluded.</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bl>
    <w:p>
      <w:pPr>
        <w:spacing w:after="80"/>
      </w:pPr>
    </w:p>
    <w:p>
      <w:pPr>
        <w:pStyle w:val="Heading2"/>
        <w:keepNext/>
        <w:spacing w:after="140" w:before="220"/>
      </w:pPr>
      <w:r>
        <w:t xml:space="preserve">C.2 Production rules</w:t>
      </w:r>
    </w:p>
    <w:p>
      <w:pPr>
        <w:spacing w:after="120" w:line="270"/>
      </w:pPr>
      <w:r>
        <w:rPr>
          <w:rFonts w:ascii="Times New Roman" w:cs="Times New Roman" w:eastAsia="Times New Roman" w:hAnsi="Times New Roman"/>
        </w:rPr>
        <w:t xml:space="preserve">Premise notation: eq is equality; gt/gte/lte compare numeric findings; derived requires an intermediate deduction; kb refers to a domain fact. Every listed premise must hold. Internal gum, trigger and warning identifiers come from checkbox expansion.</w:t>
      </w:r>
    </w:p>
    <w:p>
      <w:pPr>
        <w:keepNext/>
        <w:spacing w:after="45" w:before="80"/>
      </w:pPr>
      <w:r>
        <w:rPr>
          <w:rFonts w:ascii="Times New Roman" w:cs="Times New Roman" w:eastAsia="Times New Roman" w:hAnsi="Times New Roman"/>
          <w:b/>
          <w:bCs/>
          <w:sz w:val="21"/>
          <w:szCs w:val="21"/>
        </w:rPr>
        <w:t xml:space="preserve">R01   carious_lesion</w:t>
      </w:r>
    </w:p>
    <w:p>
      <w:pPr>
        <w:keepNext/>
        <w:spacing w:after="35" w:line="220"/>
      </w:pPr>
      <w:r>
        <w:rPr>
          <w:rFonts w:ascii="Times New Roman" w:cs="Times New Roman" w:eastAsia="Times New Roman" w:hAnsi="Times New Roman"/>
          <w:sz w:val="20"/>
          <w:szCs w:val="20"/>
        </w:rPr>
        <w:t xml:space="preserve">IF eq(cavity,yes)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R02   carious_lesion</w:t>
      </w:r>
    </w:p>
    <w:p>
      <w:pPr>
        <w:keepNext/>
        <w:spacing w:after="35" w:line="220"/>
      </w:pPr>
      <w:r>
        <w:rPr>
          <w:rFonts w:ascii="Times New Roman" w:cs="Times New Roman" w:eastAsia="Times New Roman" w:hAnsi="Times New Roman"/>
          <w:sz w:val="20"/>
          <w:szCs w:val="20"/>
        </w:rPr>
        <w:t xml:space="preserve">IF eq(radiographic_caries,yes)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R03   carious_lesion</w:t>
      </w:r>
    </w:p>
    <w:p>
      <w:pPr>
        <w:keepNext/>
        <w:spacing w:after="35" w:line="220"/>
      </w:pPr>
      <w:r>
        <w:rPr>
          <w:rFonts w:ascii="Times New Roman" w:cs="Times New Roman" w:eastAsia="Times New Roman" w:hAnsi="Times New Roman"/>
          <w:sz w:val="20"/>
          <w:szCs w:val="20"/>
        </w:rPr>
        <w:t xml:space="preserve">IF eq(discoloration,yes)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R04   candidate(caries)</w:t>
      </w:r>
    </w:p>
    <w:p>
      <w:pPr>
        <w:keepNext/>
        <w:spacing w:after="35" w:line="220"/>
      </w:pPr>
      <w:r>
        <w:rPr>
          <w:rFonts w:ascii="Times New Roman" w:cs="Times New Roman" w:eastAsia="Times New Roman" w:hAnsi="Times New Roman"/>
          <w:sz w:val="20"/>
          <w:szCs w:val="20"/>
        </w:rPr>
        <w:t xml:space="preserve">IF derived(carious_lesion) AND kb(applicable_dentition(caries,both)) THEN candidate(caries).</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R05   provoked_pain</w:t>
      </w:r>
    </w:p>
    <w:p>
      <w:pPr>
        <w:keepNext/>
        <w:spacing w:after="35" w:line="220"/>
      </w:pPr>
      <w:r>
        <w:rPr>
          <w:rFonts w:ascii="Times New Roman" w:cs="Times New Roman" w:eastAsia="Times New Roman" w:hAnsi="Times New Roman"/>
          <w:sz w:val="20"/>
          <w:szCs w:val="20"/>
        </w:rPr>
        <w:t xml:space="preserve">IF eq(tooth_pain,yes) AND eq(trigger_cold,yes) AND kb(pulpal_trigger(cold))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R06   provoked_pain</w:t>
      </w:r>
    </w:p>
    <w:p>
      <w:pPr>
        <w:keepNext/>
        <w:spacing w:after="35" w:line="220"/>
      </w:pPr>
      <w:r>
        <w:rPr>
          <w:rFonts w:ascii="Times New Roman" w:cs="Times New Roman" w:eastAsia="Times New Roman" w:hAnsi="Times New Roman"/>
          <w:sz w:val="20"/>
          <w:szCs w:val="20"/>
        </w:rPr>
        <w:t xml:space="preserve">IF eq(tooth_pain,yes) AND eq(trigger_sweet,yes) AND kb(pulpal_trigger(sweet)) THEN provoked_pain.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R07   provoked_pain</w:t>
      </w:r>
    </w:p>
    <w:p>
      <w:pPr>
        <w:keepNext/>
        <w:spacing w:after="35" w:line="220"/>
      </w:pPr>
      <w:r>
        <w:rPr>
          <w:rFonts w:ascii="Times New Roman" w:cs="Times New Roman" w:eastAsia="Times New Roman" w:hAnsi="Times New Roman"/>
          <w:sz w:val="20"/>
          <w:szCs w:val="20"/>
        </w:rPr>
        <w:t xml:space="preserve">IF eq(tooth_pain,yes) AND eq(trigger_hot,yes) AND kb(pulpal_trigger(hot))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R08   brief_provoked_pain</w:t>
      </w:r>
    </w:p>
    <w:p>
      <w:pPr>
        <w:keepNext/>
        <w:spacing w:after="35" w:line="220"/>
      </w:pPr>
      <w:r>
        <w:rPr>
          <w:rFonts w:ascii="Times New Roman" w:cs="Times New Roman" w:eastAsia="Times New Roman" w:hAnsi="Times New Roman"/>
          <w:sz w:val="20"/>
          <w:szCs w:val="20"/>
        </w:rPr>
        <w:t xml:space="preserve">IF derived(provoked_pain) AND eq(persistence,brief) THEN brief_provoked_pain.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R09   reversible_pattern</w:t>
      </w:r>
    </w:p>
    <w:p>
      <w:pPr>
        <w:keepNext/>
        <w:spacing w:after="35" w:line="220"/>
      </w:pPr>
      <w:r>
        <w:rPr>
          <w:rFonts w:ascii="Times New Roman" w:cs="Times New Roman" w:eastAsia="Times New Roman" w:hAnsi="Times New Roman"/>
          <w:sz w:val="20"/>
          <w:szCs w:val="20"/>
        </w:rPr>
        <w:t xml:space="preserve">IF derived(brief_provoked_pain) AND derived(carious_lesion) AND eq(spontaneous,no) AND eq(sleep_pain,no) AND eq(percussion,no) AND eq(apical_pathology,no) AND eq(facial_swelling,no) AND eq(drainage,no) AND eq(fever,no) THEN reversible_pattern.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R10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eq(tooth_type,primary) AND kb(unreliable_pulp_test(primary))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R11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eq(root_maturity,immature) AND kb(unreliable_pulp_test(immature))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R12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eq(root_maturity,mature) AND eq(thermal_response,brief) THEN candidate(reversible_pulpitis).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R13   irreversible_pattern</w:t>
      </w:r>
    </w:p>
    <w:p>
      <w:pPr>
        <w:keepNext/>
        <w:spacing w:after="35" w:line="220"/>
      </w:pPr>
      <w:r>
        <w:rPr>
          <w:rFonts w:ascii="Times New Roman" w:cs="Times New Roman" w:eastAsia="Times New Roman" w:hAnsi="Times New Roman"/>
          <w:sz w:val="20"/>
          <w:szCs w:val="20"/>
        </w:rPr>
        <w:t xml:space="preserve">IF eq(tooth_pain,yes) AND eq(spontaneous,yes) AND kb(supports(spontaneous_pain,irreversible_pulpitis))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R14   irreversible_pattern</w:t>
      </w:r>
    </w:p>
    <w:p>
      <w:pPr>
        <w:keepNext/>
        <w:spacing w:after="35" w:line="220"/>
      </w:pPr>
      <w:r>
        <w:rPr>
          <w:rFonts w:ascii="Times New Roman" w:cs="Times New Roman" w:eastAsia="Times New Roman" w:hAnsi="Times New Roman"/>
          <w:sz w:val="20"/>
          <w:szCs w:val="20"/>
        </w:rPr>
        <w:t xml:space="preserve">IF derived(provoked_pain) AND eq(persistence,lingering) AND kb(supports(lingering_pain,irreversible_pulpitis))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R15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eq(tooth_type,primary)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R16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eq(root_maturity,mature) AND eq(thermal_response,lingering) THEN candidate(irreversible_pulpitis).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R17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eq(root_maturity,immature)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R18   gingival_inflammation</w:t>
      </w:r>
    </w:p>
    <w:p>
      <w:pPr>
        <w:keepNext/>
        <w:spacing w:after="35" w:line="220"/>
      </w:pPr>
      <w:r>
        <w:rPr>
          <w:rFonts w:ascii="Times New Roman" w:cs="Times New Roman" w:eastAsia="Times New Roman" w:hAnsi="Times New Roman"/>
          <w:sz w:val="20"/>
          <w:szCs w:val="20"/>
        </w:rPr>
        <w:t xml:space="preserve">IF eq(gum_bleeding,yes)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R19   gingival_inflammation</w:t>
      </w:r>
    </w:p>
    <w:p>
      <w:pPr>
        <w:keepNext/>
        <w:spacing w:after="35" w:line="220"/>
      </w:pPr>
      <w:r>
        <w:rPr>
          <w:rFonts w:ascii="Times New Roman" w:cs="Times New Roman" w:eastAsia="Times New Roman" w:hAnsi="Times New Roman"/>
          <w:sz w:val="20"/>
          <w:szCs w:val="20"/>
        </w:rPr>
        <w:t xml:space="preserve">IF eq(red_gums,yes)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R20   candidate(gingivitis)</w:t>
      </w:r>
    </w:p>
    <w:p>
      <w:pPr>
        <w:keepNext/>
        <w:spacing w:after="35" w:line="220"/>
      </w:pPr>
      <w:r>
        <w:rPr>
          <w:rFonts w:ascii="Times New Roman" w:cs="Times New Roman" w:eastAsia="Times New Roman" w:hAnsi="Times New Roman"/>
          <w:sz w:val="20"/>
          <w:szCs w:val="20"/>
        </w:rPr>
        <w:t xml:space="preserve">IF derived(gingival_inflammation) AND eq(cal_mm,0) AND eq(prior_destruction,no) AND lte(pocket_mm,3) AND kb(intact_periodontium(gingivitis,0)) THEN candidate(gingivitis).</w:t>
      </w:r>
    </w:p>
    <w:p>
      <w:pPr>
        <w:pStyle w:val="Caption"/>
        <w:spacing w:after="65" w:line="200"/>
      </w:pPr>
      <w:r>
        <w:rPr>
          <w:rFonts w:ascii="Times New Roman" w:cs="Times New Roman" w:eastAsia="Times New Roman" w:hAnsi="Times New Roman"/>
        </w:rPr>
        <w:t xml:space="preserve">Source: efp_g; review: pending.</w:t>
      </w:r>
    </w:p>
    <w:p>
      <w:pPr>
        <w:keepNext/>
        <w:spacing w:after="45" w:before="80"/>
      </w:pPr>
      <w:r>
        <w:rPr>
          <w:rFonts w:ascii="Times New Roman" w:cs="Times New Roman" w:eastAsia="Times New Roman" w:hAnsi="Times New Roman"/>
          <w:b/>
          <w:bCs/>
          <w:sz w:val="21"/>
          <w:szCs w:val="21"/>
        </w:rPr>
        <w:t xml:space="preserve">R21   periodontal_destruction</w:t>
      </w:r>
    </w:p>
    <w:p>
      <w:pPr>
        <w:keepNext/>
        <w:spacing w:after="35" w:line="220"/>
      </w:pPr>
      <w:r>
        <w:rPr>
          <w:rFonts w:ascii="Times New Roman" w:cs="Times New Roman" w:eastAsia="Times New Roman" w:hAnsi="Times New Roman"/>
          <w:sz w:val="20"/>
          <w:szCs w:val="20"/>
        </w:rPr>
        <w:t xml:space="preserve">IF gt(cal_mm,0) AND eq(nonadjacent_teeth,yes) AND eq(nonperiodontal_causes,no) AND kb(exclude_nonperiodontal_causes)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R22   periodontal_destruction</w:t>
      </w:r>
    </w:p>
    <w:p>
      <w:pPr>
        <w:keepNext/>
        <w:spacing w:after="35" w:line="220"/>
      </w:pPr>
      <w:r>
        <w:rPr>
          <w:rFonts w:ascii="Times New Roman" w:cs="Times New Roman" w:eastAsia="Times New Roman" w:hAnsi="Times New Roman"/>
          <w:sz w:val="20"/>
          <w:szCs w:val="20"/>
        </w:rPr>
        <w:t xml:space="preserve">IF gte(buccal_cal_mm,3) AND derived(deep_pocket) AND eq(two_teeth,yes) AND eq(nonperiodontal_causes,no)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R23   candidate(periodontitis)</w:t>
      </w:r>
    </w:p>
    <w:p>
      <w:pPr>
        <w:keepNext/>
        <w:spacing w:after="35" w:line="220"/>
      </w:pPr>
      <w:r>
        <w:rPr>
          <w:rFonts w:ascii="Times New Roman" w:cs="Times New Roman" w:eastAsia="Times New Roman" w:hAnsi="Times New Roman"/>
          <w:sz w:val="20"/>
          <w:szCs w:val="20"/>
        </w:rPr>
        <w:t xml:space="preserve">IF derived(periodontal_destruction) AND kb(defining_feature(periodontitis,support_loss)) THEN candidate(periodontitis).</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R24   deep_pocket</w:t>
      </w:r>
    </w:p>
    <w:p>
      <w:pPr>
        <w:keepNext/>
        <w:spacing w:after="35" w:line="220"/>
      </w:pPr>
      <w:r>
        <w:rPr>
          <w:rFonts w:ascii="Times New Roman" w:cs="Times New Roman" w:eastAsia="Times New Roman" w:hAnsi="Times New Roman"/>
          <w:sz w:val="20"/>
          <w:szCs w:val="20"/>
        </w:rPr>
        <w:t xml:space="preserve">IF gt(pocket_mm,3) AND kb(buccal_pocket_threshold(3)) THEN deep_pocket.</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R25   gingival_inflammation</w:t>
      </w:r>
    </w:p>
    <w:p>
      <w:pPr>
        <w:keepNext/>
        <w:spacing w:after="35" w:line="220"/>
      </w:pPr>
      <w:r>
        <w:rPr>
          <w:rFonts w:ascii="Times New Roman" w:cs="Times New Roman" w:eastAsia="Times New Roman" w:hAnsi="Times New Roman"/>
          <w:sz w:val="20"/>
          <w:szCs w:val="20"/>
        </w:rPr>
        <w:t xml:space="preserve">IF gte(bop_percent,10) AND eq(plaque,yes) THEN gingival_inflammation.</w:t>
      </w:r>
    </w:p>
    <w:p>
      <w:pPr>
        <w:pStyle w:val="Caption"/>
        <w:spacing w:after="65" w:line="200"/>
      </w:pPr>
      <w:r>
        <w:rPr>
          <w:rFonts w:ascii="Times New Roman" w:cs="Times New Roman" w:eastAsia="Times New Roman" w:hAnsi="Times New Roman"/>
        </w:rPr>
        <w:t xml:space="preserve">Source: efp_g; review: pending.</w:t>
      </w:r>
    </w:p>
    <w:sectPr>
      <w:footerReference w:type="default" r:id="rId7"/>
      <w:pgSz w:w="11906" w:h="16838" w:orient="portrait"/>
      <w:pgMar w:top="11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48"/>
      <w:szCs w:val="48"/>
    </w:rPr>
  </w:style>
  <w:style w:type="paragraph" w:styleId="Heading1">
    <w:name w:val="Heading 1"/>
    <w:basedOn w:val="Normal"/>
    <w:next w:val="Normal"/>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4"/>
      <w:szCs w:val="24"/>
    </w:rPr>
  </w:style>
  <w:style w:type="paragraph" w:styleId="Caption">
    <w:name w:val="Caption"/>
    <w:basedOn w:val="Normal"/>
    <w:pPr>
      <w:spacing w:after="120" w:line="225"/>
    </w:pPr>
    <w:rPr>
      <w:rFonts w:ascii="Times New Roman" w:cs="Times New Roman" w:eastAsia="Times New Roman" w:hAnsi="Times New Roman"/>
      <w:color w:val="00000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5cae2915253d0c06cd50887e10da3d338f55e9.png"/><Relationship Id="rId9" Type="http://schemas.openxmlformats.org/officeDocument/2006/relationships/image" Target="media/dfd62f8a575789c9f6249341d8c3bffe7c5155f4.png"/><Relationship Id="rId10" Type="http://schemas.openxmlformats.org/officeDocument/2006/relationships/image" Target="media/a09aeb3d3a0e962d2bdfea75ea14553a7d1b81cb.png"/><Relationship Id="rId11" Type="http://schemas.openxmlformats.org/officeDocument/2006/relationships/image" Target="media/d7ffda5e493e84e0566ca500e10ce15c8e59894a.png"/><Relationship Id="rId12" Type="http://schemas.openxmlformats.org/officeDocument/2006/relationships/image" Target="media/a0ec6ea48155b67f5d2e49fdaca44af0043bbf6e.png"/><Relationship Id="rId13" Type="http://schemas.openxmlformats.org/officeDocument/2006/relationships/image" Target="media/317aea78dc57d2c4964d136f4cd86de52c9c354d.png"/><Relationship Id="rId14" Type="http://schemas.openxmlformats.org/officeDocument/2006/relationships/image" Target="media/dde603020c57dba8edccf606af5e4fd2c0aac9d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Un-named</cp:lastModifiedBy>
  <cp:revision>1</cp:revision>
  <dcterms:created xsi:type="dcterms:W3CDTF">2026-09-29T13:27:56.738Z</dcterms:created>
  <dcterms:modified xsi:type="dcterms:W3CDTF">2026-09-29T13:27:56.743Z</dcterms:modified>
</cp:coreProperties>
</file>

<file path=docProps/custom.xml><?xml version="1.0" encoding="utf-8"?>
<Properties xmlns="http://schemas.openxmlformats.org/officeDocument/2006/custom-properties" xmlns:vt="http://schemas.openxmlformats.org/officeDocument/2006/docPropsVTypes"/>
</file>