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Profile</w:t>
      </w:r>
    </w:p>
    <w:p>
      <w:r>
        <w:t>Here is a professional company profile based on the provided information:</w:t>
      </w:r>
    </w:p>
    <w:p>
      <w:r>
        <w:t>Andalucía TRADE is a public business agency that drives economic transformation and development in Andalusia, Spain. As a motor for economic growth, the agency provides a range of services to support the business sector, including entrepreneurial development, investment promotion, internationalization, innovation, and knowledge transfer. Andalucía TRADE's key objectives are to foster a favorable business environment, promote Andalusian companies, and facilitate the transfer of knowledge and technology.</w:t>
      </w:r>
    </w:p>
    <w:p>
      <w:r>
        <w:t>The agency plays a significant role in Andalusia's economic landscape, with a focus on promoting the region's economic interests globally. Through its international trade and business development efforts, Andalucía TRADE connects Andalusian companies with international partners, facilitating trade and investment opportunities. The agency's international presence is reflected in its participation in various trade missions and events, such as the Farnborough International Airshow and the Mission Inversa Agro Alimentaria.</w:t>
      </w:r>
    </w:p>
    <w:p>
      <w:r>
        <w:t>Andalucía TRADE also provides training and capacity-building programs for entrepreneurs and businesses, covering topics such as international management, digital transformation, and customs procedures. The agency's calendar of events and activities includes business-to-business (B2B) meetings, conferences, and webinars, offering opportunities for networking and knowledge sharing.</w:t>
      </w:r>
    </w:p>
    <w:p>
      <w:r>
        <w:t>Overall, Andalucía TRADE is a vital institution in Andalusia's business ecosystem, driving economic growth, promoting international trade, and supporting the development of Andalusian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