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Gmail Tool</w:t>
      </w:r>
    </w:p>
    <w:p>
      <w:pPr>
        <w:pStyle w:val="Heading1"/>
      </w:pPr>
      <w:r>
        <w:t>Overview</w:t>
      </w:r>
    </w:p>
    <w:p>
      <w:r>
        <w:t>Category: communication</w:t>
      </w:r>
    </w:p>
    <w:p>
      <w:r>
        <w:t>Description: Reads/sends Gmail through official OAuth architecture or mock mode.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