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765DED">
      <w:pPr>
        <w:spacing w:after="40"/>
        <w:jc w:val="center"/>
      </w:pPr>
      <w:r>
        <w:rPr>
          <w:b/>
          <w:bCs/>
          <w:color w:val="1F3864"/>
          <w:sz w:val="36"/>
          <w:szCs w:val="36"/>
        </w:rPr>
        <w:t>DEFECT REPORT</w:t>
      </w:r>
    </w:p>
    <w:p w14:paraId="24C50F29">
      <w:pPr>
        <w:spacing w:after="300"/>
        <w:jc w:val="center"/>
      </w:pPr>
      <w:r>
        <w:rPr>
          <w:i/>
          <w:iCs/>
          <w:color w:val="595959"/>
          <w:sz w:val="22"/>
          <w:szCs w:val="22"/>
        </w:rPr>
        <w:t>Login with Invalid Email Format is Accepted</w:t>
      </w:r>
    </w:p>
    <w:tbl>
      <w:tblPr>
        <w:tblStyle w:val="9"/>
        <w:tblW w:w="103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160"/>
        <w:gridCol w:w="2000"/>
        <w:gridCol w:w="3160"/>
      </w:tblGrid>
      <w:tr w14:paraId="60CF5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7C6D9" w:sz="4" w:space="0"/>
              <w:left w:val="single" w:color="B7C6D9" w:sz="4" w:space="0"/>
              <w:bottom w:val="single" w:color="B7C6D9" w:sz="4" w:space="0"/>
              <w:right w:val="single" w:color="B7C6D9" w:sz="4" w:space="0"/>
            </w:tcBorders>
            <w:shd w:val="clear" w:color="auto" w:fill="DCE6F1"/>
            <w:tcMar>
              <w:top w:w="100" w:type="dxa"/>
              <w:left w:w="150" w:type="dxa"/>
              <w:bottom w:w="100" w:type="dxa"/>
              <w:right w:w="150" w:type="dxa"/>
            </w:tcMar>
            <w:vAlign w:val="center"/>
          </w:tcPr>
          <w:p w14:paraId="3F187490">
            <w:r>
              <w:rPr>
                <w:b/>
                <w:bCs/>
                <w:color w:val="1F3864"/>
                <w:sz w:val="20"/>
                <w:szCs w:val="20"/>
              </w:rPr>
              <w:t>Defect ID</w:t>
            </w:r>
          </w:p>
        </w:tc>
        <w:tc>
          <w:tcPr>
            <w:tcW w:w="3160" w:type="dxa"/>
            <w:tcBorders>
              <w:top w:val="single" w:color="B7C6D9" w:sz="4" w:space="0"/>
              <w:left w:val="single" w:color="B7C6D9" w:sz="4" w:space="0"/>
              <w:bottom w:val="single" w:color="B7C6D9" w:sz="4" w:space="0"/>
              <w:right w:val="single" w:color="B7C6D9" w:sz="4" w:space="0"/>
            </w:tcBorders>
            <w:shd w:val="clear" w:color="auto" w:fill="FFFFFF"/>
            <w:tcMar>
              <w:top w:w="100" w:type="dxa"/>
              <w:left w:w="150" w:type="dxa"/>
              <w:bottom w:w="100" w:type="dxa"/>
              <w:right w:w="150" w:type="dxa"/>
            </w:tcMar>
            <w:vAlign w:val="center"/>
          </w:tcPr>
          <w:p w14:paraId="0B4D66CC">
            <w:r>
              <w:rPr>
                <w:b w:val="0"/>
                <w:bCs w:val="0"/>
                <w:color w:val="000000"/>
                <w:sz w:val="20"/>
                <w:szCs w:val="20"/>
              </w:rPr>
              <w:t>TICHI-DEF-001</w:t>
            </w:r>
          </w:p>
        </w:tc>
        <w:tc>
          <w:tcPr>
            <w:tcW w:w="2000" w:type="dxa"/>
            <w:tcBorders>
              <w:top w:val="single" w:color="B7C6D9" w:sz="4" w:space="0"/>
              <w:left w:val="single" w:color="B7C6D9" w:sz="4" w:space="0"/>
              <w:bottom w:val="single" w:color="B7C6D9" w:sz="4" w:space="0"/>
              <w:right w:val="single" w:color="B7C6D9" w:sz="4" w:space="0"/>
            </w:tcBorders>
            <w:shd w:val="clear" w:color="auto" w:fill="DCE6F1"/>
            <w:tcMar>
              <w:top w:w="100" w:type="dxa"/>
              <w:left w:w="150" w:type="dxa"/>
              <w:bottom w:w="100" w:type="dxa"/>
              <w:right w:w="150" w:type="dxa"/>
            </w:tcMar>
            <w:vAlign w:val="center"/>
          </w:tcPr>
          <w:p w14:paraId="7DE587B5">
            <w:r>
              <w:rPr>
                <w:b/>
                <w:bCs/>
                <w:color w:val="1F3864"/>
                <w:sz w:val="20"/>
                <w:szCs w:val="20"/>
              </w:rPr>
              <w:t>Date Reported</w:t>
            </w:r>
          </w:p>
        </w:tc>
        <w:tc>
          <w:tcPr>
            <w:tcW w:w="3160" w:type="dxa"/>
            <w:tcBorders>
              <w:top w:val="single" w:color="B7C6D9" w:sz="4" w:space="0"/>
              <w:left w:val="single" w:color="B7C6D9" w:sz="4" w:space="0"/>
              <w:bottom w:val="single" w:color="B7C6D9" w:sz="4" w:space="0"/>
              <w:right w:val="single" w:color="B7C6D9" w:sz="4" w:space="0"/>
            </w:tcBorders>
            <w:shd w:val="clear" w:color="auto" w:fill="FFFFFF"/>
            <w:tcMar>
              <w:top w:w="100" w:type="dxa"/>
              <w:left w:w="150" w:type="dxa"/>
              <w:bottom w:w="100" w:type="dxa"/>
              <w:right w:w="150" w:type="dxa"/>
            </w:tcMar>
            <w:vAlign w:val="center"/>
          </w:tcPr>
          <w:p w14:paraId="20D39609">
            <w:r>
              <w:rPr>
                <w:b w:val="0"/>
                <w:bCs w:val="0"/>
                <w:color w:val="000000"/>
                <w:sz w:val="20"/>
                <w:szCs w:val="20"/>
              </w:rPr>
              <w:t>03 July 2026</w:t>
            </w:r>
          </w:p>
        </w:tc>
      </w:tr>
      <w:tr w14:paraId="05D96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7C6D9" w:sz="4" w:space="0"/>
              <w:left w:val="single" w:color="B7C6D9" w:sz="4" w:space="0"/>
              <w:bottom w:val="single" w:color="B7C6D9" w:sz="4" w:space="0"/>
              <w:right w:val="single" w:color="B7C6D9" w:sz="4" w:space="0"/>
            </w:tcBorders>
            <w:shd w:val="clear" w:color="auto" w:fill="DCE6F1"/>
            <w:tcMar>
              <w:top w:w="100" w:type="dxa"/>
              <w:left w:w="150" w:type="dxa"/>
              <w:bottom w:w="100" w:type="dxa"/>
              <w:right w:w="150" w:type="dxa"/>
            </w:tcMar>
            <w:vAlign w:val="center"/>
          </w:tcPr>
          <w:p w14:paraId="094C2E6E">
            <w:r>
              <w:rPr>
                <w:b/>
                <w:bCs/>
                <w:color w:val="1F3864"/>
                <w:sz w:val="20"/>
                <w:szCs w:val="20"/>
              </w:rPr>
              <w:t>Reported By</w:t>
            </w:r>
          </w:p>
        </w:tc>
        <w:tc>
          <w:tcPr>
            <w:tcW w:w="3160" w:type="dxa"/>
            <w:tcBorders>
              <w:top w:val="single" w:color="B7C6D9" w:sz="4" w:space="0"/>
              <w:left w:val="single" w:color="B7C6D9" w:sz="4" w:space="0"/>
              <w:bottom w:val="single" w:color="B7C6D9" w:sz="4" w:space="0"/>
              <w:right w:val="single" w:color="B7C6D9" w:sz="4" w:space="0"/>
            </w:tcBorders>
            <w:shd w:val="clear" w:color="auto" w:fill="FFFFFF"/>
            <w:tcMar>
              <w:top w:w="100" w:type="dxa"/>
              <w:left w:w="150" w:type="dxa"/>
              <w:bottom w:w="100" w:type="dxa"/>
              <w:right w:w="150" w:type="dxa"/>
            </w:tcMar>
            <w:vAlign w:val="center"/>
          </w:tcPr>
          <w:p w14:paraId="6F2734A8">
            <w:pPr>
              <w:rPr>
                <w:rFonts w:hint="default"/>
                <w:lang w:val="en-US"/>
              </w:rPr>
            </w:pPr>
            <w:r>
              <w:rPr>
                <w:rFonts w:hint="default"/>
                <w:lang w:val="en-US"/>
              </w:rPr>
              <w:t>Vishwa JK</w:t>
            </w:r>
          </w:p>
        </w:tc>
        <w:tc>
          <w:tcPr>
            <w:tcW w:w="2000" w:type="dxa"/>
            <w:tcBorders>
              <w:top w:val="single" w:color="B7C6D9" w:sz="4" w:space="0"/>
              <w:left w:val="single" w:color="B7C6D9" w:sz="4" w:space="0"/>
              <w:bottom w:val="single" w:color="B7C6D9" w:sz="4" w:space="0"/>
              <w:right w:val="single" w:color="B7C6D9" w:sz="4" w:space="0"/>
            </w:tcBorders>
            <w:shd w:val="clear" w:color="auto" w:fill="DCE6F1"/>
            <w:tcMar>
              <w:top w:w="100" w:type="dxa"/>
              <w:left w:w="150" w:type="dxa"/>
              <w:bottom w:w="100" w:type="dxa"/>
              <w:right w:w="150" w:type="dxa"/>
            </w:tcMar>
            <w:vAlign w:val="center"/>
          </w:tcPr>
          <w:p w14:paraId="47975FE3">
            <w:r>
              <w:rPr>
                <w:b/>
                <w:bCs/>
                <w:color w:val="1F3864"/>
                <w:sz w:val="20"/>
                <w:szCs w:val="20"/>
              </w:rPr>
              <w:t>Assigned To</w:t>
            </w:r>
          </w:p>
        </w:tc>
        <w:tc>
          <w:tcPr>
            <w:tcW w:w="3160" w:type="dxa"/>
            <w:tcBorders>
              <w:top w:val="single" w:color="B7C6D9" w:sz="4" w:space="0"/>
              <w:left w:val="single" w:color="B7C6D9" w:sz="4" w:space="0"/>
              <w:bottom w:val="single" w:color="B7C6D9" w:sz="4" w:space="0"/>
              <w:right w:val="single" w:color="B7C6D9" w:sz="4" w:space="0"/>
            </w:tcBorders>
            <w:shd w:val="clear" w:color="auto" w:fill="FFFFFF"/>
            <w:tcMar>
              <w:top w:w="100" w:type="dxa"/>
              <w:left w:w="150" w:type="dxa"/>
              <w:bottom w:w="100" w:type="dxa"/>
              <w:right w:w="150" w:type="dxa"/>
            </w:tcMar>
            <w:vAlign w:val="center"/>
          </w:tcPr>
          <w:p w14:paraId="68CD466C">
            <w:r>
              <w:rPr>
                <w:b w:val="0"/>
                <w:bCs w:val="0"/>
                <w:color w:val="000000"/>
                <w:sz w:val="20"/>
                <w:szCs w:val="20"/>
              </w:rPr>
              <w:t>Development Team</w:t>
            </w:r>
          </w:p>
        </w:tc>
      </w:tr>
      <w:tr w14:paraId="228A5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7C6D9" w:sz="4" w:space="0"/>
              <w:left w:val="single" w:color="B7C6D9" w:sz="4" w:space="0"/>
              <w:bottom w:val="single" w:color="B7C6D9" w:sz="4" w:space="0"/>
              <w:right w:val="single" w:color="B7C6D9" w:sz="4" w:space="0"/>
            </w:tcBorders>
            <w:shd w:val="clear" w:color="auto" w:fill="DCE6F1"/>
            <w:tcMar>
              <w:top w:w="100" w:type="dxa"/>
              <w:left w:w="150" w:type="dxa"/>
              <w:bottom w:w="100" w:type="dxa"/>
              <w:right w:w="150" w:type="dxa"/>
            </w:tcMar>
            <w:vAlign w:val="center"/>
          </w:tcPr>
          <w:p w14:paraId="109D96C4">
            <w:r>
              <w:rPr>
                <w:b/>
                <w:bCs/>
                <w:color w:val="1F3864"/>
                <w:sz w:val="20"/>
                <w:szCs w:val="20"/>
              </w:rPr>
              <w:t>Application</w:t>
            </w:r>
          </w:p>
        </w:tc>
        <w:tc>
          <w:tcPr>
            <w:tcW w:w="3160" w:type="dxa"/>
            <w:tcBorders>
              <w:top w:val="single" w:color="B7C6D9" w:sz="4" w:space="0"/>
              <w:left w:val="single" w:color="B7C6D9" w:sz="4" w:space="0"/>
              <w:bottom w:val="single" w:color="B7C6D9" w:sz="4" w:space="0"/>
              <w:right w:val="single" w:color="B7C6D9" w:sz="4" w:space="0"/>
            </w:tcBorders>
            <w:shd w:val="clear" w:color="auto" w:fill="FFFFFF"/>
            <w:tcMar>
              <w:top w:w="100" w:type="dxa"/>
              <w:left w:w="150" w:type="dxa"/>
              <w:bottom w:w="100" w:type="dxa"/>
              <w:right w:w="150" w:type="dxa"/>
            </w:tcMar>
            <w:vAlign w:val="center"/>
          </w:tcPr>
          <w:p w14:paraId="19E18BE5">
            <w:r>
              <w:rPr>
                <w:b w:val="0"/>
                <w:bCs w:val="0"/>
                <w:color w:val="000000"/>
                <w:sz w:val="20"/>
                <w:szCs w:val="20"/>
              </w:rPr>
              <w:t>Tichi Web Application</w:t>
            </w:r>
          </w:p>
        </w:tc>
        <w:tc>
          <w:tcPr>
            <w:tcW w:w="2000" w:type="dxa"/>
            <w:tcBorders>
              <w:top w:val="single" w:color="B7C6D9" w:sz="4" w:space="0"/>
              <w:left w:val="single" w:color="B7C6D9" w:sz="4" w:space="0"/>
              <w:bottom w:val="single" w:color="B7C6D9" w:sz="4" w:space="0"/>
              <w:right w:val="single" w:color="B7C6D9" w:sz="4" w:space="0"/>
            </w:tcBorders>
            <w:shd w:val="clear" w:color="auto" w:fill="DCE6F1"/>
            <w:tcMar>
              <w:top w:w="100" w:type="dxa"/>
              <w:left w:w="150" w:type="dxa"/>
              <w:bottom w:w="100" w:type="dxa"/>
              <w:right w:w="150" w:type="dxa"/>
            </w:tcMar>
            <w:vAlign w:val="center"/>
          </w:tcPr>
          <w:p w14:paraId="60C0C6DD">
            <w:r>
              <w:rPr>
                <w:b/>
                <w:bCs/>
                <w:color w:val="1F3864"/>
                <w:sz w:val="20"/>
                <w:szCs w:val="20"/>
              </w:rPr>
              <w:t>Module / Feature</w:t>
            </w:r>
          </w:p>
        </w:tc>
        <w:tc>
          <w:tcPr>
            <w:tcW w:w="3160" w:type="dxa"/>
            <w:tcBorders>
              <w:top w:val="single" w:color="B7C6D9" w:sz="4" w:space="0"/>
              <w:left w:val="single" w:color="B7C6D9" w:sz="4" w:space="0"/>
              <w:bottom w:val="single" w:color="B7C6D9" w:sz="4" w:space="0"/>
              <w:right w:val="single" w:color="B7C6D9" w:sz="4" w:space="0"/>
            </w:tcBorders>
            <w:shd w:val="clear" w:color="auto" w:fill="FFFFFF"/>
            <w:tcMar>
              <w:top w:w="100" w:type="dxa"/>
              <w:left w:w="150" w:type="dxa"/>
              <w:bottom w:w="100" w:type="dxa"/>
              <w:right w:w="150" w:type="dxa"/>
            </w:tcMar>
            <w:vAlign w:val="center"/>
          </w:tcPr>
          <w:p w14:paraId="5FFA2B2D">
            <w:r>
              <w:rPr>
                <w:b w:val="0"/>
                <w:bCs w:val="0"/>
                <w:color w:val="000000"/>
                <w:sz w:val="20"/>
                <w:szCs w:val="20"/>
              </w:rPr>
              <w:t>Login</w:t>
            </w:r>
          </w:p>
        </w:tc>
      </w:tr>
      <w:tr w14:paraId="1E96C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7C6D9" w:sz="4" w:space="0"/>
              <w:left w:val="single" w:color="B7C6D9" w:sz="4" w:space="0"/>
              <w:bottom w:val="single" w:color="B7C6D9" w:sz="4" w:space="0"/>
              <w:right w:val="single" w:color="B7C6D9" w:sz="4" w:space="0"/>
            </w:tcBorders>
            <w:shd w:val="clear" w:color="auto" w:fill="DCE6F1"/>
            <w:tcMar>
              <w:top w:w="100" w:type="dxa"/>
              <w:left w:w="150" w:type="dxa"/>
              <w:bottom w:w="100" w:type="dxa"/>
              <w:right w:w="150" w:type="dxa"/>
            </w:tcMar>
            <w:vAlign w:val="center"/>
          </w:tcPr>
          <w:p w14:paraId="76B07216">
            <w:r>
              <w:rPr>
                <w:b/>
                <w:bCs/>
                <w:color w:val="1F3864"/>
                <w:sz w:val="20"/>
                <w:szCs w:val="20"/>
              </w:rPr>
              <w:t>Environment / URL</w:t>
            </w:r>
          </w:p>
        </w:tc>
        <w:tc>
          <w:tcPr>
            <w:tcW w:w="3160" w:type="dxa"/>
            <w:tcBorders>
              <w:top w:val="single" w:color="B7C6D9" w:sz="4" w:space="0"/>
              <w:left w:val="single" w:color="B7C6D9" w:sz="4" w:space="0"/>
              <w:bottom w:val="single" w:color="B7C6D9" w:sz="4" w:space="0"/>
              <w:right w:val="single" w:color="B7C6D9" w:sz="4" w:space="0"/>
            </w:tcBorders>
            <w:shd w:val="clear" w:color="auto" w:fill="FFFFFF"/>
            <w:tcMar>
              <w:top w:w="100" w:type="dxa"/>
              <w:left w:w="150" w:type="dxa"/>
              <w:bottom w:w="100" w:type="dxa"/>
              <w:right w:w="150" w:type="dxa"/>
            </w:tcMar>
            <w:vAlign w:val="center"/>
          </w:tcPr>
          <w:p w14:paraId="76C6951E">
            <w:r>
              <w:rPr>
                <w:b w:val="0"/>
                <w:bCs w:val="0"/>
                <w:color w:val="000000"/>
                <w:sz w:val="20"/>
                <w:szCs w:val="20"/>
              </w:rPr>
              <w:t>Staging — tichi-app-webapp-stage.web.app</w:t>
            </w:r>
          </w:p>
        </w:tc>
        <w:tc>
          <w:tcPr>
            <w:tcW w:w="2000" w:type="dxa"/>
            <w:tcBorders>
              <w:top w:val="single" w:color="B7C6D9" w:sz="4" w:space="0"/>
              <w:left w:val="single" w:color="B7C6D9" w:sz="4" w:space="0"/>
              <w:bottom w:val="single" w:color="B7C6D9" w:sz="4" w:space="0"/>
              <w:right w:val="single" w:color="B7C6D9" w:sz="4" w:space="0"/>
            </w:tcBorders>
            <w:shd w:val="clear" w:color="auto" w:fill="DCE6F1"/>
            <w:tcMar>
              <w:top w:w="100" w:type="dxa"/>
              <w:left w:w="150" w:type="dxa"/>
              <w:bottom w:w="100" w:type="dxa"/>
              <w:right w:w="150" w:type="dxa"/>
            </w:tcMar>
            <w:vAlign w:val="center"/>
          </w:tcPr>
          <w:p w14:paraId="09E1126E">
            <w:r>
              <w:rPr>
                <w:b/>
                <w:bCs/>
                <w:color w:val="1F3864"/>
                <w:sz w:val="20"/>
                <w:szCs w:val="20"/>
              </w:rPr>
              <w:t>Browser / Platform</w:t>
            </w:r>
          </w:p>
        </w:tc>
        <w:tc>
          <w:tcPr>
            <w:tcW w:w="3160" w:type="dxa"/>
            <w:tcBorders>
              <w:top w:val="single" w:color="B7C6D9" w:sz="4" w:space="0"/>
              <w:left w:val="single" w:color="B7C6D9" w:sz="4" w:space="0"/>
              <w:bottom w:val="single" w:color="B7C6D9" w:sz="4" w:space="0"/>
              <w:right w:val="single" w:color="B7C6D9" w:sz="4" w:space="0"/>
            </w:tcBorders>
            <w:shd w:val="clear" w:color="auto" w:fill="FFFFFF"/>
            <w:tcMar>
              <w:top w:w="100" w:type="dxa"/>
              <w:left w:w="150" w:type="dxa"/>
              <w:bottom w:w="100" w:type="dxa"/>
              <w:right w:w="150" w:type="dxa"/>
            </w:tcMar>
            <w:vAlign w:val="center"/>
          </w:tcPr>
          <w:p w14:paraId="17112F6A">
            <w:r>
              <w:rPr>
                <w:b w:val="0"/>
                <w:bCs w:val="0"/>
                <w:color w:val="000000"/>
                <w:sz w:val="20"/>
                <w:szCs w:val="20"/>
              </w:rPr>
              <w:t>Google Chrome (Latest) / Web</w:t>
            </w:r>
          </w:p>
        </w:tc>
      </w:tr>
      <w:tr w14:paraId="11F3D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7C6D9" w:sz="4" w:space="0"/>
              <w:left w:val="single" w:color="B7C6D9" w:sz="4" w:space="0"/>
              <w:bottom w:val="single" w:color="B7C6D9" w:sz="4" w:space="0"/>
              <w:right w:val="single" w:color="B7C6D9" w:sz="4" w:space="0"/>
            </w:tcBorders>
            <w:shd w:val="clear" w:color="auto" w:fill="DCE6F1"/>
            <w:tcMar>
              <w:top w:w="100" w:type="dxa"/>
              <w:left w:w="150" w:type="dxa"/>
              <w:bottom w:w="100" w:type="dxa"/>
              <w:right w:w="150" w:type="dxa"/>
            </w:tcMar>
            <w:vAlign w:val="center"/>
          </w:tcPr>
          <w:p w14:paraId="3504DE2B">
            <w:r>
              <w:rPr>
                <w:b/>
                <w:bCs/>
                <w:color w:val="1F3864"/>
                <w:sz w:val="20"/>
                <w:szCs w:val="20"/>
              </w:rPr>
              <w:t>Severity</w:t>
            </w:r>
          </w:p>
        </w:tc>
        <w:tc>
          <w:tcPr>
            <w:tcW w:w="3160" w:type="dxa"/>
            <w:tcBorders>
              <w:top w:val="single" w:color="B7C6D9" w:sz="4" w:space="0"/>
              <w:left w:val="single" w:color="B7C6D9" w:sz="4" w:space="0"/>
              <w:bottom w:val="single" w:color="B7C6D9" w:sz="4" w:space="0"/>
              <w:right w:val="single" w:color="B7C6D9" w:sz="4" w:space="0"/>
            </w:tcBorders>
            <w:shd w:val="clear" w:color="auto" w:fill="FFFFFF"/>
            <w:tcMar>
              <w:top w:w="100" w:type="dxa"/>
              <w:left w:w="150" w:type="dxa"/>
              <w:bottom w:w="100" w:type="dxa"/>
              <w:right w:w="150" w:type="dxa"/>
            </w:tcMar>
            <w:vAlign w:val="center"/>
          </w:tcPr>
          <w:p w14:paraId="7997BDCB">
            <w:r>
              <w:rPr>
                <w:b/>
                <w:bCs/>
                <w:color w:val="C00000"/>
                <w:sz w:val="20"/>
                <w:szCs w:val="20"/>
              </w:rPr>
              <w:t>High</w:t>
            </w:r>
          </w:p>
        </w:tc>
        <w:tc>
          <w:tcPr>
            <w:tcW w:w="2000" w:type="dxa"/>
            <w:tcBorders>
              <w:top w:val="single" w:color="B7C6D9" w:sz="4" w:space="0"/>
              <w:left w:val="single" w:color="B7C6D9" w:sz="4" w:space="0"/>
              <w:bottom w:val="single" w:color="B7C6D9" w:sz="4" w:space="0"/>
              <w:right w:val="single" w:color="B7C6D9" w:sz="4" w:space="0"/>
            </w:tcBorders>
            <w:shd w:val="clear" w:color="auto" w:fill="DCE6F1"/>
            <w:tcMar>
              <w:top w:w="100" w:type="dxa"/>
              <w:left w:w="150" w:type="dxa"/>
              <w:bottom w:w="100" w:type="dxa"/>
              <w:right w:w="150" w:type="dxa"/>
            </w:tcMar>
            <w:vAlign w:val="center"/>
          </w:tcPr>
          <w:p w14:paraId="5D1F36D9">
            <w:r>
              <w:rPr>
                <w:b/>
                <w:bCs/>
                <w:color w:val="1F3864"/>
                <w:sz w:val="20"/>
                <w:szCs w:val="20"/>
              </w:rPr>
              <w:t>Priority</w:t>
            </w:r>
          </w:p>
        </w:tc>
        <w:tc>
          <w:tcPr>
            <w:tcW w:w="3160" w:type="dxa"/>
            <w:tcBorders>
              <w:top w:val="single" w:color="B7C6D9" w:sz="4" w:space="0"/>
              <w:left w:val="single" w:color="B7C6D9" w:sz="4" w:space="0"/>
              <w:bottom w:val="single" w:color="B7C6D9" w:sz="4" w:space="0"/>
              <w:right w:val="single" w:color="B7C6D9" w:sz="4" w:space="0"/>
            </w:tcBorders>
            <w:shd w:val="clear" w:color="auto" w:fill="FFFFFF"/>
            <w:tcMar>
              <w:top w:w="100" w:type="dxa"/>
              <w:left w:w="150" w:type="dxa"/>
              <w:bottom w:w="100" w:type="dxa"/>
              <w:right w:w="150" w:type="dxa"/>
            </w:tcMar>
            <w:vAlign w:val="center"/>
          </w:tcPr>
          <w:p w14:paraId="5AEC3288">
            <w:r>
              <w:rPr>
                <w:b/>
                <w:bCs/>
                <w:color w:val="C00000"/>
                <w:sz w:val="20"/>
                <w:szCs w:val="20"/>
              </w:rPr>
              <w:t>High</w:t>
            </w:r>
          </w:p>
        </w:tc>
      </w:tr>
      <w:tr w14:paraId="25BCE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7C6D9" w:sz="4" w:space="0"/>
              <w:left w:val="single" w:color="B7C6D9" w:sz="4" w:space="0"/>
              <w:bottom w:val="single" w:color="B7C6D9" w:sz="4" w:space="0"/>
              <w:right w:val="single" w:color="B7C6D9" w:sz="4" w:space="0"/>
            </w:tcBorders>
            <w:shd w:val="clear" w:color="auto" w:fill="DCE6F1"/>
            <w:tcMar>
              <w:top w:w="100" w:type="dxa"/>
              <w:left w:w="150" w:type="dxa"/>
              <w:bottom w:w="100" w:type="dxa"/>
              <w:right w:w="150" w:type="dxa"/>
            </w:tcMar>
            <w:vAlign w:val="center"/>
          </w:tcPr>
          <w:p w14:paraId="25CFDE81">
            <w:r>
              <w:rPr>
                <w:b/>
                <w:bCs/>
                <w:color w:val="1F3864"/>
                <w:sz w:val="20"/>
                <w:szCs w:val="20"/>
              </w:rPr>
              <w:t>Status</w:t>
            </w:r>
          </w:p>
        </w:tc>
        <w:tc>
          <w:tcPr>
            <w:tcW w:w="3160" w:type="dxa"/>
            <w:tcBorders>
              <w:top w:val="single" w:color="B7C6D9" w:sz="4" w:space="0"/>
              <w:left w:val="single" w:color="B7C6D9" w:sz="4" w:space="0"/>
              <w:bottom w:val="single" w:color="B7C6D9" w:sz="4" w:space="0"/>
              <w:right w:val="single" w:color="B7C6D9" w:sz="4" w:space="0"/>
            </w:tcBorders>
            <w:shd w:val="clear" w:color="auto" w:fill="FFFFFF"/>
            <w:tcMar>
              <w:top w:w="100" w:type="dxa"/>
              <w:left w:w="150" w:type="dxa"/>
              <w:bottom w:w="100" w:type="dxa"/>
              <w:right w:w="150" w:type="dxa"/>
            </w:tcMar>
            <w:vAlign w:val="center"/>
          </w:tcPr>
          <w:p w14:paraId="1ED61793">
            <w:r>
              <w:rPr>
                <w:b w:val="0"/>
                <w:bCs w:val="0"/>
                <w:color w:val="000000"/>
                <w:sz w:val="20"/>
                <w:szCs w:val="20"/>
              </w:rPr>
              <w:t>Open</w:t>
            </w:r>
          </w:p>
        </w:tc>
        <w:tc>
          <w:tcPr>
            <w:tcW w:w="2000" w:type="dxa"/>
            <w:tcBorders>
              <w:top w:val="single" w:color="B7C6D9" w:sz="4" w:space="0"/>
              <w:left w:val="single" w:color="B7C6D9" w:sz="4" w:space="0"/>
              <w:bottom w:val="single" w:color="B7C6D9" w:sz="4" w:space="0"/>
              <w:right w:val="single" w:color="B7C6D9" w:sz="4" w:space="0"/>
            </w:tcBorders>
            <w:shd w:val="clear" w:color="auto" w:fill="DCE6F1"/>
            <w:tcMar>
              <w:top w:w="100" w:type="dxa"/>
              <w:left w:w="150" w:type="dxa"/>
              <w:bottom w:w="100" w:type="dxa"/>
              <w:right w:w="150" w:type="dxa"/>
            </w:tcMar>
            <w:vAlign w:val="center"/>
          </w:tcPr>
          <w:p w14:paraId="4BB16BF3">
            <w:r>
              <w:rPr>
                <w:b/>
                <w:bCs/>
                <w:color w:val="1F3864"/>
                <w:sz w:val="20"/>
                <w:szCs w:val="20"/>
              </w:rPr>
              <w:t>Build / Version</w:t>
            </w:r>
          </w:p>
        </w:tc>
        <w:tc>
          <w:tcPr>
            <w:tcW w:w="3160" w:type="dxa"/>
            <w:tcBorders>
              <w:top w:val="single" w:color="B7C6D9" w:sz="4" w:space="0"/>
              <w:left w:val="single" w:color="B7C6D9" w:sz="4" w:space="0"/>
              <w:bottom w:val="single" w:color="B7C6D9" w:sz="4" w:space="0"/>
              <w:right w:val="single" w:color="B7C6D9" w:sz="4" w:space="0"/>
            </w:tcBorders>
            <w:shd w:val="clear" w:color="auto" w:fill="FFFFFF"/>
            <w:tcMar>
              <w:top w:w="100" w:type="dxa"/>
              <w:left w:w="150" w:type="dxa"/>
              <w:bottom w:w="100" w:type="dxa"/>
              <w:right w:w="150" w:type="dxa"/>
            </w:tcMar>
            <w:vAlign w:val="center"/>
          </w:tcPr>
          <w:p w14:paraId="3C0E6680">
            <w:r>
              <w:rPr>
                <w:b w:val="0"/>
                <w:bCs w:val="0"/>
                <w:color w:val="000000"/>
                <w:sz w:val="20"/>
                <w:szCs w:val="20"/>
              </w:rPr>
              <w:t>N/A</w:t>
            </w:r>
          </w:p>
        </w:tc>
      </w:tr>
    </w:tbl>
    <w:p w14:paraId="26147990">
      <w:pPr>
        <w:pBdr>
          <w:bottom w:val="single" w:color="1F3864" w:sz="6" w:space="4"/>
        </w:pBdr>
        <w:spacing w:before="320" w:after="120"/>
      </w:pPr>
      <w:r>
        <w:rPr>
          <w:b/>
          <w:bCs/>
          <w:color w:val="1F3864"/>
          <w:sz w:val="24"/>
          <w:szCs w:val="24"/>
        </w:rPr>
        <w:t>1. Summary</w:t>
      </w:r>
    </w:p>
    <w:p w14:paraId="571AFC77">
      <w:pPr>
        <w:spacing w:after="100"/>
      </w:pPr>
      <w:r>
        <w:rPr>
          <w:sz w:val="21"/>
          <w:szCs w:val="21"/>
        </w:rPr>
        <w:t>The Login page of the Tichi web application accepts email addresses that do not conform to a valid email format and allows the user to log in successfully. Standard email format validation is missing or insufficiently enforced on the Login screen, allowing malformed input to pass through to authentication.</w:t>
      </w:r>
    </w:p>
    <w:p w14:paraId="32693E70">
      <w:pPr>
        <w:pBdr>
          <w:bottom w:val="single" w:color="1F3864" w:sz="6" w:space="4"/>
        </w:pBdr>
        <w:spacing w:before="320" w:after="120"/>
      </w:pPr>
      <w:r>
        <w:rPr>
          <w:b/>
          <w:bCs/>
          <w:color w:val="1F3864"/>
          <w:sz w:val="24"/>
          <w:szCs w:val="24"/>
        </w:rPr>
        <w:t>2. Environment Details</w:t>
      </w:r>
    </w:p>
    <w:p w14:paraId="684EDC15">
      <w:pPr>
        <w:spacing w:after="60"/>
        <w:ind w:left="360"/>
      </w:pPr>
      <w:r>
        <w:rPr>
          <w:sz w:val="21"/>
          <w:szCs w:val="21"/>
        </w:rPr>
        <w:t>•  Application URL: https://tichi-app-webapp-stage.web.app</w:t>
      </w:r>
    </w:p>
    <w:p w14:paraId="6793A94A">
      <w:pPr>
        <w:spacing w:after="60"/>
        <w:ind w:left="360"/>
      </w:pPr>
      <w:r>
        <w:rPr>
          <w:sz w:val="21"/>
          <w:szCs w:val="21"/>
        </w:rPr>
        <w:t>•  Environment: Staging</w:t>
      </w:r>
    </w:p>
    <w:p w14:paraId="4CC2ABA5">
      <w:pPr>
        <w:spacing w:after="60"/>
        <w:ind w:left="360"/>
      </w:pPr>
      <w:r>
        <w:rPr>
          <w:sz w:val="21"/>
          <w:szCs w:val="21"/>
        </w:rPr>
        <w:t>•  Browser: Google Chrome (Latest stable version)</w:t>
      </w:r>
    </w:p>
    <w:p w14:paraId="530F958D">
      <w:pPr>
        <w:spacing w:after="60"/>
        <w:ind w:left="360"/>
      </w:pPr>
      <w:r>
        <w:rPr>
          <w:sz w:val="21"/>
          <w:szCs w:val="21"/>
        </w:rPr>
        <w:t>•  Operating System: Windows 11 (or equivalent)</w:t>
      </w:r>
    </w:p>
    <w:p w14:paraId="50995AB9">
      <w:pPr>
        <w:spacing w:after="60"/>
        <w:ind w:left="360"/>
      </w:pPr>
      <w:r>
        <w:rPr>
          <w:sz w:val="21"/>
          <w:szCs w:val="21"/>
        </w:rPr>
        <w:t>•  Device Type: Desktop / Web</w:t>
      </w:r>
    </w:p>
    <w:p w14:paraId="2C0F0E70">
      <w:pPr>
        <w:pBdr>
          <w:bottom w:val="single" w:color="1F3864" w:sz="6" w:space="4"/>
        </w:pBdr>
        <w:spacing w:before="320" w:after="120"/>
      </w:pPr>
      <w:r>
        <w:rPr>
          <w:b/>
          <w:bCs/>
          <w:color w:val="1F3864"/>
          <w:sz w:val="24"/>
          <w:szCs w:val="24"/>
        </w:rPr>
        <w:t>3. Pre-conditions</w:t>
      </w:r>
    </w:p>
    <w:p w14:paraId="5A51626E">
      <w:pPr>
        <w:spacing w:after="60"/>
        <w:ind w:left="360"/>
      </w:pPr>
      <w:r>
        <w:rPr>
          <w:sz w:val="21"/>
          <w:szCs w:val="21"/>
        </w:rPr>
        <w:t>•  The tester has a registered account on the Tichi application (created via Sign Up).</w:t>
      </w:r>
    </w:p>
    <w:p w14:paraId="61F1BDFC">
      <w:pPr>
        <w:spacing w:after="60"/>
        <w:ind w:left="360"/>
      </w:pPr>
      <w:r>
        <w:rPr>
          <w:sz w:val="21"/>
          <w:szCs w:val="21"/>
        </w:rPr>
        <w:t>•  The tester has navigated to the Login page of the application.</w:t>
      </w:r>
    </w:p>
    <w:p w14:paraId="03FDC469">
      <w:pPr>
        <w:pBdr>
          <w:bottom w:val="single" w:color="1F3864" w:sz="6" w:space="4"/>
        </w:pBdr>
        <w:spacing w:before="320" w:after="120"/>
      </w:pPr>
      <w:r>
        <w:rPr>
          <w:b/>
          <w:bCs/>
          <w:color w:val="1F3864"/>
          <w:sz w:val="24"/>
          <w:szCs w:val="24"/>
        </w:rPr>
        <w:t>4. Steps to Reproduce</w:t>
      </w:r>
    </w:p>
    <w:p w14:paraId="1E9CD3B1">
      <w:pPr>
        <w:spacing w:after="60"/>
        <w:ind w:left="360"/>
      </w:pPr>
      <w:r>
        <w:rPr>
          <w:b/>
          <w:bCs/>
          <w:sz w:val="21"/>
          <w:szCs w:val="21"/>
        </w:rPr>
        <w:t xml:space="preserve">1. </w:t>
      </w:r>
      <w:r>
        <w:rPr>
          <w:sz w:val="21"/>
          <w:szCs w:val="21"/>
        </w:rPr>
        <w:t>Navigate to the Tichi application URL: https://tichi-app-webapp-stage.web.app.</w:t>
      </w:r>
    </w:p>
    <w:p w14:paraId="26A731F0">
      <w:pPr>
        <w:spacing w:after="60"/>
        <w:ind w:left="360"/>
      </w:pPr>
      <w:r>
        <w:rPr>
          <w:b/>
          <w:bCs/>
          <w:sz w:val="21"/>
          <w:szCs w:val="21"/>
        </w:rPr>
        <w:t xml:space="preserve">2. </w:t>
      </w:r>
      <w:r>
        <w:rPr>
          <w:sz w:val="21"/>
          <w:szCs w:val="21"/>
        </w:rPr>
        <w:t>On the Login page, enter an invalid email format in the Email field (e.g. "user@@invalid", "user@com", "user.com", or "user@ .com").</w:t>
      </w:r>
    </w:p>
    <w:p w14:paraId="5C8C3BE5">
      <w:pPr>
        <w:spacing w:after="60"/>
        <w:ind w:left="360"/>
      </w:pPr>
      <w:r>
        <w:rPr>
          <w:b/>
          <w:bCs/>
          <w:sz w:val="21"/>
          <w:szCs w:val="21"/>
        </w:rPr>
        <w:t xml:space="preserve">3. </w:t>
      </w:r>
      <w:r>
        <w:rPr>
          <w:sz w:val="21"/>
          <w:szCs w:val="21"/>
        </w:rPr>
        <w:t>Enter a valid, registered password in the Password field.</w:t>
      </w:r>
    </w:p>
    <w:p w14:paraId="4CD93FA6">
      <w:pPr>
        <w:spacing w:after="60"/>
        <w:ind w:left="360"/>
      </w:pPr>
      <w:r>
        <w:rPr>
          <w:b/>
          <w:bCs/>
          <w:sz w:val="21"/>
          <w:szCs w:val="21"/>
        </w:rPr>
        <w:t xml:space="preserve">4. </w:t>
      </w:r>
      <w:r>
        <w:rPr>
          <w:sz w:val="21"/>
          <w:szCs w:val="21"/>
        </w:rPr>
        <w:t>Click the "Login" button.</w:t>
      </w:r>
    </w:p>
    <w:p w14:paraId="13832D30">
      <w:pPr>
        <w:spacing w:after="60"/>
        <w:ind w:left="360"/>
      </w:pPr>
      <w:r>
        <w:rPr>
          <w:b/>
          <w:bCs/>
          <w:sz w:val="21"/>
          <w:szCs w:val="21"/>
        </w:rPr>
        <w:t xml:space="preserve">5. </w:t>
      </w:r>
      <w:r>
        <w:rPr>
          <w:sz w:val="21"/>
          <w:szCs w:val="21"/>
        </w:rPr>
        <w:t>Observe the application's response.</w:t>
      </w:r>
    </w:p>
    <w:p w14:paraId="6D9EB069">
      <w:pPr>
        <w:pBdr>
          <w:bottom w:val="single" w:color="1F3864" w:sz="6" w:space="4"/>
        </w:pBdr>
        <w:spacing w:before="320" w:after="120"/>
      </w:pPr>
      <w:r>
        <w:rPr>
          <w:b/>
          <w:bCs/>
          <w:color w:val="1F3864"/>
          <w:sz w:val="24"/>
          <w:szCs w:val="24"/>
        </w:rPr>
        <w:t>5. Expected Result</w:t>
      </w:r>
    </w:p>
    <w:p w14:paraId="5E79460E">
      <w:pPr>
        <w:spacing w:after="100"/>
      </w:pPr>
      <w:r>
        <w:rPr>
          <w:sz w:val="21"/>
          <w:szCs w:val="21"/>
        </w:rPr>
        <w:t>The application should validate the Email field format before submission. If the entered value does not match a standard email format (e.g. local-part@domain.tld), the system should display an inline validation error (e.g. "Please enter a valid email address") and prevent the login request from being submitted.</w:t>
      </w:r>
    </w:p>
    <w:p w14:paraId="25D813BF">
      <w:pPr>
        <w:pBdr>
          <w:bottom w:val="single" w:color="1F3864" w:sz="6" w:space="4"/>
        </w:pBdr>
        <w:spacing w:before="320" w:after="120"/>
      </w:pPr>
      <w:r>
        <w:rPr>
          <w:b/>
          <w:bCs/>
          <w:color w:val="1F3864"/>
          <w:sz w:val="24"/>
          <w:szCs w:val="24"/>
        </w:rPr>
        <w:t>6. Actual Result</w:t>
      </w:r>
    </w:p>
    <w:p w14:paraId="47083FF6">
      <w:pPr>
        <w:spacing w:after="100"/>
      </w:pPr>
      <w:r>
        <w:rPr>
          <w:sz w:val="21"/>
          <w:szCs w:val="21"/>
        </w:rPr>
        <w:t>The application does not validate the email format on the Login page. When an invalid email format is entered along with a valid password, the login request is processed and the user is logged in successfully, bypassing expected client-side and/or server-side email format validation.</w:t>
      </w:r>
    </w:p>
    <w:p w14:paraId="7E78EAEA">
      <w:pPr>
        <w:pBdr>
          <w:bottom w:val="single" w:color="1F3864" w:sz="6" w:space="4"/>
        </w:pBdr>
        <w:spacing w:before="320" w:after="120"/>
      </w:pPr>
      <w:r>
        <w:rPr>
          <w:b/>
          <w:bCs/>
          <w:color w:val="1F3864"/>
          <w:sz w:val="24"/>
          <w:szCs w:val="24"/>
        </w:rPr>
        <w:t>8. Severity &amp; Priority Justification</w:t>
      </w:r>
    </w:p>
    <w:p w14:paraId="1A31E3FD">
      <w:pPr>
        <w:spacing w:after="60"/>
        <w:ind w:left="360"/>
      </w:pPr>
      <w:r>
        <w:rPr>
          <w:sz w:val="21"/>
          <w:szCs w:val="21"/>
        </w:rPr>
        <w:t>•  Severity: High — the defect indicates a gap in input validation on an authentication-critical screen, which is a core functional and security control.</w:t>
      </w:r>
    </w:p>
    <w:p w14:paraId="69D6F289">
      <w:pPr>
        <w:spacing w:after="60"/>
        <w:ind w:left="360"/>
      </w:pPr>
      <w:r>
        <w:rPr>
          <w:sz w:val="21"/>
          <w:szCs w:val="21"/>
        </w:rPr>
        <w:t>•  Priority: High — email format validation is a fundamental data-integrity and security check; its absence should be addressed before release.</w:t>
      </w:r>
    </w:p>
    <w:p w14:paraId="74BACDA3">
      <w:pPr>
        <w:pBdr>
          <w:bottom w:val="single" w:color="1F3864" w:sz="6" w:space="4"/>
        </w:pBdr>
        <w:spacing w:before="320" w:after="120"/>
      </w:pPr>
      <w:r>
        <w:rPr>
          <w:b/>
          <w:bCs/>
          <w:color w:val="1F3864"/>
          <w:sz w:val="24"/>
          <w:szCs w:val="24"/>
        </w:rPr>
        <w:t>9. Impact</w:t>
      </w:r>
    </w:p>
    <w:p w14:paraId="3067091D">
      <w:pPr>
        <w:spacing w:after="60"/>
        <w:ind w:left="360"/>
      </w:pPr>
      <w:r>
        <w:rPr>
          <w:sz w:val="21"/>
          <w:szCs w:val="21"/>
        </w:rPr>
        <w:t>•  Weakens input validation and data integrity standards across the application.</w:t>
      </w:r>
    </w:p>
    <w:p w14:paraId="75BD4F4D">
      <w:pPr>
        <w:spacing w:after="60"/>
        <w:ind w:left="360"/>
      </w:pPr>
      <w:r>
        <w:rPr>
          <w:sz w:val="21"/>
          <w:szCs w:val="21"/>
        </w:rPr>
        <w:t>•  May indicate that similar validation gaps exist elsewhere in the application (e.g. Sign Up page).</w:t>
      </w:r>
    </w:p>
    <w:p w14:paraId="5EEFB6E6">
      <w:pPr>
        <w:spacing w:after="60"/>
        <w:ind w:left="360"/>
      </w:pPr>
      <w:r>
        <w:rPr>
          <w:sz w:val="21"/>
          <w:szCs w:val="21"/>
        </w:rPr>
        <w:t>•  Could be exploited alongside other vulnerabilities to bypass expected security controls.</w:t>
      </w:r>
    </w:p>
    <w:p w14:paraId="0572C2C1">
      <w:pPr>
        <w:pBdr>
          <w:bottom w:val="single" w:color="1F3864" w:sz="6" w:space="4"/>
        </w:pBdr>
        <w:spacing w:before="320" w:after="120"/>
      </w:pPr>
      <w:r>
        <w:rPr>
          <w:b/>
          <w:bCs/>
          <w:color w:val="1F3864"/>
          <w:sz w:val="24"/>
          <w:szCs w:val="24"/>
        </w:rPr>
        <w:t>10. Suggested Fix / Recommendation</w:t>
      </w:r>
    </w:p>
    <w:p w14:paraId="7A587A9C">
      <w:pPr>
        <w:spacing w:after="60"/>
        <w:ind w:left="360"/>
      </w:pPr>
      <w:r>
        <w:rPr>
          <w:sz w:val="21"/>
          <w:szCs w:val="21"/>
        </w:rPr>
        <w:t>•  Implement client-side email format validation using a standard email regex/HTML5 email input type on the Login field.</w:t>
      </w:r>
    </w:p>
    <w:p w14:paraId="02326D81">
      <w:pPr>
        <w:spacing w:after="60"/>
        <w:ind w:left="360"/>
      </w:pPr>
      <w:r>
        <w:rPr>
          <w:sz w:val="21"/>
          <w:szCs w:val="21"/>
        </w:rPr>
        <w:t>•  Enforce email format validation on the server side as well, independent of the client, to prevent bypass.</w:t>
      </w:r>
    </w:p>
    <w:p w14:paraId="02E02EE4">
      <w:pPr>
        <w:spacing w:after="60"/>
        <w:ind w:left="360"/>
      </w:pPr>
      <w:r>
        <w:rPr>
          <w:sz w:val="21"/>
          <w:szCs w:val="21"/>
        </w:rPr>
        <w:t>•  Display a clear, user-friendly inline error message when an invalid email format is submitted.</w:t>
      </w:r>
    </w:p>
    <w:p w14:paraId="4634FAF7">
      <w:pPr>
        <w:pBdr>
          <w:bottom w:val="single" w:color="1F3864" w:sz="6" w:space="4"/>
        </w:pBdr>
        <w:spacing w:before="320" w:after="120"/>
        <w:rPr>
          <w:rFonts w:hint="default"/>
          <w:lang w:val="en-US"/>
        </w:rPr>
      </w:pPr>
      <w:r>
        <w:rPr>
          <w:b/>
          <w:bCs/>
          <w:color w:val="1F3864"/>
          <w:sz w:val="24"/>
          <w:szCs w:val="24"/>
        </w:rPr>
        <w:t xml:space="preserve">11. </w:t>
      </w:r>
      <w:r>
        <w:rPr>
          <w:rFonts w:hint="default"/>
          <w:b/>
          <w:bCs/>
          <w:color w:val="1F3864"/>
          <w:sz w:val="24"/>
          <w:szCs w:val="24"/>
          <w:lang w:val="en-US"/>
        </w:rPr>
        <w:t>Summary</w:t>
      </w:r>
      <w:bookmarkStart w:id="0" w:name="_GoBack"/>
      <w:bookmarkEnd w:id="0"/>
    </w:p>
    <w:p w14:paraId="0E20F094">
      <w:pPr>
        <w:spacing w:after="100"/>
      </w:pPr>
      <w:r>
        <w:rPr>
          <w:sz w:val="21"/>
          <w:szCs w:val="21"/>
        </w:rPr>
        <w:t>It is recommended to verify whether the Sign Up page enforces correct email format validation, and to re-test this scenario across other supported browsers to confirm consistency of behavior.</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C96A2">
    <w:pPr>
      <w:jc w:val="center"/>
    </w:pPr>
    <w:r>
      <w:rPr>
        <w:color w:val="7F7F7F"/>
        <w:sz w:val="16"/>
        <w:szCs w:val="16"/>
      </w:rPr>
      <w:t xml:space="preserve">Page </w:t>
    </w:r>
    <w:r>
      <w:rPr>
        <w:color w:val="7F7F7F"/>
        <w:sz w:val="16"/>
        <w:szCs w:val="16"/>
      </w:rPr>
      <w:fldChar w:fldCharType="begin"/>
    </w:r>
    <w:r>
      <w:rPr>
        <w:color w:val="7F7F7F"/>
        <w:sz w:val="16"/>
        <w:szCs w:val="16"/>
      </w:rPr>
      <w:instrText xml:space="preserve">PAGE</w:instrText>
    </w:r>
    <w:r>
      <w:rPr>
        <w:color w:val="7F7F7F"/>
        <w:sz w:val="16"/>
        <w:szCs w:val="16"/>
      </w:rPr>
      <w:fldChar w:fldCharType="separate"/>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 xml:space="preserve">NUMPAGES</w:instrText>
    </w:r>
    <w:r>
      <w:rPr>
        <w:color w:val="7F7F7F"/>
        <w:sz w:val="16"/>
        <w:szCs w:val="16"/>
      </w:rPr>
      <w:fldChar w:fldCharType="separate"/>
    </w:r>
    <w:r>
      <w:rPr>
        <w:color w:val="7F7F7F"/>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C4B2B">
    <w:pPr>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C9045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512</Words>
  <Characters>2919</Characters>
  <TotalTime>2</TotalTime>
  <ScaleCrop>false</ScaleCrop>
  <LinksUpToDate>false</LinksUpToDate>
  <CharactersWithSpaces>3384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2026-07-03T10:13:00Z</dcterms:created>
  <dc:creator>Un-named</dc:creator>
  <cp:lastModifiedBy>Vishwa Jk</cp:lastModifiedBy>
  <dcterms:modified xsi:type="dcterms:W3CDTF">2026-07-03T10:22:50Z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eyJoZGlkIjoiYTBiY2UxODRlODZmZTk5ZjA4Mzk4MmFmNTI5MjA1ZTUiLCJ1c2VySWQiOiI1NDk3NjI1ODU1MDkifQ==</vt:lpwstr>
  </property>
  <property fmtid="{D5CDD505-2E9C-101B-9397-08002B2CF9AE}" pid="3" name="KSOProductBuildVer">
    <vt:lpwstr>1033-12.1.0.26880</vt:lpwstr>
  </property>
  <property fmtid="{D5CDD505-2E9C-101B-9397-08002B2CF9AE}" pid="4" name="ICV">
    <vt:lpwstr>3E99A0C29F0C42F19CE682424E9B0606_12</vt:lpwstr>
  </property>
</Properties>
</file>