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b/>
          <w:sz w:val="36"/>
        </w:rPr>
        <w:t>UyirKappan: A Resilient, Multi-Stakeholder Emergency Medical Dispatch and Real-Time Coordination Architecture with Dynamic Geospatial Cascading Fallback</w:t>
      </w:r>
    </w:p>
    <w:tbl>
      <w:tblPr>
        <w:tblW w:type="auto" w:w="0"/>
        <w:jc w:val="center"/>
        <w:tblLayout w:type="fixed"/>
        <w:tblLook w:firstColumn="1" w:firstRow="1" w:lastColumn="0" w:lastRow="0" w:noHBand="0" w:noVBand="1" w:val="04A0"/>
      </w:tblPr>
      <w:tblGrid>
        <w:gridCol w:w="3360"/>
        <w:gridCol w:w="3360"/>
        <w:gridCol w:w="3360"/>
      </w:tblGrid>
      <w:tr>
        <w:tc>
          <w:tcPr>
            <w:tcW w:type="dxa" w:w="3312"/>
          </w:tcPr>
          <w:p>
            <w:pPr>
              <w:spacing w:after="40"/>
              <w:jc w:val="center"/>
            </w:pPr>
            <w:r>
              <w:rPr>
                <w:rFonts w:ascii="Times New Roman" w:hAnsi="Times New Roman"/>
                <w:b/>
                <w:sz w:val="20"/>
              </w:rPr>
              <w:t>M. Jaeyalakshmi</w:t>
              <w:br/>
            </w:r>
            <w:r>
              <w:rPr>
                <w:rFonts w:ascii="Times New Roman" w:hAnsi="Times New Roman"/>
                <w:sz w:val="17"/>
              </w:rPr>
              <w:t>Department of CSE</w:t>
              <w:br/>
              <w:t>Rajalakshmi Engineering College</w:t>
              <w:br/>
              <w:t>Chennai, Tamil Nadu, India</w:t>
              <w:br/>
              <w:t>jaeyalakshmi.m@rajalakshmi.edu.in</w:t>
            </w:r>
          </w:p>
        </w:tc>
        <w:tc>
          <w:tcPr>
            <w:tcW w:type="dxa" w:w="3312"/>
          </w:tcPr>
          <w:p>
            <w:pPr>
              <w:spacing w:after="40"/>
              <w:jc w:val="center"/>
            </w:pPr>
            <w:r>
              <w:rPr>
                <w:rFonts w:ascii="Times New Roman" w:hAnsi="Times New Roman"/>
                <w:b/>
                <w:sz w:val="20"/>
              </w:rPr>
              <w:t>L.K. Sudharshan Krishnaa</w:t>
              <w:br/>
            </w:r>
            <w:r>
              <w:rPr>
                <w:rFonts w:ascii="Times New Roman" w:hAnsi="Times New Roman"/>
                <w:sz w:val="17"/>
              </w:rPr>
              <w:t>Department of CSE</w:t>
              <w:br/>
              <w:t>Rajalakshmi Engineering College</w:t>
              <w:br/>
              <w:t>Chennai, Tamil Nadu, India</w:t>
              <w:br/>
              <w:t>230701350@rajalakshmi.edu.in</w:t>
            </w:r>
          </w:p>
        </w:tc>
        <w:tc>
          <w:tcPr>
            <w:tcW w:type="dxa" w:w="3312"/>
          </w:tcPr>
          <w:p>
            <w:pPr>
              <w:spacing w:after="40"/>
              <w:jc w:val="center"/>
            </w:pPr>
            <w:r>
              <w:rPr>
                <w:rFonts w:ascii="Times New Roman" w:hAnsi="Times New Roman"/>
                <w:b/>
                <w:sz w:val="20"/>
              </w:rPr>
              <w:t>S. Vishwak</w:t>
              <w:br/>
            </w:r>
            <w:r>
              <w:rPr>
                <w:rFonts w:ascii="Times New Roman" w:hAnsi="Times New Roman"/>
                <w:sz w:val="17"/>
              </w:rPr>
              <w:t>Department of CSE</w:t>
              <w:br/>
              <w:t>Rajalakshmi Engineering College</w:t>
              <w:br/>
              <w:t>Chennai, Tamil Nadu, India</w:t>
              <w:br/>
              <w:t>230701385@rajalakshmi.edu.in</w:t>
            </w:r>
          </w:p>
        </w:tc>
      </w:tr>
    </w:tbl>
    <w:p>
      <w:pPr>
        <w:spacing w:after="160"/>
      </w:pPr>
    </w:p>
    <w:p>
      <w:pPr>
        <w:spacing w:line="252" w:lineRule="auto" w:after="120"/>
        <w:jc w:val="both"/>
      </w:pPr>
      <w:r>
        <w:rPr>
          <w:rFonts w:ascii="Times New Roman" w:hAnsi="Times New Roman"/>
          <w:b/>
          <w:sz w:val="19"/>
        </w:rPr>
        <w:t>Abstract—</w:t>
      </w:r>
      <w:r>
        <w:rPr>
          <w:rFonts w:ascii="Times New Roman" w:hAnsi="Times New Roman"/>
          <w:sz w:val="19"/>
        </w:rPr>
        <w:t>India’s rapidly growing urban population has placed unprecedented strain on emergency healthcare infrastructure, with metropolitan hubs facing chronic traffic congestion, uneven ambulance allocation, and fragmented communication between bystanders, ambulance operators, and receiving hospitals. Within the critical “Golden Hour,” delays in identifying and dispatching the right ambulance or failing to alert the destination trauma center drastically diminish a patient's chances of survival. Conventional systems rely primarily on telephonic call-taking and naive Euclidean nearest-vehicle dispatch, leading to severe delays when closest units are gridlocked or unresponsive. UyirKappan is an intelligent, multi-stakeholder emergency medical response and real-time coordination architecture designed to eliminate these structural vulnerabilities. Built upon a decoupled four-tier framework, the platform combines: (1) a bystander mobile application supporting sub-second one-tap emergency triggering, GPS geocoding, and severity categorization; (2) an ambulance driver application with turn-by-turn routing and a 30-second service level agreement (SLA) response window; (3) a hospital emergency dashboard streaming real-time vehicle telemetry, dynamic ETAs, and specialized bed tracking; (4) a high-throughput real-time broker; (5) an intelligent multi-criteria dispatch engine pairing Uber H3 hexagonal spatial indexing with congestion-weighted Dijkstra routing and vehicle capability matching; and (6) a fault-tolerant cascading fallback state machine that automatically blacklists non-responsive drivers and reallocates requests to subsequent optimal units within 1.2 seconds, backed by fail-safe 108 telephonic escalation. Extensive empirical evaluation across a realistic simulation of the Chennai metropolitan road network (incorporating 40 active fleet stations, 30 emergency trauma centers, and 1,000 peak-hour incidents) proves that UyirKappan achieves a 31.4% reduction in total emergency response time (T6 - T0), resolves 100% of driver decline/timeout events without caller intervention, and provides an average 11.4-minute pre-arrival telemetry warning window that elevates hospital emergency ward readiness to 95%.</w:t>
      </w:r>
    </w:p>
    <w:p>
      <w:pPr>
        <w:spacing w:after="280"/>
        <w:jc w:val="both"/>
      </w:pPr>
      <w:r>
        <w:rPr>
          <w:rFonts w:ascii="Times New Roman" w:hAnsi="Times New Roman"/>
          <w:b/>
          <w:sz w:val="19"/>
        </w:rPr>
        <w:t>Index Terms—</w:t>
      </w:r>
      <w:r>
        <w:rPr>
          <w:rFonts w:ascii="Times New Roman" w:hAnsi="Times New Roman"/>
          <w:sz w:val="19"/>
        </w:rPr>
        <w:t>Emergency Medical Services (EMS), Intelligent Dispatch, Geospatial Routing, Cascading Fallback, Real-Time Distributed Systems, Hospital Coordination, Uber H3 Spatial Index, Golden Hour.</w:t>
      </w:r>
    </w:p>
    <w:p>
      <w:pPr>
        <w:keepNext/>
        <w:spacing w:before="280" w:after="80"/>
      </w:pPr>
      <w:r>
        <w:rPr>
          <w:rFonts w:ascii="Times New Roman" w:hAnsi="Times New Roman"/>
          <w:b/>
          <w:sz w:val="21"/>
        </w:rPr>
        <w:t>I. INTRODUCTION</w:t>
      </w:r>
    </w:p>
    <w:p>
      <w:pPr>
        <w:spacing w:line="264" w:lineRule="auto" w:after="120"/>
        <w:jc w:val="both"/>
      </w:pPr>
      <w:r>
        <w:rPr>
          <w:rFonts w:ascii="Times New Roman" w:hAnsi="Times New Roman"/>
          <w:sz w:val="20"/>
        </w:rPr>
        <w:t>The first sixty minutes following acute traumatic injury or cardiovascular collapse—clinically designated as the Golden Hour—represent the vital window during which definitive medical intervention determines patient survival and long-term functional recovery. In rapidly expanding metropolitan regions across India, such as the Chennai urban corridor, delivering pre-hospital emergency medical services (EMS) within this life-critical window remains compromised by severe vehicular congestion, uneven municipal fleet distribution, and fragmented communication.</w:t>
      </w:r>
    </w:p>
    <w:p>
      <w:pPr>
        <w:spacing w:line="264" w:lineRule="auto" w:after="120"/>
        <w:jc w:val="both"/>
      </w:pPr>
      <w:r>
        <w:rPr>
          <w:rFonts w:ascii="Times New Roman" w:hAnsi="Times New Roman"/>
          <w:sz w:val="20"/>
        </w:rPr>
        <w:t>In conventional Indian emergency workflows, dispatch is largely coordinated through centralized telephonic emergency services (such as the national 108 helpline). While telephonic triage provides an established public interface, its manual operational mechanics introduce three fatal vulnerabilities:</w:t>
        <w:br/>
        <w:t>1. Telephonic Latency and Geographical Ambiguity: Callers in high-stress trauma situations struggle to articulate exact street names, postal codes, or patient clinical statuses. Dispatchers spend 2 to 4 minutes manually verifying landmarks and consulting paper or static GIS directories.</w:t>
        <w:br/>
        <w:t>2. Naive Proximity Dispatch: Traditional dispatch routines assign the nearest vehicle based on straight-line Euclidean distance. In dense urban networks with flyovers, railway barriers, and gridlocked bottlenecks, an ambulance located 1.5 km away across an obstructed intersection often takes three times as long to arrive as an ambulance stationed 4 km away along an unobstructed ring road.</w:t>
        <w:br/>
        <w:t>3. The Unattended Request Dilemma: If an assigned driver fails to acknowledge the radio call, rejects the assignment due to local barriers, or experiences vehicle trouble, conventional systems lack an automated reallocation loop. The emergency sits idle until the bystander places an anxious follow-up call, by which time critical resuscitation windows are lost.</w:t>
        <w:br/>
        <w:t>4. Disconnected Hospital Intake: Ambulances arrive unannounced at receiving trauma facilities. Emergency wards receive zero clinical pre-warning, leading to trauma bay saturation and emergency inter-hospital patient diversions.</w:t>
      </w:r>
    </w:p>
    <w:p>
      <w:pPr>
        <w:spacing w:line="264" w:lineRule="auto" w:after="120"/>
        <w:jc w:val="both"/>
      </w:pPr>
      <w:r>
        <w:rPr>
          <w:rFonts w:ascii="Times New Roman" w:hAnsi="Times New Roman"/>
          <w:sz w:val="20"/>
        </w:rPr>
        <w:t>UyirKappan bridges these gaps by providing an integrated, multi-stakeholder real-time emergency coordination platform. The core contributions of this work are:</w:t>
        <w:br/>
        <w:t>• An end-to-end decoupled platform integrating bystanders, ambulance drivers, centralized dispatch algorithms, and hospital emergency dashboards.</w:t>
        <w:br/>
        <w:t>• A multi-criteria dispatch optimization model that evaluates candidate vehicles using Uber H3 hexagonal spatial indexing, real-time congestion-weighted Dijkstra routing, clinical vehicle capabilities (BLS vs ALS), and empirical driver acceptance probabilities.</w:t>
        <w:br/>
        <w:t>• A deterministic cascading fallback state machine governed by a 30-second driver response SLA that re-ranks and reassigns requests within 1.2 seconds, ensuring 100% request recovery.</w:t>
        <w:br/>
        <w:t>• Bi-directional telemetry streaming to receiving hospital trauma wards, establishing an average 11.4-minute advance warning lead time that elevates triage readiness to 95%.</w:t>
        <w:br/>
        <w:t>• An empirical evaluation across 1,000 simulated incidents on the Chennai metropolitan road network demonstrating a 31.4% reduction in total response time.</w:t>
      </w:r>
    </w:p>
    <w:p>
      <w:pPr>
        <w:keepNext/>
        <w:spacing w:before="280" w:after="80"/>
      </w:pPr>
      <w:r>
        <w:rPr>
          <w:rFonts w:ascii="Times New Roman" w:hAnsi="Times New Roman"/>
          <w:b/>
          <w:sz w:val="21"/>
        </w:rPr>
        <w:t>II. LITERATURE REVIEW</w:t>
      </w:r>
    </w:p>
    <w:p>
      <w:pPr>
        <w:keepNext/>
        <w:spacing w:before="200" w:after="60"/>
      </w:pPr>
      <w:r>
        <w:rPr>
          <w:rFonts w:ascii="Times New Roman" w:hAnsi="Times New Roman"/>
          <w:b/>
          <w:i/>
          <w:sz w:val="20"/>
        </w:rPr>
        <w:t>A. Bystander-Facing and Volunteer Response Systems</w:t>
      </w:r>
    </w:p>
    <w:p>
      <w:pPr>
        <w:spacing w:line="264" w:lineRule="auto" w:after="120"/>
        <w:jc w:val="both"/>
      </w:pPr>
      <w:r>
        <w:rPr>
          <w:rFonts w:ascii="Times New Roman" w:hAnsi="Times New Roman"/>
          <w:sz w:val="20"/>
        </w:rPr>
        <w:t>Rafaqat et al. [6] introduced EMCON, a digital emergency coordination platform connecting patient mobile devices with a hospital web dashboard in low- and middle-income countries. EMCON successfully proved the value of mobile-assisted coordination, but relied on static dispatch tables without intelligent multi-factor matching, live traffic awareness, or automatic reassignment. Smith et al. [8] evaluated the GoodSAM smartphone first-responder application across London and the East Midlands, proving that alerting volunteer CPR responders significantly increases survival odds in out-of-hospital cardiac arrest. However, GoodSAM focuses strictly on volunteer alerting and does not address commercial/public municipal fleet dispatch, capability matching, or hospital intake logistics.</w:t>
      </w:r>
    </w:p>
    <w:p>
      <w:pPr>
        <w:keepNext/>
        <w:spacing w:before="200" w:after="60"/>
      </w:pPr>
      <w:r>
        <w:rPr>
          <w:rFonts w:ascii="Times New Roman" w:hAnsi="Times New Roman"/>
          <w:b/>
          <w:i/>
          <w:sz w:val="20"/>
        </w:rPr>
        <w:t>B. Driver-Side Dispatch Behavior</w:t>
      </w:r>
    </w:p>
    <w:p>
      <w:pPr>
        <w:spacing w:line="264" w:lineRule="auto" w:after="120"/>
        <w:jc w:val="both"/>
      </w:pPr>
      <w:r>
        <w:rPr>
          <w:rFonts w:ascii="Times New Roman" w:hAnsi="Times New Roman"/>
          <w:sz w:val="20"/>
        </w:rPr>
        <w:t>A foundational study on freelance drivers with a decline choice [19] examined driver acceptance/decline dynamics in on-demand mobility, formulating combinatorial dispatch menus to reduce idle time. However, commercial ride-hailing algorithms cannot be applied directly to life-critical EMS, as they optimize corporate profit and driver utility rather than patient clinical acuity, life-support instrumentation, and emergency response deadlines.</w:t>
      </w:r>
    </w:p>
    <w:p>
      <w:pPr>
        <w:keepNext/>
        <w:spacing w:before="200" w:after="60"/>
      </w:pPr>
      <w:r>
        <w:rPr>
          <w:rFonts w:ascii="Times New Roman" w:hAnsi="Times New Roman"/>
          <w:b/>
          <w:i/>
          <w:sz w:val="20"/>
        </w:rPr>
        <w:t>C. Hospital-Side Coordination</w:t>
      </w:r>
    </w:p>
    <w:p>
      <w:pPr>
        <w:spacing w:line="264" w:lineRule="auto" w:after="120"/>
        <w:jc w:val="both"/>
      </w:pPr>
      <w:r>
        <w:rPr>
          <w:rFonts w:ascii="Times New Roman" w:hAnsi="Times New Roman"/>
          <w:sz w:val="20"/>
        </w:rPr>
        <w:t>Fu et al. [1] coupled game theory with discrete-event simulation to model ambulance dispatch and hospital diversion strategies, demonstrating that factoring hospital queuing into dispatch decisions prevents emergency room over-saturation. However, their framework operated purely as an offline academic simulation without live mobile applications. Olivier et al. [2] utilized large-scale FDNY EMS telematics to formulate probabilistic hospital recommendations based on travel-time distributions, accounting for traffic and sparse data uncertainties, though focusing strictly on hospital selection rather than initial ambulance dispatch. Xu et al. [3] integrated discrete-event simulation with Google Maps APIs to forecast multi-hour emergency department and ICU bed availability. While valuable for bed forecasting, their system lacked real-time bidirectional telemetry with en-route paramedics.</w:t>
      </w:r>
    </w:p>
    <w:p>
      <w:pPr>
        <w:keepNext/>
        <w:spacing w:before="200" w:after="60"/>
      </w:pPr>
      <w:r>
        <w:rPr>
          <w:rFonts w:ascii="Times New Roman" w:hAnsi="Times New Roman"/>
          <w:b/>
          <w:i/>
          <w:sz w:val="20"/>
        </w:rPr>
        <w:t>D. Backend and Data Infrastructure</w:t>
      </w:r>
    </w:p>
    <w:p>
      <w:pPr>
        <w:spacing w:line="264" w:lineRule="auto" w:after="120"/>
        <w:jc w:val="both"/>
      </w:pPr>
      <w:r>
        <w:rPr>
          <w:rFonts w:ascii="Times New Roman" w:hAnsi="Times New Roman"/>
          <w:sz w:val="20"/>
        </w:rPr>
        <w:t>Zaki et al. [9] developed a cloud-assisted microservice framework for healthcare platforms communicating via REST and AMQP, demonstrating horizontal scalability but omitting domain-specific emergency state machines. Chatterjee et al. [10] proposed SFTSDH, applying Spring Security, OAuth2, and role-based access control to protect healthcare microservice APIs. García-González et al. [11] constructed a big-data streaming pipeline using Kafka, MQTT, and MongoDB for high-throughput traffic data ingestion in automated road environments. Dritsas and Trigka [12] systematically reviewed NoSQL and cloud database paradigms, analyzing consistency, replication, and latency trade-offs in distributed spatial stores.</w:t>
      </w:r>
    </w:p>
    <w:p>
      <w:pPr>
        <w:keepNext/>
        <w:spacing w:before="200" w:after="60"/>
      </w:pPr>
      <w:r>
        <w:rPr>
          <w:rFonts w:ascii="Times New Roman" w:hAnsi="Times New Roman"/>
          <w:b/>
          <w:i/>
          <w:sz w:val="20"/>
        </w:rPr>
        <w:t>E. Intelligent Ambulance Selection and Routing</w:t>
      </w:r>
    </w:p>
    <w:p>
      <w:pPr>
        <w:spacing w:line="264" w:lineRule="auto" w:after="120"/>
        <w:jc w:val="both"/>
      </w:pPr>
      <w:r>
        <w:rPr>
          <w:rFonts w:ascii="Times New Roman" w:hAnsi="Times New Roman"/>
          <w:sz w:val="20"/>
        </w:rPr>
        <w:t>Ankarboina et al. [13] developed RACER, a real-time congestion-aware emergency routing algorithm using multi-edge look-ahead and dynamic Dijkstra graphs. While RACER demonstrated significant travel-time savings, it focused exclusively on routing a single vehicle rather than fleet-wide matching. Nozari et al. [14] proposed an optimization model merging neural networks with genetic algorithms (GA) for ambulance routing under uncertainty. Abdeen et al. [4] formulated a comprehensive smart ambulance decision model that jointly minimized door-to-needle time across both the ambulance-to-patient and patient-to-hospital transit legs, but lacked a deployable software platform or cascading fallback handling.</w:t>
      </w:r>
    </w:p>
    <w:p>
      <w:pPr>
        <w:keepNext/>
        <w:spacing w:before="200" w:after="60"/>
      </w:pPr>
      <w:r>
        <w:rPr>
          <w:rFonts w:ascii="Times New Roman" w:hAnsi="Times New Roman"/>
          <w:b/>
          <w:i/>
          <w:sz w:val="20"/>
        </w:rPr>
        <w:t>F. Telemetry Ingestion, Travel Time Estimation, and Fallback Mechanics</w:t>
      </w:r>
    </w:p>
    <w:p>
      <w:pPr>
        <w:spacing w:line="264" w:lineRule="auto" w:after="120"/>
        <w:jc w:val="both"/>
      </w:pPr>
      <w:r>
        <w:rPr>
          <w:rFonts w:ascii="Times New Roman" w:hAnsi="Times New Roman"/>
          <w:sz w:val="20"/>
        </w:rPr>
        <w:t>Recent literature has explored Deep Reinforcement Learning (DRL) for proactive fleet redeployment [15], using Deep Scoring Networks to reposition idle emergency vehicles into high-risk urban sectors. For travel-time prediction, Deep Encoder Cross Networks [16] have been utilized to model residual travel times by fusing weather, road topology, and historical congestion indices. Related studies integrated Artificial Neural Networks into discrete-event simulation to correct passenger routing baselines for ambulance driving behaviors [17], while spatiotemporal evaluations comparing XGBoost and ANN models [18] proved that gradient boosting achieves superior fidelity with live traffic features. Mahalakshmi et al. [5] built an IoT prototype integrating GPS, RF transceivers, and YOLO video processing for traffic signal preemption, demonstrating the viability of green corridors. Finally, Becker et al. [7] conducted an exhaustive PRISMA-compliant scoping review of dynamic ambulance relocation, concluding that the literature is dominated by theoretical simulations with a severe absence of deployed, multi-stakeholder software platforms.</w:t>
      </w:r>
    </w:p>
    <w:p>
      <w:pPr>
        <w:keepNext/>
        <w:spacing w:before="160" w:after="60"/>
        <w:jc w:val="center"/>
      </w:pPr>
      <w:r>
        <w:rPr>
          <w:rFonts w:ascii="Times New Roman" w:hAnsi="Times New Roman"/>
          <w:b/>
          <w:sz w:val="18"/>
        </w:rPr>
        <w:t>TABLE I</w:t>
        <w:br/>
        <w:t>COMPARATIVE SYNTHESIS OF EMERGENCY AMBULANCE AND HEALTHCARE COORDINATION SYSTEMS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008"/>
        <w:gridCol w:w="1008"/>
        <w:gridCol w:w="1008"/>
        <w:gridCol w:w="1008"/>
        <w:gridCol w:w="1008"/>
        <w:gridCol w:w="1008"/>
        <w:gridCol w:w="1008"/>
        <w:gridCol w:w="1008"/>
        <w:gridCol w:w="1008"/>
        <w:gridCol w:w="1008"/>
      </w:tblGrid>
      <w:tr>
        <w:tc>
          <w:tcPr>
            <w:tcW w:type="dxa" w:w="432"/>
            <w:shd w:fill="E2E8F0"/>
          </w:tcPr>
          <w:p>
            <w:pPr>
              <w:spacing w:before="20" w:after="20"/>
              <w:jc w:val="center"/>
            </w:pPr>
            <w:r>
              <w:rPr>
                <w:rFonts w:ascii="Times New Roman" w:hAnsi="Times New Roman"/>
                <w:b/>
                <w:sz w:val="15"/>
              </w:rPr>
              <w:t>No.</w:t>
            </w:r>
          </w:p>
        </w:tc>
        <w:tc>
          <w:tcPr>
            <w:tcW w:type="dxa" w:w="2160"/>
            <w:shd w:fill="E2E8F0"/>
          </w:tcPr>
          <w:p>
            <w:pPr>
              <w:spacing w:before="20" w:after="20"/>
              <w:jc w:val="left"/>
            </w:pPr>
            <w:r>
              <w:rPr>
                <w:rFonts w:ascii="Times New Roman" w:hAnsi="Times New Roman"/>
                <w:b/>
                <w:sz w:val="15"/>
              </w:rPr>
              <w:t>System / Reference</w:t>
            </w:r>
          </w:p>
        </w:tc>
        <w:tc>
          <w:tcPr>
            <w:tcW w:type="dxa" w:w="576"/>
            <w:shd w:fill="E2E8F0"/>
          </w:tcPr>
          <w:p>
            <w:pPr>
              <w:spacing w:before="20" w:after="20"/>
              <w:jc w:val="center"/>
            </w:pPr>
            <w:r>
              <w:rPr>
                <w:rFonts w:ascii="Times New Roman" w:hAnsi="Times New Roman"/>
                <w:b/>
                <w:sz w:val="15"/>
              </w:rPr>
              <w:t>Year</w:t>
            </w:r>
          </w:p>
        </w:tc>
        <w:tc>
          <w:tcPr>
            <w:tcW w:type="dxa" w:w="576"/>
            <w:shd w:fill="E2E8F0"/>
          </w:tcPr>
          <w:p>
            <w:pPr>
              <w:spacing w:before="20" w:after="20"/>
              <w:jc w:val="center"/>
            </w:pPr>
            <w:r>
              <w:rPr>
                <w:rFonts w:ascii="Times New Roman" w:hAnsi="Times New Roman"/>
                <w:b/>
                <w:sz w:val="15"/>
              </w:rPr>
              <w:t>1-Tap</w:t>
            </w:r>
          </w:p>
        </w:tc>
        <w:tc>
          <w:tcPr>
            <w:tcW w:type="dxa" w:w="936"/>
            <w:shd w:fill="E2E8F0"/>
          </w:tcPr>
          <w:p>
            <w:pPr>
              <w:spacing w:before="20" w:after="20"/>
              <w:jc w:val="center"/>
            </w:pPr>
            <w:r>
              <w:rPr>
                <w:rFonts w:ascii="Times New Roman" w:hAnsi="Times New Roman"/>
                <w:b/>
                <w:sz w:val="15"/>
              </w:rPr>
              <w:t>Multi-Criteria</w:t>
            </w:r>
          </w:p>
        </w:tc>
        <w:tc>
          <w:tcPr>
            <w:tcW w:type="dxa" w:w="936"/>
            <w:shd w:fill="E2E8F0"/>
          </w:tcPr>
          <w:p>
            <w:pPr>
              <w:spacing w:before="20" w:after="20"/>
              <w:jc w:val="center"/>
            </w:pPr>
            <w:r>
              <w:rPr>
                <w:rFonts w:ascii="Times New Roman" w:hAnsi="Times New Roman"/>
                <w:b/>
                <w:sz w:val="15"/>
              </w:rPr>
              <w:t>Traffic-Aware</w:t>
            </w:r>
          </w:p>
        </w:tc>
        <w:tc>
          <w:tcPr>
            <w:tcW w:type="dxa" w:w="792"/>
            <w:shd w:fill="E2E8F0"/>
          </w:tcPr>
          <w:p>
            <w:pPr>
              <w:spacing w:before="20" w:after="20"/>
              <w:jc w:val="center"/>
            </w:pPr>
            <w:r>
              <w:rPr>
                <w:rFonts w:ascii="Times New Roman" w:hAnsi="Times New Roman"/>
                <w:b/>
                <w:sz w:val="15"/>
              </w:rPr>
              <w:t>Fallback</w:t>
            </w:r>
          </w:p>
        </w:tc>
        <w:tc>
          <w:tcPr>
            <w:tcW w:type="dxa" w:w="936"/>
            <w:shd w:fill="E2E8F0"/>
          </w:tcPr>
          <w:p>
            <w:pPr>
              <w:spacing w:before="20" w:after="20"/>
              <w:jc w:val="center"/>
            </w:pPr>
            <w:r>
              <w:rPr>
                <w:rFonts w:ascii="Times New Roman" w:hAnsi="Times New Roman"/>
                <w:b/>
                <w:sz w:val="15"/>
              </w:rPr>
              <w:t>Live Telemetry</w:t>
            </w:r>
          </w:p>
        </w:tc>
        <w:tc>
          <w:tcPr>
            <w:tcW w:type="dxa" w:w="936"/>
            <w:shd w:fill="E2E8F0"/>
          </w:tcPr>
          <w:p>
            <w:pPr>
              <w:spacing w:before="20" w:after="20"/>
              <w:jc w:val="center"/>
            </w:pPr>
            <w:r>
              <w:rPr>
                <w:rFonts w:ascii="Times New Roman" w:hAnsi="Times New Roman"/>
                <w:b/>
                <w:sz w:val="15"/>
              </w:rPr>
              <w:t>Hospital Triage</w:t>
            </w:r>
          </w:p>
        </w:tc>
        <w:tc>
          <w:tcPr>
            <w:tcW w:type="dxa" w:w="1872"/>
            <w:shd w:fill="E2E8F0"/>
          </w:tcPr>
          <w:p>
            <w:pPr>
              <w:spacing w:before="20" w:after="20"/>
              <w:jc w:val="left"/>
            </w:pPr>
            <w:r>
              <w:rPr>
                <w:rFonts w:ascii="Times New Roman" w:hAnsi="Times New Roman"/>
                <w:b/>
                <w:sz w:val="15"/>
              </w:rPr>
              <w:t>Deployment Scope</w:t>
            </w:r>
          </w:p>
        </w:tc>
      </w:tr>
      <w:tr>
        <w:tc>
          <w:tcPr>
            <w:tcW w:type="dxa" w:w="432"/>
          </w:tcPr>
          <w:p>
            <w:pPr>
              <w:spacing w:before="20" w:after="20"/>
              <w:jc w:val="center"/>
            </w:pPr>
            <w:r>
              <w:rPr>
                <w:rFonts w:ascii="Times New Roman" w:hAnsi="Times New Roman"/>
                <w:sz w:val="15"/>
              </w:rPr>
              <w:t>1</w:t>
            </w:r>
          </w:p>
        </w:tc>
        <w:tc>
          <w:tcPr>
            <w:tcW w:type="dxa" w:w="2160"/>
          </w:tcPr>
          <w:p>
            <w:pPr>
              <w:spacing w:before="20" w:after="20"/>
              <w:jc w:val="left"/>
            </w:pPr>
            <w:r>
              <w:rPr>
                <w:rFonts w:ascii="Times New Roman" w:hAnsi="Times New Roman"/>
                <w:sz w:val="15"/>
              </w:rPr>
              <w:t>EMCON [6]</w:t>
            </w:r>
          </w:p>
        </w:tc>
        <w:tc>
          <w:tcPr>
            <w:tcW w:type="dxa" w:w="576"/>
          </w:tcPr>
          <w:p>
            <w:pPr>
              <w:spacing w:before="20" w:after="20"/>
              <w:jc w:val="center"/>
            </w:pPr>
            <w:r>
              <w:rPr>
                <w:rFonts w:ascii="Times New Roman" w:hAnsi="Times New Roman"/>
                <w:sz w:val="15"/>
              </w:rPr>
              <w:t>2025</w:t>
            </w:r>
          </w:p>
        </w:tc>
        <w:tc>
          <w:tcPr>
            <w:tcW w:type="dxa" w:w="57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Partial</w:t>
            </w:r>
          </w:p>
        </w:tc>
        <w:tc>
          <w:tcPr>
            <w:tcW w:type="dxa" w:w="936"/>
          </w:tcPr>
          <w:p>
            <w:pPr>
              <w:spacing w:before="20" w:after="20"/>
              <w:jc w:val="center"/>
            </w:pPr>
            <w:r>
              <w:rPr>
                <w:rFonts w:ascii="Times New Roman" w:hAnsi="Times New Roman"/>
                <w:sz w:val="15"/>
              </w:rPr>
              <w:t>Yes</w:t>
            </w:r>
          </w:p>
        </w:tc>
        <w:tc>
          <w:tcPr>
            <w:tcW w:type="dxa" w:w="1872"/>
          </w:tcPr>
          <w:p>
            <w:pPr>
              <w:spacing w:before="20" w:after="20"/>
              <w:jc w:val="left"/>
            </w:pPr>
            <w:r>
              <w:rPr>
                <w:rFonts w:ascii="Times New Roman" w:hAnsi="Times New Roman"/>
                <w:sz w:val="15"/>
              </w:rPr>
              <w:t>Static coordination web/app</w:t>
            </w:r>
          </w:p>
        </w:tc>
      </w:tr>
      <w:tr>
        <w:tc>
          <w:tcPr>
            <w:tcW w:type="dxa" w:w="432"/>
          </w:tcPr>
          <w:p>
            <w:pPr>
              <w:spacing w:before="20" w:after="20"/>
              <w:jc w:val="center"/>
            </w:pPr>
            <w:r>
              <w:rPr>
                <w:rFonts w:ascii="Times New Roman" w:hAnsi="Times New Roman"/>
                <w:sz w:val="15"/>
              </w:rPr>
              <w:t>2</w:t>
            </w:r>
          </w:p>
        </w:tc>
        <w:tc>
          <w:tcPr>
            <w:tcW w:type="dxa" w:w="2160"/>
          </w:tcPr>
          <w:p>
            <w:pPr>
              <w:spacing w:before="20" w:after="20"/>
              <w:jc w:val="left"/>
            </w:pPr>
            <w:r>
              <w:rPr>
                <w:rFonts w:ascii="Times New Roman" w:hAnsi="Times New Roman"/>
                <w:sz w:val="15"/>
              </w:rPr>
              <w:t>GoodSAM [8]</w:t>
            </w:r>
          </w:p>
        </w:tc>
        <w:tc>
          <w:tcPr>
            <w:tcW w:type="dxa" w:w="576"/>
          </w:tcPr>
          <w:p>
            <w:pPr>
              <w:spacing w:before="20" w:after="20"/>
              <w:jc w:val="center"/>
            </w:pPr>
            <w:r>
              <w:rPr>
                <w:rFonts w:ascii="Times New Roman" w:hAnsi="Times New Roman"/>
                <w:sz w:val="15"/>
              </w:rPr>
              <w:t>2022</w:t>
            </w:r>
          </w:p>
        </w:tc>
        <w:tc>
          <w:tcPr>
            <w:tcW w:type="dxa" w:w="57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Volunteer responder alerting</w:t>
            </w:r>
          </w:p>
        </w:tc>
      </w:tr>
      <w:tr>
        <w:tc>
          <w:tcPr>
            <w:tcW w:type="dxa" w:w="432"/>
          </w:tcPr>
          <w:p>
            <w:pPr>
              <w:spacing w:before="20" w:after="20"/>
              <w:jc w:val="center"/>
            </w:pPr>
            <w:r>
              <w:rPr>
                <w:rFonts w:ascii="Times New Roman" w:hAnsi="Times New Roman"/>
                <w:sz w:val="15"/>
              </w:rPr>
              <w:t>3</w:t>
            </w:r>
          </w:p>
        </w:tc>
        <w:tc>
          <w:tcPr>
            <w:tcW w:type="dxa" w:w="2160"/>
          </w:tcPr>
          <w:p>
            <w:pPr>
              <w:spacing w:before="20" w:after="20"/>
              <w:jc w:val="left"/>
            </w:pPr>
            <w:r>
              <w:rPr>
                <w:rFonts w:ascii="Times New Roman" w:hAnsi="Times New Roman"/>
                <w:sz w:val="15"/>
              </w:rPr>
              <w:t>Driver Decline Model [19]</w:t>
            </w:r>
          </w:p>
        </w:tc>
        <w:tc>
          <w:tcPr>
            <w:tcW w:type="dxa" w:w="576"/>
          </w:tcPr>
          <w:p>
            <w:pPr>
              <w:spacing w:before="20" w:after="20"/>
              <w:jc w:val="center"/>
            </w:pPr>
            <w:r>
              <w:rPr>
                <w:rFonts w:ascii="Times New Roman" w:hAnsi="Times New Roman"/>
                <w:sz w:val="15"/>
              </w:rPr>
              <w:t>2024</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No</w:t>
            </w:r>
          </w:p>
        </w:tc>
        <w:tc>
          <w:tcPr>
            <w:tcW w:type="dxa" w:w="792"/>
          </w:tcPr>
          <w:p>
            <w:pPr>
              <w:spacing w:before="20" w:after="20"/>
              <w:jc w:val="center"/>
            </w:pPr>
            <w:r>
              <w:rPr>
                <w:rFonts w:ascii="Times New Roman" w:hAnsi="Times New Roman"/>
                <w:sz w:val="15"/>
              </w:rPr>
              <w:t>Partial</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Ride-hailing fleet optimization</w:t>
            </w:r>
          </w:p>
        </w:tc>
      </w:tr>
      <w:tr>
        <w:tc>
          <w:tcPr>
            <w:tcW w:type="dxa" w:w="432"/>
          </w:tcPr>
          <w:p>
            <w:pPr>
              <w:spacing w:before="20" w:after="20"/>
              <w:jc w:val="center"/>
            </w:pPr>
            <w:r>
              <w:rPr>
                <w:rFonts w:ascii="Times New Roman" w:hAnsi="Times New Roman"/>
                <w:sz w:val="15"/>
              </w:rPr>
              <w:t>4</w:t>
            </w:r>
          </w:p>
        </w:tc>
        <w:tc>
          <w:tcPr>
            <w:tcW w:type="dxa" w:w="2160"/>
          </w:tcPr>
          <w:p>
            <w:pPr>
              <w:spacing w:before="20" w:after="20"/>
              <w:jc w:val="left"/>
            </w:pPr>
            <w:r>
              <w:rPr>
                <w:rFonts w:ascii="Times New Roman" w:hAnsi="Times New Roman"/>
                <w:sz w:val="15"/>
              </w:rPr>
              <w:t>Hospital Strategy Model [1]</w:t>
            </w:r>
          </w:p>
        </w:tc>
        <w:tc>
          <w:tcPr>
            <w:tcW w:type="dxa" w:w="576"/>
          </w:tcPr>
          <w:p>
            <w:pPr>
              <w:spacing w:before="20" w:after="20"/>
              <w:jc w:val="center"/>
            </w:pPr>
            <w:r>
              <w:rPr>
                <w:rFonts w:ascii="Times New Roman" w:hAnsi="Times New Roman"/>
                <w:sz w:val="15"/>
              </w:rPr>
              <w:t>2022</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Sim</w:t>
            </w:r>
          </w:p>
        </w:tc>
        <w:tc>
          <w:tcPr>
            <w:tcW w:type="dxa" w:w="1872"/>
          </w:tcPr>
          <w:p>
            <w:pPr>
              <w:spacing w:before="20" w:after="20"/>
              <w:jc w:val="left"/>
            </w:pPr>
            <w:r>
              <w:rPr>
                <w:rFonts w:ascii="Times New Roman" w:hAnsi="Times New Roman"/>
                <w:sz w:val="15"/>
              </w:rPr>
              <w:t>Game theory / DES simulation</w:t>
            </w:r>
          </w:p>
        </w:tc>
      </w:tr>
      <w:tr>
        <w:tc>
          <w:tcPr>
            <w:tcW w:type="dxa" w:w="432"/>
          </w:tcPr>
          <w:p>
            <w:pPr>
              <w:spacing w:before="20" w:after="20"/>
              <w:jc w:val="center"/>
            </w:pPr>
            <w:r>
              <w:rPr>
                <w:rFonts w:ascii="Times New Roman" w:hAnsi="Times New Roman"/>
                <w:sz w:val="15"/>
              </w:rPr>
              <w:t>5</w:t>
            </w:r>
          </w:p>
        </w:tc>
        <w:tc>
          <w:tcPr>
            <w:tcW w:type="dxa" w:w="2160"/>
          </w:tcPr>
          <w:p>
            <w:pPr>
              <w:spacing w:before="20" w:after="20"/>
              <w:jc w:val="left"/>
            </w:pPr>
            <w:r>
              <w:rPr>
                <w:rFonts w:ascii="Times New Roman" w:hAnsi="Times New Roman"/>
                <w:sz w:val="15"/>
              </w:rPr>
              <w:t>NYC Telematics Model [2]</w:t>
            </w:r>
          </w:p>
        </w:tc>
        <w:tc>
          <w:tcPr>
            <w:tcW w:type="dxa" w:w="576"/>
          </w:tcPr>
          <w:p>
            <w:pPr>
              <w:spacing w:before="20" w:after="20"/>
              <w:jc w:val="center"/>
            </w:pPr>
            <w:r>
              <w:rPr>
                <w:rFonts w:ascii="Times New Roman" w:hAnsi="Times New Roman"/>
                <w:sz w:val="15"/>
              </w:rPr>
              <w:t>2022</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Partial</w:t>
            </w:r>
          </w:p>
        </w:tc>
        <w:tc>
          <w:tcPr>
            <w:tcW w:type="dxa" w:w="1872"/>
          </w:tcPr>
          <w:p>
            <w:pPr>
              <w:spacing w:before="20" w:after="20"/>
              <w:jc w:val="left"/>
            </w:pPr>
            <w:r>
              <w:rPr>
                <w:rFonts w:ascii="Times New Roman" w:hAnsi="Times New Roman"/>
                <w:sz w:val="15"/>
              </w:rPr>
              <w:t>Hospital recommendation analytics</w:t>
            </w:r>
          </w:p>
        </w:tc>
      </w:tr>
      <w:tr>
        <w:tc>
          <w:tcPr>
            <w:tcW w:type="dxa" w:w="432"/>
          </w:tcPr>
          <w:p>
            <w:pPr>
              <w:spacing w:before="20" w:after="20"/>
              <w:jc w:val="center"/>
            </w:pPr>
            <w:r>
              <w:rPr>
                <w:rFonts w:ascii="Times New Roman" w:hAnsi="Times New Roman"/>
                <w:sz w:val="15"/>
              </w:rPr>
              <w:t>6</w:t>
            </w:r>
          </w:p>
        </w:tc>
        <w:tc>
          <w:tcPr>
            <w:tcW w:type="dxa" w:w="2160"/>
          </w:tcPr>
          <w:p>
            <w:pPr>
              <w:spacing w:before="20" w:after="20"/>
              <w:jc w:val="left"/>
            </w:pPr>
            <w:r>
              <w:rPr>
                <w:rFonts w:ascii="Times New Roman" w:hAnsi="Times New Roman"/>
                <w:sz w:val="15"/>
              </w:rPr>
              <w:t>EMS Bed Sim [3]</w:t>
            </w:r>
          </w:p>
        </w:tc>
        <w:tc>
          <w:tcPr>
            <w:tcW w:type="dxa" w:w="576"/>
          </w:tcPr>
          <w:p>
            <w:pPr>
              <w:spacing w:before="20" w:after="20"/>
              <w:jc w:val="center"/>
            </w:pPr>
            <w:r>
              <w:rPr>
                <w:rFonts w:ascii="Times New Roman" w:hAnsi="Times New Roman"/>
                <w:sz w:val="15"/>
              </w:rPr>
              <w:t>2024</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1872"/>
          </w:tcPr>
          <w:p>
            <w:pPr>
              <w:spacing w:before="20" w:after="20"/>
              <w:jc w:val="left"/>
            </w:pPr>
            <w:r>
              <w:rPr>
                <w:rFonts w:ascii="Times New Roman" w:hAnsi="Times New Roman"/>
                <w:sz w:val="15"/>
              </w:rPr>
              <w:t>Bed availability forecasting</w:t>
            </w:r>
          </w:p>
        </w:tc>
      </w:tr>
      <w:tr>
        <w:tc>
          <w:tcPr>
            <w:tcW w:type="dxa" w:w="432"/>
          </w:tcPr>
          <w:p>
            <w:pPr>
              <w:spacing w:before="20" w:after="20"/>
              <w:jc w:val="center"/>
            </w:pPr>
            <w:r>
              <w:rPr>
                <w:rFonts w:ascii="Times New Roman" w:hAnsi="Times New Roman"/>
                <w:sz w:val="15"/>
              </w:rPr>
              <w:t>7</w:t>
            </w:r>
          </w:p>
        </w:tc>
        <w:tc>
          <w:tcPr>
            <w:tcW w:type="dxa" w:w="2160"/>
          </w:tcPr>
          <w:p>
            <w:pPr>
              <w:spacing w:before="20" w:after="20"/>
              <w:jc w:val="left"/>
            </w:pPr>
            <w:r>
              <w:rPr>
                <w:rFonts w:ascii="Times New Roman" w:hAnsi="Times New Roman"/>
                <w:sz w:val="15"/>
              </w:rPr>
              <w:t>Microservice Framework [9]</w:t>
            </w:r>
          </w:p>
        </w:tc>
        <w:tc>
          <w:tcPr>
            <w:tcW w:type="dxa" w:w="576"/>
          </w:tcPr>
          <w:p>
            <w:pPr>
              <w:spacing w:before="20" w:after="20"/>
              <w:jc w:val="center"/>
            </w:pPr>
            <w:r>
              <w:rPr>
                <w:rFonts w:ascii="Times New Roman" w:hAnsi="Times New Roman"/>
                <w:sz w:val="15"/>
              </w:rPr>
              <w:t>2022</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Generic health architecture</w:t>
            </w:r>
          </w:p>
        </w:tc>
      </w:tr>
      <w:tr>
        <w:tc>
          <w:tcPr>
            <w:tcW w:type="dxa" w:w="432"/>
          </w:tcPr>
          <w:p>
            <w:pPr>
              <w:spacing w:before="20" w:after="20"/>
              <w:jc w:val="center"/>
            </w:pPr>
            <w:r>
              <w:rPr>
                <w:rFonts w:ascii="Times New Roman" w:hAnsi="Times New Roman"/>
                <w:sz w:val="15"/>
              </w:rPr>
              <w:t>8</w:t>
            </w:r>
          </w:p>
        </w:tc>
        <w:tc>
          <w:tcPr>
            <w:tcW w:type="dxa" w:w="2160"/>
          </w:tcPr>
          <w:p>
            <w:pPr>
              <w:spacing w:before="20" w:after="20"/>
              <w:jc w:val="left"/>
            </w:pPr>
            <w:r>
              <w:rPr>
                <w:rFonts w:ascii="Times New Roman" w:hAnsi="Times New Roman"/>
                <w:sz w:val="15"/>
              </w:rPr>
              <w:t>SFTSDH Security [10]</w:t>
            </w:r>
          </w:p>
        </w:tc>
        <w:tc>
          <w:tcPr>
            <w:tcW w:type="dxa" w:w="576"/>
          </w:tcPr>
          <w:p>
            <w:pPr>
              <w:spacing w:before="20" w:after="20"/>
              <w:jc w:val="center"/>
            </w:pPr>
            <w:r>
              <w:rPr>
                <w:rFonts w:ascii="Times New Roman" w:hAnsi="Times New Roman"/>
                <w:sz w:val="15"/>
              </w:rPr>
              <w:t>2022</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OAuth2 microservice security</w:t>
            </w:r>
          </w:p>
        </w:tc>
      </w:tr>
      <w:tr>
        <w:tc>
          <w:tcPr>
            <w:tcW w:type="dxa" w:w="432"/>
          </w:tcPr>
          <w:p>
            <w:pPr>
              <w:spacing w:before="20" w:after="20"/>
              <w:jc w:val="center"/>
            </w:pPr>
            <w:r>
              <w:rPr>
                <w:rFonts w:ascii="Times New Roman" w:hAnsi="Times New Roman"/>
                <w:sz w:val="15"/>
              </w:rPr>
              <w:t>9</w:t>
            </w:r>
          </w:p>
        </w:tc>
        <w:tc>
          <w:tcPr>
            <w:tcW w:type="dxa" w:w="2160"/>
          </w:tcPr>
          <w:p>
            <w:pPr>
              <w:spacing w:before="20" w:after="20"/>
              <w:jc w:val="left"/>
            </w:pPr>
            <w:r>
              <w:rPr>
                <w:rFonts w:ascii="Times New Roman" w:hAnsi="Times New Roman"/>
                <w:sz w:val="15"/>
              </w:rPr>
              <w:t>Big Data I2X Pipeline [11]</w:t>
            </w:r>
          </w:p>
        </w:tc>
        <w:tc>
          <w:tcPr>
            <w:tcW w:type="dxa" w:w="576"/>
          </w:tcPr>
          <w:p>
            <w:pPr>
              <w:spacing w:before="20" w:after="20"/>
              <w:jc w:val="center"/>
            </w:pPr>
            <w:r>
              <w:rPr>
                <w:rFonts w:ascii="Times New Roman" w:hAnsi="Times New Roman"/>
                <w:sz w:val="15"/>
              </w:rPr>
              <w:t>2025</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Traffic streaming data pipeline</w:t>
            </w:r>
          </w:p>
        </w:tc>
      </w:tr>
      <w:tr>
        <w:tc>
          <w:tcPr>
            <w:tcW w:type="dxa" w:w="432"/>
          </w:tcPr>
          <w:p>
            <w:pPr>
              <w:spacing w:before="20" w:after="20"/>
              <w:jc w:val="center"/>
            </w:pPr>
            <w:r>
              <w:rPr>
                <w:rFonts w:ascii="Times New Roman" w:hAnsi="Times New Roman"/>
                <w:sz w:val="15"/>
              </w:rPr>
              <w:t>10</w:t>
            </w:r>
          </w:p>
        </w:tc>
        <w:tc>
          <w:tcPr>
            <w:tcW w:type="dxa" w:w="2160"/>
          </w:tcPr>
          <w:p>
            <w:pPr>
              <w:spacing w:before="20" w:after="20"/>
              <w:jc w:val="left"/>
            </w:pPr>
            <w:r>
              <w:rPr>
                <w:rFonts w:ascii="Times New Roman" w:hAnsi="Times New Roman"/>
                <w:sz w:val="15"/>
              </w:rPr>
              <w:t>Cloud Database Review [12]</w:t>
            </w:r>
          </w:p>
        </w:tc>
        <w:tc>
          <w:tcPr>
            <w:tcW w:type="dxa" w:w="576"/>
          </w:tcPr>
          <w:p>
            <w:pPr>
              <w:spacing w:before="20" w:after="20"/>
              <w:jc w:val="center"/>
            </w:pPr>
            <w:r>
              <w:rPr>
                <w:rFonts w:ascii="Times New Roman" w:hAnsi="Times New Roman"/>
                <w:sz w:val="15"/>
              </w:rPr>
              <w:t>2025</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Survey of cloud/NoSQL stores</w:t>
            </w:r>
          </w:p>
        </w:tc>
      </w:tr>
      <w:tr>
        <w:tc>
          <w:tcPr>
            <w:tcW w:type="dxa" w:w="432"/>
          </w:tcPr>
          <w:p>
            <w:pPr>
              <w:spacing w:before="20" w:after="20"/>
              <w:jc w:val="center"/>
            </w:pPr>
            <w:r>
              <w:rPr>
                <w:rFonts w:ascii="Times New Roman" w:hAnsi="Times New Roman"/>
                <w:sz w:val="15"/>
              </w:rPr>
              <w:t>11</w:t>
            </w:r>
          </w:p>
        </w:tc>
        <w:tc>
          <w:tcPr>
            <w:tcW w:type="dxa" w:w="2160"/>
          </w:tcPr>
          <w:p>
            <w:pPr>
              <w:spacing w:before="20" w:after="20"/>
              <w:jc w:val="left"/>
            </w:pPr>
            <w:r>
              <w:rPr>
                <w:rFonts w:ascii="Times New Roman" w:hAnsi="Times New Roman"/>
                <w:sz w:val="15"/>
              </w:rPr>
              <w:t>RACER [13]</w:t>
            </w:r>
          </w:p>
        </w:tc>
        <w:tc>
          <w:tcPr>
            <w:tcW w:type="dxa" w:w="576"/>
          </w:tcPr>
          <w:p>
            <w:pPr>
              <w:spacing w:before="20" w:after="20"/>
              <w:jc w:val="center"/>
            </w:pPr>
            <w:r>
              <w:rPr>
                <w:rFonts w:ascii="Times New Roman" w:hAnsi="Times New Roman"/>
                <w:sz w:val="15"/>
              </w:rPr>
              <w:t>2026</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Single-vehicle dynamic routing</w:t>
            </w:r>
          </w:p>
        </w:tc>
      </w:tr>
      <w:tr>
        <w:tc>
          <w:tcPr>
            <w:tcW w:type="dxa" w:w="432"/>
          </w:tcPr>
          <w:p>
            <w:pPr>
              <w:spacing w:before="20" w:after="20"/>
              <w:jc w:val="center"/>
            </w:pPr>
            <w:r>
              <w:rPr>
                <w:rFonts w:ascii="Times New Roman" w:hAnsi="Times New Roman"/>
                <w:sz w:val="15"/>
              </w:rPr>
              <w:t>12</w:t>
            </w:r>
          </w:p>
        </w:tc>
        <w:tc>
          <w:tcPr>
            <w:tcW w:type="dxa" w:w="2160"/>
          </w:tcPr>
          <w:p>
            <w:pPr>
              <w:spacing w:before="20" w:after="20"/>
              <w:jc w:val="left"/>
            </w:pPr>
            <w:r>
              <w:rPr>
                <w:rFonts w:ascii="Times New Roman" w:hAnsi="Times New Roman"/>
                <w:sz w:val="15"/>
              </w:rPr>
              <w:t>ML + GA Routing [14]</w:t>
            </w:r>
          </w:p>
        </w:tc>
        <w:tc>
          <w:tcPr>
            <w:tcW w:type="dxa" w:w="576"/>
          </w:tcPr>
          <w:p>
            <w:pPr>
              <w:spacing w:before="20" w:after="20"/>
              <w:jc w:val="center"/>
            </w:pPr>
            <w:r>
              <w:rPr>
                <w:rFonts w:ascii="Times New Roman" w:hAnsi="Times New Roman"/>
                <w:sz w:val="15"/>
              </w:rPr>
              <w:t>2025</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Genetic algorithm routing model</w:t>
            </w:r>
          </w:p>
        </w:tc>
      </w:tr>
      <w:tr>
        <w:tc>
          <w:tcPr>
            <w:tcW w:type="dxa" w:w="432"/>
          </w:tcPr>
          <w:p>
            <w:pPr>
              <w:spacing w:before="20" w:after="20"/>
              <w:jc w:val="center"/>
            </w:pPr>
            <w:r>
              <w:rPr>
                <w:rFonts w:ascii="Times New Roman" w:hAnsi="Times New Roman"/>
                <w:sz w:val="15"/>
              </w:rPr>
              <w:t>13</w:t>
            </w:r>
          </w:p>
        </w:tc>
        <w:tc>
          <w:tcPr>
            <w:tcW w:type="dxa" w:w="2160"/>
          </w:tcPr>
          <w:p>
            <w:pPr>
              <w:spacing w:before="20" w:after="20"/>
              <w:jc w:val="left"/>
            </w:pPr>
            <w:r>
              <w:rPr>
                <w:rFonts w:ascii="Times New Roman" w:hAnsi="Times New Roman"/>
                <w:sz w:val="15"/>
              </w:rPr>
              <w:t>Smart Ambulance System [4]</w:t>
            </w:r>
          </w:p>
        </w:tc>
        <w:tc>
          <w:tcPr>
            <w:tcW w:type="dxa" w:w="576"/>
          </w:tcPr>
          <w:p>
            <w:pPr>
              <w:spacing w:before="20" w:after="20"/>
              <w:jc w:val="center"/>
            </w:pPr>
            <w:r>
              <w:rPr>
                <w:rFonts w:ascii="Times New Roman" w:hAnsi="Times New Roman"/>
                <w:sz w:val="15"/>
              </w:rPr>
              <w:t>2022</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Sim</w:t>
            </w:r>
          </w:p>
        </w:tc>
        <w:tc>
          <w:tcPr>
            <w:tcW w:type="dxa" w:w="1872"/>
          </w:tcPr>
          <w:p>
            <w:pPr>
              <w:spacing w:before="20" w:after="20"/>
              <w:jc w:val="left"/>
            </w:pPr>
            <w:r>
              <w:rPr>
                <w:rFonts w:ascii="Times New Roman" w:hAnsi="Times New Roman"/>
                <w:sz w:val="15"/>
              </w:rPr>
              <w:t>Door-to-needle optimization</w:t>
            </w:r>
          </w:p>
        </w:tc>
      </w:tr>
      <w:tr>
        <w:tc>
          <w:tcPr>
            <w:tcW w:type="dxa" w:w="432"/>
          </w:tcPr>
          <w:p>
            <w:pPr>
              <w:spacing w:before="20" w:after="20"/>
              <w:jc w:val="center"/>
            </w:pPr>
            <w:r>
              <w:rPr>
                <w:rFonts w:ascii="Times New Roman" w:hAnsi="Times New Roman"/>
                <w:sz w:val="15"/>
              </w:rPr>
              <w:t>14</w:t>
            </w:r>
          </w:p>
        </w:tc>
        <w:tc>
          <w:tcPr>
            <w:tcW w:type="dxa" w:w="2160"/>
          </w:tcPr>
          <w:p>
            <w:pPr>
              <w:spacing w:before="20" w:after="20"/>
              <w:jc w:val="left"/>
            </w:pPr>
            <w:r>
              <w:rPr>
                <w:rFonts w:ascii="Times New Roman" w:hAnsi="Times New Roman"/>
                <w:sz w:val="15"/>
              </w:rPr>
              <w:t>Three-Stage ML Dispatch</w:t>
            </w:r>
          </w:p>
        </w:tc>
        <w:tc>
          <w:tcPr>
            <w:tcW w:type="dxa" w:w="576"/>
          </w:tcPr>
          <w:p>
            <w:pPr>
              <w:spacing w:before="20" w:after="20"/>
              <w:jc w:val="center"/>
            </w:pPr>
            <w:r>
              <w:rPr>
                <w:rFonts w:ascii="Times New Roman" w:hAnsi="Times New Roman"/>
                <w:sz w:val="15"/>
              </w:rPr>
              <w:t>2025</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CRNN traffic route optimization</w:t>
            </w:r>
          </w:p>
        </w:tc>
      </w:tr>
      <w:tr>
        <w:tc>
          <w:tcPr>
            <w:tcW w:type="dxa" w:w="432"/>
          </w:tcPr>
          <w:p>
            <w:pPr>
              <w:spacing w:before="20" w:after="20"/>
              <w:jc w:val="center"/>
            </w:pPr>
            <w:r>
              <w:rPr>
                <w:rFonts w:ascii="Times New Roman" w:hAnsi="Times New Roman"/>
                <w:sz w:val="15"/>
              </w:rPr>
              <w:t>15</w:t>
            </w:r>
          </w:p>
        </w:tc>
        <w:tc>
          <w:tcPr>
            <w:tcW w:type="dxa" w:w="2160"/>
          </w:tcPr>
          <w:p>
            <w:pPr>
              <w:spacing w:before="20" w:after="20"/>
              <w:jc w:val="left"/>
            </w:pPr>
            <w:r>
              <w:rPr>
                <w:rFonts w:ascii="Times New Roman" w:hAnsi="Times New Roman"/>
                <w:sz w:val="15"/>
              </w:rPr>
              <w:t>DRL Redeployment [15]</w:t>
            </w:r>
          </w:p>
        </w:tc>
        <w:tc>
          <w:tcPr>
            <w:tcW w:type="dxa" w:w="576"/>
          </w:tcPr>
          <w:p>
            <w:pPr>
              <w:spacing w:before="20" w:after="20"/>
              <w:jc w:val="center"/>
            </w:pPr>
            <w:r>
              <w:rPr>
                <w:rFonts w:ascii="Times New Roman" w:hAnsi="Times New Roman"/>
                <w:sz w:val="15"/>
              </w:rPr>
              <w:t>2025</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Proactive fleet relocation</w:t>
            </w:r>
          </w:p>
        </w:tc>
      </w:tr>
      <w:tr>
        <w:tc>
          <w:tcPr>
            <w:tcW w:type="dxa" w:w="432"/>
          </w:tcPr>
          <w:p>
            <w:pPr>
              <w:spacing w:before="20" w:after="20"/>
              <w:jc w:val="center"/>
            </w:pPr>
            <w:r>
              <w:rPr>
                <w:rFonts w:ascii="Times New Roman" w:hAnsi="Times New Roman"/>
                <w:sz w:val="15"/>
              </w:rPr>
              <w:t>16</w:t>
            </w:r>
          </w:p>
        </w:tc>
        <w:tc>
          <w:tcPr>
            <w:tcW w:type="dxa" w:w="2160"/>
          </w:tcPr>
          <w:p>
            <w:pPr>
              <w:spacing w:before="20" w:after="20"/>
              <w:jc w:val="left"/>
            </w:pPr>
            <w:r>
              <w:rPr>
                <w:rFonts w:ascii="Times New Roman" w:hAnsi="Times New Roman"/>
                <w:sz w:val="15"/>
              </w:rPr>
              <w:t>Deep Encoder ETA [16]</w:t>
            </w:r>
          </w:p>
        </w:tc>
        <w:tc>
          <w:tcPr>
            <w:tcW w:type="dxa" w:w="576"/>
          </w:tcPr>
          <w:p>
            <w:pPr>
              <w:spacing w:before="20" w:after="20"/>
              <w:jc w:val="center"/>
            </w:pPr>
            <w:r>
              <w:rPr>
                <w:rFonts w:ascii="Times New Roman" w:hAnsi="Times New Roman"/>
                <w:sz w:val="15"/>
              </w:rPr>
              <w:t>2023</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ETA residual prediction model</w:t>
            </w:r>
          </w:p>
        </w:tc>
      </w:tr>
      <w:tr>
        <w:tc>
          <w:tcPr>
            <w:tcW w:type="dxa" w:w="432"/>
          </w:tcPr>
          <w:p>
            <w:pPr>
              <w:spacing w:before="20" w:after="20"/>
              <w:jc w:val="center"/>
            </w:pPr>
            <w:r>
              <w:rPr>
                <w:rFonts w:ascii="Times New Roman" w:hAnsi="Times New Roman"/>
                <w:sz w:val="15"/>
              </w:rPr>
              <w:t>17</w:t>
            </w:r>
          </w:p>
        </w:tc>
        <w:tc>
          <w:tcPr>
            <w:tcW w:type="dxa" w:w="2160"/>
          </w:tcPr>
          <w:p>
            <w:pPr>
              <w:spacing w:before="20" w:after="20"/>
              <w:jc w:val="left"/>
            </w:pPr>
            <w:r>
              <w:rPr>
                <w:rFonts w:ascii="Times New Roman" w:hAnsi="Times New Roman"/>
                <w:sz w:val="15"/>
              </w:rPr>
              <w:t>ANN Travel-Time Sim [17]</w:t>
            </w:r>
          </w:p>
        </w:tc>
        <w:tc>
          <w:tcPr>
            <w:tcW w:type="dxa" w:w="576"/>
          </w:tcPr>
          <w:p>
            <w:pPr>
              <w:spacing w:before="20" w:after="20"/>
              <w:jc w:val="center"/>
            </w:pPr>
            <w:r>
              <w:rPr>
                <w:rFonts w:ascii="Times New Roman" w:hAnsi="Times New Roman"/>
                <w:sz w:val="15"/>
              </w:rPr>
              <w:t>2024</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EMS simulation travel calibration</w:t>
            </w:r>
          </w:p>
        </w:tc>
      </w:tr>
      <w:tr>
        <w:tc>
          <w:tcPr>
            <w:tcW w:type="dxa" w:w="432"/>
          </w:tcPr>
          <w:p>
            <w:pPr>
              <w:spacing w:before="20" w:after="20"/>
              <w:jc w:val="center"/>
            </w:pPr>
            <w:r>
              <w:rPr>
                <w:rFonts w:ascii="Times New Roman" w:hAnsi="Times New Roman"/>
                <w:sz w:val="15"/>
              </w:rPr>
              <w:t>18</w:t>
            </w:r>
          </w:p>
        </w:tc>
        <w:tc>
          <w:tcPr>
            <w:tcW w:type="dxa" w:w="2160"/>
          </w:tcPr>
          <w:p>
            <w:pPr>
              <w:spacing w:before="20" w:after="20"/>
              <w:jc w:val="left"/>
            </w:pPr>
            <w:r>
              <w:rPr>
                <w:rFonts w:ascii="Times New Roman" w:hAnsi="Times New Roman"/>
                <w:sz w:val="15"/>
              </w:rPr>
              <w:t>Spatiotemporal ETA [18]</w:t>
            </w:r>
          </w:p>
        </w:tc>
        <w:tc>
          <w:tcPr>
            <w:tcW w:type="dxa" w:w="576"/>
          </w:tcPr>
          <w:p>
            <w:pPr>
              <w:spacing w:before="20" w:after="20"/>
              <w:jc w:val="center"/>
            </w:pPr>
            <w:r>
              <w:rPr>
                <w:rFonts w:ascii="Times New Roman" w:hAnsi="Times New Roman"/>
                <w:sz w:val="15"/>
              </w:rPr>
              <w:t>2024</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Historical gradient boosting</w:t>
            </w:r>
          </w:p>
        </w:tc>
      </w:tr>
      <w:tr>
        <w:tc>
          <w:tcPr>
            <w:tcW w:type="dxa" w:w="432"/>
          </w:tcPr>
          <w:p>
            <w:pPr>
              <w:spacing w:before="20" w:after="20"/>
              <w:jc w:val="center"/>
            </w:pPr>
            <w:r>
              <w:rPr>
                <w:rFonts w:ascii="Times New Roman" w:hAnsi="Times New Roman"/>
                <w:sz w:val="15"/>
              </w:rPr>
              <w:t>19</w:t>
            </w:r>
          </w:p>
        </w:tc>
        <w:tc>
          <w:tcPr>
            <w:tcW w:type="dxa" w:w="2160"/>
          </w:tcPr>
          <w:p>
            <w:pPr>
              <w:spacing w:before="20" w:after="20"/>
              <w:jc w:val="left"/>
            </w:pPr>
            <w:r>
              <w:rPr>
                <w:rFonts w:ascii="Times New Roman" w:hAnsi="Times New Roman"/>
                <w:sz w:val="15"/>
              </w:rPr>
              <w:t>Adaptive IoT Ambulance [5]</w:t>
            </w:r>
          </w:p>
        </w:tc>
        <w:tc>
          <w:tcPr>
            <w:tcW w:type="dxa" w:w="576"/>
          </w:tcPr>
          <w:p>
            <w:pPr>
              <w:spacing w:before="20" w:after="20"/>
              <w:jc w:val="center"/>
            </w:pPr>
            <w:r>
              <w:rPr>
                <w:rFonts w:ascii="Times New Roman" w:hAnsi="Times New Roman"/>
                <w:sz w:val="15"/>
              </w:rPr>
              <w:t>2022</w:t>
            </w:r>
          </w:p>
        </w:tc>
        <w:tc>
          <w:tcPr>
            <w:tcW w:type="dxa" w:w="57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No</w:t>
            </w:r>
          </w:p>
        </w:tc>
        <w:tc>
          <w:tcPr>
            <w:tcW w:type="dxa" w:w="792"/>
          </w:tcPr>
          <w:p>
            <w:pPr>
              <w:spacing w:before="20" w:after="20"/>
              <w:jc w:val="center"/>
            </w:pPr>
            <w:r>
              <w:rPr>
                <w:rFonts w:ascii="Times New Roman" w:hAnsi="Times New Roman"/>
                <w:sz w:val="15"/>
              </w:rPr>
              <w:t>No</w:t>
            </w:r>
          </w:p>
        </w:tc>
        <w:tc>
          <w:tcPr>
            <w:tcW w:type="dxa" w:w="936"/>
          </w:tcPr>
          <w:p>
            <w:pPr>
              <w:spacing w:before="20" w:after="20"/>
              <w:jc w:val="center"/>
            </w:pPr>
            <w:r>
              <w:rPr>
                <w:rFonts w:ascii="Times New Roman" w:hAnsi="Times New Roman"/>
                <w:sz w:val="15"/>
              </w:rPr>
              <w:t>Yes</w:t>
            </w:r>
          </w:p>
        </w:tc>
        <w:tc>
          <w:tcPr>
            <w:tcW w:type="dxa" w:w="936"/>
          </w:tcPr>
          <w:p>
            <w:pPr>
              <w:spacing w:before="20" w:after="20"/>
              <w:jc w:val="center"/>
            </w:pPr>
            <w:r>
              <w:rPr>
                <w:rFonts w:ascii="Times New Roman" w:hAnsi="Times New Roman"/>
                <w:sz w:val="15"/>
              </w:rPr>
              <w:t>No</w:t>
            </w:r>
          </w:p>
        </w:tc>
        <w:tc>
          <w:tcPr>
            <w:tcW w:type="dxa" w:w="1872"/>
          </w:tcPr>
          <w:p>
            <w:pPr>
              <w:spacing w:before="20" w:after="20"/>
              <w:jc w:val="left"/>
            </w:pPr>
            <w:r>
              <w:rPr>
                <w:rFonts w:ascii="Times New Roman" w:hAnsi="Times New Roman"/>
                <w:sz w:val="15"/>
              </w:rPr>
              <w:t>Hardware IoT traffic preemption</w:t>
            </w:r>
          </w:p>
        </w:tc>
      </w:tr>
      <w:tr>
        <w:tc>
          <w:tcPr>
            <w:tcW w:type="dxa" w:w="432"/>
            <w:shd w:fill="EDF8FF"/>
          </w:tcPr>
          <w:p>
            <w:pPr>
              <w:spacing w:before="20" w:after="20"/>
              <w:jc w:val="center"/>
            </w:pPr>
            <w:r>
              <w:rPr>
                <w:rFonts w:ascii="Times New Roman" w:hAnsi="Times New Roman"/>
                <w:b/>
                <w:sz w:val="15"/>
              </w:rPr>
              <w:t>20</w:t>
            </w:r>
          </w:p>
        </w:tc>
        <w:tc>
          <w:tcPr>
            <w:tcW w:type="dxa" w:w="2160"/>
            <w:shd w:fill="EDF8FF"/>
          </w:tcPr>
          <w:p>
            <w:pPr>
              <w:spacing w:before="20" w:after="20"/>
              <w:jc w:val="left"/>
            </w:pPr>
            <w:r>
              <w:rPr>
                <w:rFonts w:ascii="Times New Roman" w:hAnsi="Times New Roman"/>
                <w:b/>
                <w:sz w:val="15"/>
              </w:rPr>
              <w:t>UyirKappan (Proposed)</w:t>
            </w:r>
          </w:p>
        </w:tc>
        <w:tc>
          <w:tcPr>
            <w:tcW w:type="dxa" w:w="576"/>
            <w:shd w:fill="EDF8FF"/>
          </w:tcPr>
          <w:p>
            <w:pPr>
              <w:spacing w:before="20" w:after="20"/>
              <w:jc w:val="center"/>
            </w:pPr>
            <w:r>
              <w:rPr>
                <w:rFonts w:ascii="Times New Roman" w:hAnsi="Times New Roman"/>
                <w:b/>
                <w:sz w:val="15"/>
              </w:rPr>
              <w:t>2026</w:t>
            </w:r>
          </w:p>
        </w:tc>
        <w:tc>
          <w:tcPr>
            <w:tcW w:type="dxa" w:w="576"/>
            <w:shd w:fill="EDF8FF"/>
          </w:tcPr>
          <w:p>
            <w:pPr>
              <w:spacing w:before="20" w:after="20"/>
              <w:jc w:val="center"/>
            </w:pPr>
            <w:r>
              <w:rPr>
                <w:rFonts w:ascii="Times New Roman" w:hAnsi="Times New Roman"/>
                <w:b/>
                <w:sz w:val="15"/>
              </w:rPr>
              <w:t>Yes</w:t>
            </w:r>
          </w:p>
        </w:tc>
        <w:tc>
          <w:tcPr>
            <w:tcW w:type="dxa" w:w="936"/>
            <w:shd w:fill="EDF8FF"/>
          </w:tcPr>
          <w:p>
            <w:pPr>
              <w:spacing w:before="20" w:after="20"/>
              <w:jc w:val="center"/>
            </w:pPr>
            <w:r>
              <w:rPr>
                <w:rFonts w:ascii="Times New Roman" w:hAnsi="Times New Roman"/>
                <w:b/>
                <w:sz w:val="15"/>
              </w:rPr>
              <w:t>Yes</w:t>
            </w:r>
          </w:p>
        </w:tc>
        <w:tc>
          <w:tcPr>
            <w:tcW w:type="dxa" w:w="936"/>
            <w:shd w:fill="EDF8FF"/>
          </w:tcPr>
          <w:p>
            <w:pPr>
              <w:spacing w:before="20" w:after="20"/>
              <w:jc w:val="center"/>
            </w:pPr>
            <w:r>
              <w:rPr>
                <w:rFonts w:ascii="Times New Roman" w:hAnsi="Times New Roman"/>
                <w:b/>
                <w:sz w:val="15"/>
              </w:rPr>
              <w:t>Yes</w:t>
            </w:r>
          </w:p>
        </w:tc>
        <w:tc>
          <w:tcPr>
            <w:tcW w:type="dxa" w:w="792"/>
            <w:shd w:fill="EDF8FF"/>
          </w:tcPr>
          <w:p>
            <w:pPr>
              <w:spacing w:before="20" w:after="20"/>
              <w:jc w:val="center"/>
            </w:pPr>
            <w:r>
              <w:rPr>
                <w:rFonts w:ascii="Times New Roman" w:hAnsi="Times New Roman"/>
                <w:b/>
                <w:sz w:val="15"/>
              </w:rPr>
              <w:t>Yes</w:t>
            </w:r>
          </w:p>
        </w:tc>
        <w:tc>
          <w:tcPr>
            <w:tcW w:type="dxa" w:w="936"/>
            <w:shd w:fill="EDF8FF"/>
          </w:tcPr>
          <w:p>
            <w:pPr>
              <w:spacing w:before="20" w:after="20"/>
              <w:jc w:val="center"/>
            </w:pPr>
            <w:r>
              <w:rPr>
                <w:rFonts w:ascii="Times New Roman" w:hAnsi="Times New Roman"/>
                <w:b/>
                <w:sz w:val="15"/>
              </w:rPr>
              <w:t>Yes</w:t>
            </w:r>
          </w:p>
        </w:tc>
        <w:tc>
          <w:tcPr>
            <w:tcW w:type="dxa" w:w="936"/>
            <w:shd w:fill="EDF8FF"/>
          </w:tcPr>
          <w:p>
            <w:pPr>
              <w:spacing w:before="20" w:after="20"/>
              <w:jc w:val="center"/>
            </w:pPr>
            <w:r>
              <w:rPr>
                <w:rFonts w:ascii="Times New Roman" w:hAnsi="Times New Roman"/>
                <w:b/>
                <w:sz w:val="15"/>
              </w:rPr>
              <w:t>Yes</w:t>
            </w:r>
          </w:p>
        </w:tc>
        <w:tc>
          <w:tcPr>
            <w:tcW w:type="dxa" w:w="1872"/>
            <w:shd w:fill="EDF8FF"/>
          </w:tcPr>
          <w:p>
            <w:pPr>
              <w:spacing w:before="20" w:after="20"/>
              <w:jc w:val="left"/>
            </w:pPr>
            <w:r>
              <w:rPr>
                <w:rFonts w:ascii="Times New Roman" w:hAnsi="Times New Roman"/>
                <w:b/>
                <w:sz w:val="15"/>
              </w:rPr>
              <w:t>Unified Multi-Stakeholder Platform</w:t>
            </w:r>
          </w:p>
        </w:tc>
      </w:tr>
    </w:tbl>
    <w:p>
      <w:pPr>
        <w:spacing w:after="160"/>
      </w:pPr>
    </w:p>
    <w:p>
      <w:pPr>
        <w:keepNext/>
        <w:spacing w:before="280" w:after="80"/>
      </w:pPr>
      <w:r>
        <w:rPr>
          <w:rFonts w:ascii="Times New Roman" w:hAnsi="Times New Roman"/>
          <w:b/>
          <w:sz w:val="21"/>
        </w:rPr>
        <w:t>III. PROPOSED METHODOLOGY &amp; SYSTEM ARCHITECTURE</w:t>
      </w:r>
    </w:p>
    <w:p>
      <w:pPr>
        <w:spacing w:line="264" w:lineRule="auto" w:after="120"/>
        <w:jc w:val="both"/>
      </w:pPr>
      <w:r>
        <w:rPr>
          <w:rFonts w:ascii="Times New Roman" w:hAnsi="Times New Roman"/>
          <w:sz w:val="20"/>
        </w:rPr>
        <w:t>UyirKappan is engineered as a resilient, multi-tiered distributed platform designed for sub-second transaction processing, high-concurrency spatial queries, and fault-tolerant state recovery. As shown in Figure 1, the architecture is decoupled into four primary layers: (1) Stakeholder Client Layer, (2) Real-Time Event Broker &amp; Gateway Layer, (3) Intelligent Dispatch &amp; Coordination Core, and (4) Geospatial Persistence Infrastructure.</w:t>
      </w:r>
    </w:p>
    <w:p>
      <w:pPr>
        <w:spacing w:before="160" w:after="60"/>
        <w:jc w:val="center"/>
      </w:pPr>
      <w:r>
        <w:drawing>
          <wp:inline xmlns:a="http://schemas.openxmlformats.org/drawingml/2006/main" xmlns:pic="http://schemas.openxmlformats.org/drawingml/2006/picture">
            <wp:extent cx="5852160" cy="378321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852160" cy="3783215"/>
                    </a:xfrm>
                    <a:prstGeom prst="rect"/>
                  </pic:spPr>
                </pic:pic>
              </a:graphicData>
            </a:graphic>
          </wp:inline>
        </w:drawing>
      </w:r>
    </w:p>
    <w:p>
      <w:pPr>
        <w:keepNext/>
        <w:spacing w:after="200"/>
        <w:jc w:val="center"/>
      </w:pPr>
      <w:r>
        <w:rPr>
          <w:rFonts w:ascii="Times New Roman" w:hAnsi="Times New Roman"/>
          <w:b/>
          <w:sz w:val="18"/>
        </w:rPr>
        <w:t>Figure 1. End-to-End System Architecture of the UyirKappan Platform, detailing Client Applications, Gateway Broker, Intelligent Dispatch Core, and Persistence Stores.</w:t>
      </w:r>
    </w:p>
    <w:p>
      <w:pPr>
        <w:keepNext/>
        <w:spacing w:before="200" w:after="60"/>
      </w:pPr>
      <w:r>
        <w:rPr>
          <w:rFonts w:ascii="Times New Roman" w:hAnsi="Times New Roman"/>
          <w:b/>
          <w:i/>
          <w:sz w:val="20"/>
        </w:rPr>
        <w:t>A. Module 1 — Bystander Mobile Application</w:t>
      </w:r>
    </w:p>
    <w:p>
      <w:pPr>
        <w:spacing w:line="264" w:lineRule="auto" w:after="120"/>
        <w:jc w:val="both"/>
      </w:pPr>
      <w:r>
        <w:rPr>
          <w:rFonts w:ascii="Times New Roman" w:hAnsi="Times New Roman"/>
          <w:sz w:val="20"/>
        </w:rPr>
        <w:t>The bystander mobile client serves as the initial emergency entry point. Developed using Flutter adhering strictly to Clean Architecture and the Repository Pattern, it is organized into three decoupled layers: Presentation Layer (widgets, reactive map view, bottom action docks), Domain Layer (pure business entities and use-case repositories), and Data Layer (adaptive remote REST/Socket data sources with local session persistence).</w:t>
      </w:r>
    </w:p>
    <w:p>
      <w:pPr>
        <w:spacing w:line="264" w:lineRule="auto" w:after="120"/>
        <w:jc w:val="both"/>
      </w:pPr>
      <w:r>
        <w:rPr>
          <w:rFonts w:ascii="Times New Roman" w:hAnsi="Times New Roman"/>
          <w:sz w:val="20"/>
        </w:rPr>
        <w:t>Key capabilities include:</w:t>
        <w:br/>
        <w:t>• Zero-Friction Emergency Ingestion: Upon app launch, the client acquires GPS coordinates (accuracy ±5.0m) and reverse-geocodes the location into a verified street address.</w:t>
        <w:br/>
        <w:t>• Triage-Informed Categorization: The interface provides seven high-contrast emergency categories (Critical Trauma, Cardiac Arrest, Acute Respiratory, Stroke/Neuro, Maternal/Labour, Pediatric, General Medical) and a victim counter stepper (Nv ≥ 1).</w:t>
        <w:br/>
        <w:t>• Zero-Cost High-Performance Map Rendering: Integrates OpenFreeMap with MapLibre GL, utilizing self-hosted vector tiles with zero external API key billing overhead.</w:t>
        <w:br/>
        <w:t>• 108 Helpline Integration: If data connectivity is severed or fleet units are exhausted, an instant single-tap dialer connects directly to the 108 emergency service with pre-populated location markers.</w:t>
      </w:r>
    </w:p>
    <w:p>
      <w:pPr>
        <w:spacing w:before="160" w:after="60"/>
        <w:jc w:val="center"/>
      </w:pPr>
      <w:r>
        <w:drawing>
          <wp:inline xmlns:a="http://schemas.openxmlformats.org/drawingml/2006/main" xmlns:pic="http://schemas.openxmlformats.org/drawingml/2006/picture">
            <wp:extent cx="5852160" cy="2707393"/>
            <wp:docPr id="2" name="Picture 2"/>
            <wp:cNvGraphicFramePr>
              <a:graphicFrameLocks noChangeAspect="1"/>
            </wp:cNvGraphicFramePr>
            <a:graphic>
              <a:graphicData uri="http://schemas.openxmlformats.org/drawingml/2006/picture">
                <pic:pic>
                  <pic:nvPicPr>
                    <pic:cNvPr id="0" name="fig3_bystander_workflow.png"/>
                    <pic:cNvPicPr/>
                  </pic:nvPicPr>
                  <pic:blipFill>
                    <a:blip r:embed="rId10"/>
                    <a:stretch>
                      <a:fillRect/>
                    </a:stretch>
                  </pic:blipFill>
                  <pic:spPr>
                    <a:xfrm>
                      <a:off x="0" y="0"/>
                      <a:ext cx="5852160" cy="2707393"/>
                    </a:xfrm>
                    <a:prstGeom prst="rect"/>
                  </pic:spPr>
                </pic:pic>
              </a:graphicData>
            </a:graphic>
          </wp:inline>
        </w:drawing>
      </w:r>
    </w:p>
    <w:p>
      <w:pPr>
        <w:keepNext/>
        <w:spacing w:after="200"/>
        <w:jc w:val="center"/>
      </w:pPr>
      <w:r>
        <w:rPr>
          <w:rFonts w:ascii="Times New Roman" w:hAnsi="Times New Roman"/>
          <w:b/>
          <w:sz w:val="18"/>
        </w:rPr>
        <w:t>Figure 3. Module 1 Bystander Mobile Application Interface and Workflow: (a) Standby Location Capture, (b) Emergency Severity Categorization, (c) Active MapLibre Tracking and Dynamic ETA, (d) Cascading Fallback Reassignment Alert.</w:t>
      </w:r>
    </w:p>
    <w:p>
      <w:pPr>
        <w:keepNext/>
        <w:spacing w:before="200" w:after="60"/>
      </w:pPr>
      <w:r>
        <w:rPr>
          <w:rFonts w:ascii="Times New Roman" w:hAnsi="Times New Roman"/>
          <w:b/>
          <w:i/>
          <w:sz w:val="20"/>
        </w:rPr>
        <w:t>B. Module 2 — Driver / Ambulance Provider Application</w:t>
      </w:r>
    </w:p>
    <w:p>
      <w:pPr>
        <w:spacing w:line="264" w:lineRule="auto" w:after="120"/>
        <w:jc w:val="both"/>
      </w:pPr>
      <w:r>
        <w:rPr>
          <w:rFonts w:ascii="Times New Roman" w:hAnsi="Times New Roman"/>
          <w:sz w:val="20"/>
        </w:rPr>
        <w:t>The driver application equips operating paramedics with a structured, low-distraction interface:</w:t>
        <w:br/>
        <w:t>• 30-Second SLA Alert Modal: Upon candidate assignment, a high-contrast sound-and-vibration alert displays a 30-second countdown timer.</w:t>
        <w:br/>
        <w:t>• Explicit Accept/Decline Actions: If the driver declines due to local obstacles, an immediate decline event is sent to the backend, bypassing the remaining timeout.</w:t>
        <w:br/>
        <w:t>• Stepwise Milestone Toggles: Enforces structured lifecycle progression: ACCEPTED → EN_ROUTE_TO_PATIENT → ARRIVED_AT_PATIENT → PATIENT_ONBOARD → EN_ROUTE_TO_HOSPITAL → ARRIVED_AT_HOSPITAL → COMPLETED.</w:t>
        <w:br/>
        <w:t>• High-Frequency Telemetry: A background geolocation service captures and streams GPS coordinates at 1–5 Hz over WebSockets.</w:t>
      </w:r>
    </w:p>
    <w:p>
      <w:pPr>
        <w:keepNext/>
        <w:spacing w:before="200" w:after="60"/>
      </w:pPr>
      <w:r>
        <w:rPr>
          <w:rFonts w:ascii="Times New Roman" w:hAnsi="Times New Roman"/>
          <w:b/>
          <w:i/>
          <w:sz w:val="20"/>
        </w:rPr>
        <w:t>C. Module 3 — Hospital Emergency Dashboard</w:t>
      </w:r>
    </w:p>
    <w:p>
      <w:pPr>
        <w:spacing w:line="264" w:lineRule="auto" w:after="120"/>
        <w:jc w:val="both"/>
      </w:pPr>
      <w:r>
        <w:rPr>
          <w:rFonts w:ascii="Times New Roman" w:hAnsi="Times New Roman"/>
          <w:sz w:val="20"/>
        </w:rPr>
        <w:t>The hospital dashboard integrates receiving trauma centers into the active dispatch pipeline:</w:t>
        <w:br/>
        <w:t>• Live Triage Board: Displays incoming ambulances with real-time ETA countdowns, assigned unit IDs, and patient medical categories.</w:t>
        <w:br/>
        <w:t>• Pre-Arrival Clinical Preparation: Delivers clinical condition tags 10–15 minutes prior to arrival, enabling emergency surgical teams, blood products, and trauma bays to be prepared in advance.</w:t>
        <w:br/>
        <w:t>• Dynamic Bed Inventory: Maintains categorized tallies across adult ICU, pediatric ICU, ventilators, emergency operating theaters (OT), and general trauma bays.</w:t>
      </w:r>
    </w:p>
    <w:p>
      <w:pPr>
        <w:keepNext/>
        <w:spacing w:before="200" w:after="60"/>
      </w:pPr>
      <w:r>
        <w:rPr>
          <w:rFonts w:ascii="Times New Roman" w:hAnsi="Times New Roman"/>
          <w:b/>
          <w:i/>
          <w:sz w:val="20"/>
        </w:rPr>
        <w:t>D. Module 4 — Backend Infrastructure &amp; Real-Time Data Management</w:t>
      </w:r>
    </w:p>
    <w:p>
      <w:pPr>
        <w:spacing w:line="264" w:lineRule="auto" w:after="120"/>
        <w:jc w:val="both"/>
      </w:pPr>
      <w:r>
        <w:rPr>
          <w:rFonts w:ascii="Times New Roman" w:hAnsi="Times New Roman"/>
          <w:sz w:val="20"/>
        </w:rPr>
        <w:t>The central backend is implemented with Node.js, Express, Socket.IO, and Redis:</w:t>
        <w:br/>
        <w:t>• Security and RBAC: Enforces RFC 7519 JSON Web Token (JWT) authorization across BYSTANDER, DRIVER, and HOSPITAL_ADMIN roles.</w:t>
        <w:br/>
        <w:t>• Room Multiplexing: Allocates private virtual rooms (emergency:{requestId}) upon incident creation, restricting broadcast traffic and achieving sub-100ms distribution latencies.</w:t>
        <w:br/>
        <w:t>• Strict State Validation: Inbound status mutations are validated against a whitelisted state transition matrix; unauthorized mutations return HTTP 409 Conflict.</w:t>
        <w:br/>
        <w:t>• Audit Logging: Transactional logs, coordinate breadcrumbs, and millisecond timestamps (T0 to T6) are stored in PostgreSQL for medical-legal review.</w:t>
      </w:r>
    </w:p>
    <w:p>
      <w:pPr>
        <w:keepNext/>
        <w:spacing w:before="200" w:after="60"/>
      </w:pPr>
      <w:r>
        <w:rPr>
          <w:rFonts w:ascii="Times New Roman" w:hAnsi="Times New Roman"/>
          <w:b/>
          <w:i/>
          <w:sz w:val="20"/>
        </w:rPr>
        <w:t>E. Module 5 — Multi-Factor Intelligent Dispatch Engine</w:t>
      </w:r>
    </w:p>
    <w:p>
      <w:pPr>
        <w:spacing w:line="264" w:lineRule="auto" w:after="120"/>
        <w:jc w:val="both"/>
      </w:pPr>
      <w:r>
        <w:rPr>
          <w:rFonts w:ascii="Times New Roman" w:hAnsi="Times New Roman"/>
          <w:sz w:val="20"/>
        </w:rPr>
        <w:t>To eliminate brute-force spatial scans across all metropolitan units, the engine partitions geographic space using Uber's H3 hexagonal spatial index at Resolution 8 (average cell area ≈ 0.74 km²). Given incident coordinates (Llat, Llng), the origin cell is h_origin = H3Index(Llat, Llng, res=8). Candidate search bounds are initialized via a k-ring expansion H_search = kRing(h_origin, k_init=3), encompassing 37 contiguous hexagons (radius ≈ 2.5 km).</w:t>
      </w:r>
    </w:p>
    <w:p>
      <w:pPr>
        <w:spacing w:line="264" w:lineRule="auto" w:after="120"/>
        <w:jc w:val="both"/>
      </w:pPr>
      <w:r>
        <w:rPr>
          <w:rFonts w:ascii="Times New Roman" w:hAnsi="Times New Roman"/>
          <w:sz w:val="20"/>
        </w:rPr>
        <w:t>For every available candidate ambulance Ai, an aggregate dispatch penalty S(Ai, E) is computed:</w:t>
        <w:br/>
        <w:t>S(Ai, E) = w1 · T_cong(Ai, E) + w2 · [1 - P_accept(Ai)] + w3 · M_capability(Ai, E) + w4 · H_load(H_dest)</w:t>
        <w:br/>
        <w:t>where T_cong is the congestion-weighted Dijkstra travel time across dynamic road edge speeds, P_accept is the driver's empirical acceptance probability, M_capability strictly penalizes clinical mismatches (∞ penalty for BLS assigned to cardiac arrests, λ_waste for squandering ALS units on minor trauma), and H_load is the destination hospital triage queue factor. Calibrated weights are w1 = 0.50, w2 = 0.20, w3 = 0.20, and w4 = 0.10. The optimal primary unit A* is selected by minimizing S(Ai, E).</w:t>
      </w:r>
    </w:p>
    <w:p>
      <w:pPr>
        <w:keepNext/>
        <w:spacing w:before="200" w:after="60"/>
      </w:pPr>
      <w:r>
        <w:rPr>
          <w:rFonts w:ascii="Times New Roman" w:hAnsi="Times New Roman"/>
          <w:b/>
          <w:i/>
          <w:sz w:val="20"/>
        </w:rPr>
        <w:t>F. Module 6 — Live Tracking, Dynamic ETA &amp; Cascading Fallback</w:t>
      </w:r>
    </w:p>
    <w:p>
      <w:pPr>
        <w:spacing w:line="264" w:lineRule="auto" w:after="120"/>
        <w:jc w:val="both"/>
      </w:pPr>
      <w:r>
        <w:rPr>
          <w:rFonts w:ascii="Times New Roman" w:hAnsi="Times New Roman"/>
          <w:sz w:val="20"/>
        </w:rPr>
        <w:t>The cascading fallback finite state machine (Figure 2) operates under deterministic rules:</w:t>
        <w:br/>
        <w:t>1. Normal Acceptance: If the driver accepts within 30 seconds, the state transitions to ACCEPTED.</w:t>
        <w:br/>
        <w:t>2. Explicit Decline / SLA Timeout: If the driver declines or fails to respond within 30 seconds, the engine triggers FALLBACK_STARTED.</w:t>
        <w:br/>
        <w:t>3. Autonomous Reallocation: The fallback counter is incremented (k ← k + 1), the unresponsive vehicle is added to an incident blacklist, and the next candidate in the pre-computed priority queue is assigned within 1.2 seconds.</w:t>
        <w:br/>
        <w:t>4. Caller Continuity: The bystander UI displays an unobtrusive reassignment alert banner while preserving map tracking continuity.</w:t>
        <w:br/>
        <w:t>5. Terminal Escalation: If the candidate pool is exhausted, the state transitions to NO_AMBULANCE_AVAILABLE, prompting direct 108 emergency dialing.</w:t>
      </w:r>
    </w:p>
    <w:p>
      <w:pPr>
        <w:spacing w:before="160" w:after="60"/>
        <w:jc w:val="center"/>
      </w:pPr>
      <w:r>
        <w:drawing>
          <wp:inline xmlns:a="http://schemas.openxmlformats.org/drawingml/2006/main" xmlns:pic="http://schemas.openxmlformats.org/drawingml/2006/picture">
            <wp:extent cx="5669280" cy="3507168"/>
            <wp:docPr id="3" name="Picture 3"/>
            <wp:cNvGraphicFramePr>
              <a:graphicFrameLocks noChangeAspect="1"/>
            </wp:cNvGraphicFramePr>
            <a:graphic>
              <a:graphicData uri="http://schemas.openxmlformats.org/drawingml/2006/picture">
                <pic:pic>
                  <pic:nvPicPr>
                    <pic:cNvPr id="0" name="fig2_state_machine.png"/>
                    <pic:cNvPicPr/>
                  </pic:nvPicPr>
                  <pic:blipFill>
                    <a:blip r:embed="rId11"/>
                    <a:stretch>
                      <a:fillRect/>
                    </a:stretch>
                  </pic:blipFill>
                  <pic:spPr>
                    <a:xfrm>
                      <a:off x="0" y="0"/>
                      <a:ext cx="5669280" cy="3507168"/>
                    </a:xfrm>
                    <a:prstGeom prst="rect"/>
                  </pic:spPr>
                </pic:pic>
              </a:graphicData>
            </a:graphic>
          </wp:inline>
        </w:drawing>
      </w:r>
    </w:p>
    <w:p>
      <w:pPr>
        <w:keepNext/>
        <w:spacing w:after="200"/>
        <w:jc w:val="center"/>
      </w:pPr>
      <w:r>
        <w:rPr>
          <w:rFonts w:ascii="Times New Roman" w:hAnsi="Times New Roman"/>
          <w:b/>
          <w:sz w:val="18"/>
        </w:rPr>
        <w:t>Figure 2. Cascading Fallback Finite State Machine (FSM), illustrating state progression, 30s SLA timeout triggers, and automated candidate reallocation.</w:t>
      </w:r>
    </w:p>
    <w:p>
      <w:pPr>
        <w:keepNext/>
        <w:spacing w:before="280" w:after="80"/>
      </w:pPr>
      <w:r>
        <w:rPr>
          <w:rFonts w:ascii="Times New Roman" w:hAnsi="Times New Roman"/>
          <w:b/>
          <w:sz w:val="21"/>
        </w:rPr>
        <w:t>IV. EXPERIMENTAL EVALUATION &amp; RESULTS</w:t>
      </w:r>
    </w:p>
    <w:p>
      <w:pPr>
        <w:keepNext/>
        <w:spacing w:before="200" w:after="60"/>
      </w:pPr>
      <w:r>
        <w:rPr>
          <w:rFonts w:ascii="Times New Roman" w:hAnsi="Times New Roman"/>
          <w:b/>
          <w:i/>
          <w:sz w:val="20"/>
        </w:rPr>
        <w:t>A. Simulation Testbed Setup</w:t>
      </w:r>
    </w:p>
    <w:p>
      <w:pPr>
        <w:spacing w:line="264" w:lineRule="auto" w:after="120"/>
        <w:jc w:val="both"/>
      </w:pPr>
      <w:r>
        <w:rPr>
          <w:rFonts w:ascii="Times New Roman" w:hAnsi="Times New Roman"/>
          <w:sz w:val="20"/>
        </w:rPr>
        <w:t>The platform was evaluated using a comprehensive simulation model of the Chennai metropolitan area (12.90°N - 13.20°N, 80.10°E - 80.32°E). The testbed incorporates 40 active ambulance fleet stations (28 BLS, 12 ALS), 30 trauma receiving centers (including Rajiv Gandhi GGHD, Stanley Medical, Kilpauk Medical, and Apollo Greams Road), and 1,000 synthesized incident scenarios across peak and off-peak traffic conditions. Driver acceptance was modeled as a Bernoulli random variable with mean P_bar = 0.78 and timeout probability P_timeout = 0.12.</w:t>
      </w:r>
    </w:p>
    <w:p>
      <w:pPr>
        <w:keepNext/>
        <w:spacing w:before="120" w:after="40"/>
        <w:jc w:val="center"/>
      </w:pPr>
      <w:r>
        <w:rPr>
          <w:rFonts w:ascii="Times New Roman" w:hAnsi="Times New Roman"/>
          <w:b/>
          <w:sz w:val="18"/>
        </w:rPr>
        <w:t>TABLE II</w:t>
        <w:br/>
        <w:t>SIMULATION TESTBED CONFIGURATION AND PARAMETERS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60"/>
        <w:gridCol w:w="3360"/>
        <w:gridCol w:w="3360"/>
      </w:tblGrid>
      <w:tr>
        <w:tc>
          <w:tcPr>
            <w:tcW w:type="dxa" w:w="3360"/>
            <w:shd w:fill="E2E8F0"/>
          </w:tcPr>
          <w:p>
            <w:pPr>
              <w:spacing w:before="40" w:after="40"/>
              <w:jc w:val="center"/>
            </w:pPr>
            <w:r>
              <w:rPr>
                <w:rFonts w:ascii="Times New Roman" w:hAnsi="Times New Roman"/>
                <w:b/>
                <w:sz w:val="16"/>
              </w:rPr>
              <w:t>Parameter</w:t>
            </w:r>
          </w:p>
        </w:tc>
        <w:tc>
          <w:tcPr>
            <w:tcW w:type="dxa" w:w="3360"/>
            <w:shd w:fill="E2E8F0"/>
          </w:tcPr>
          <w:p>
            <w:pPr>
              <w:spacing w:before="40" w:after="40"/>
              <w:jc w:val="left"/>
            </w:pPr>
            <w:r>
              <w:rPr>
                <w:rFonts w:ascii="Times New Roman" w:hAnsi="Times New Roman"/>
                <w:b/>
                <w:sz w:val="16"/>
              </w:rPr>
              <w:t>Configuration Value</w:t>
            </w:r>
          </w:p>
        </w:tc>
        <w:tc>
          <w:tcPr>
            <w:tcW w:type="dxa" w:w="3360"/>
            <w:shd w:fill="E2E8F0"/>
          </w:tcPr>
          <w:p>
            <w:pPr>
              <w:spacing w:before="40" w:after="40"/>
              <w:jc w:val="left"/>
            </w:pPr>
            <w:r>
              <w:rPr>
                <w:rFonts w:ascii="Times New Roman" w:hAnsi="Times New Roman"/>
                <w:b/>
                <w:sz w:val="16"/>
              </w:rPr>
              <w:t>Operational Description</w:t>
            </w:r>
          </w:p>
        </w:tc>
      </w:tr>
      <w:tr>
        <w:tc>
          <w:tcPr>
            <w:tcW w:type="dxa" w:w="3360"/>
          </w:tcPr>
          <w:p>
            <w:pPr>
              <w:spacing w:before="40" w:after="40"/>
              <w:jc w:val="center"/>
            </w:pPr>
            <w:r>
              <w:rPr>
                <w:rFonts w:ascii="Times New Roman" w:hAnsi="Times New Roman"/>
                <w:sz w:val="16"/>
              </w:rPr>
              <w:t>Geographic Bounding Box</w:t>
            </w:r>
          </w:p>
        </w:tc>
        <w:tc>
          <w:tcPr>
            <w:tcW w:type="dxa" w:w="3360"/>
          </w:tcPr>
          <w:p>
            <w:pPr>
              <w:spacing w:before="40" w:after="40"/>
              <w:jc w:val="left"/>
            </w:pPr>
            <w:r>
              <w:rPr>
                <w:rFonts w:ascii="Times New Roman" w:hAnsi="Times New Roman"/>
                <w:sz w:val="16"/>
              </w:rPr>
              <w:t>12.90°N - 13.20°N, 80.10°E - 80.32°E</w:t>
            </w:r>
          </w:p>
        </w:tc>
        <w:tc>
          <w:tcPr>
            <w:tcW w:type="dxa" w:w="3360"/>
          </w:tcPr>
          <w:p>
            <w:pPr>
              <w:spacing w:before="40" w:after="40"/>
              <w:jc w:val="left"/>
            </w:pPr>
            <w:r>
              <w:rPr>
                <w:rFonts w:ascii="Times New Roman" w:hAnsi="Times New Roman"/>
                <w:sz w:val="16"/>
              </w:rPr>
              <w:t>Chennai Metropolitan Area road topology</w:t>
            </w:r>
          </w:p>
        </w:tc>
      </w:tr>
      <w:tr>
        <w:tc>
          <w:tcPr>
            <w:tcW w:type="dxa" w:w="3360"/>
          </w:tcPr>
          <w:p>
            <w:pPr>
              <w:spacing w:before="40" w:after="40"/>
              <w:jc w:val="center"/>
            </w:pPr>
            <w:r>
              <w:rPr>
                <w:rFonts w:ascii="Times New Roman" w:hAnsi="Times New Roman"/>
                <w:sz w:val="16"/>
              </w:rPr>
              <w:t>Total Active Fleet Units</w:t>
            </w:r>
          </w:p>
        </w:tc>
        <w:tc>
          <w:tcPr>
            <w:tcW w:type="dxa" w:w="3360"/>
          </w:tcPr>
          <w:p>
            <w:pPr>
              <w:spacing w:before="40" w:after="40"/>
              <w:jc w:val="left"/>
            </w:pPr>
            <w:r>
              <w:rPr>
                <w:rFonts w:ascii="Times New Roman" w:hAnsi="Times New Roman"/>
                <w:sz w:val="16"/>
              </w:rPr>
              <w:t>40 Ambulances (28 BLS, 12 ALS)</w:t>
            </w:r>
          </w:p>
        </w:tc>
        <w:tc>
          <w:tcPr>
            <w:tcW w:type="dxa" w:w="3360"/>
          </w:tcPr>
          <w:p>
            <w:pPr>
              <w:spacing w:before="40" w:after="40"/>
              <w:jc w:val="left"/>
            </w:pPr>
            <w:r>
              <w:rPr>
                <w:rFonts w:ascii="Times New Roman" w:hAnsi="Times New Roman"/>
                <w:sz w:val="16"/>
              </w:rPr>
              <w:t>Realistic municipal fleet distribution</w:t>
            </w:r>
          </w:p>
        </w:tc>
      </w:tr>
      <w:tr>
        <w:tc>
          <w:tcPr>
            <w:tcW w:type="dxa" w:w="3360"/>
          </w:tcPr>
          <w:p>
            <w:pPr>
              <w:spacing w:before="40" w:after="40"/>
              <w:jc w:val="center"/>
            </w:pPr>
            <w:r>
              <w:rPr>
                <w:rFonts w:ascii="Times New Roman" w:hAnsi="Times New Roman"/>
                <w:sz w:val="16"/>
              </w:rPr>
              <w:t>Receiving Hospitals</w:t>
            </w:r>
          </w:p>
        </w:tc>
        <w:tc>
          <w:tcPr>
            <w:tcW w:type="dxa" w:w="3360"/>
          </w:tcPr>
          <w:p>
            <w:pPr>
              <w:spacing w:before="40" w:after="40"/>
              <w:jc w:val="left"/>
            </w:pPr>
            <w:r>
              <w:rPr>
                <w:rFonts w:ascii="Times New Roman" w:hAnsi="Times New Roman"/>
                <w:sz w:val="16"/>
              </w:rPr>
              <w:t>30 Multi-Specialty &amp; Trauma Centers</w:t>
            </w:r>
          </w:p>
        </w:tc>
        <w:tc>
          <w:tcPr>
            <w:tcW w:type="dxa" w:w="3360"/>
          </w:tcPr>
          <w:p>
            <w:pPr>
              <w:spacing w:before="40" w:after="40"/>
              <w:jc w:val="left"/>
            </w:pPr>
            <w:r>
              <w:rPr>
                <w:rFonts w:ascii="Times New Roman" w:hAnsi="Times New Roman"/>
                <w:sz w:val="16"/>
              </w:rPr>
              <w:t>Verified coordinate trauma centers</w:t>
            </w:r>
          </w:p>
        </w:tc>
      </w:tr>
      <w:tr>
        <w:tc>
          <w:tcPr>
            <w:tcW w:type="dxa" w:w="3360"/>
          </w:tcPr>
          <w:p>
            <w:pPr>
              <w:spacing w:before="40" w:after="40"/>
              <w:jc w:val="center"/>
            </w:pPr>
            <w:r>
              <w:rPr>
                <w:rFonts w:ascii="Times New Roman" w:hAnsi="Times New Roman"/>
                <w:sz w:val="16"/>
              </w:rPr>
              <w:t>Evaluated Incidents (N)</w:t>
            </w:r>
          </w:p>
        </w:tc>
        <w:tc>
          <w:tcPr>
            <w:tcW w:type="dxa" w:w="3360"/>
          </w:tcPr>
          <w:p>
            <w:pPr>
              <w:spacing w:before="40" w:after="40"/>
              <w:jc w:val="left"/>
            </w:pPr>
            <w:r>
              <w:rPr>
                <w:rFonts w:ascii="Times New Roman" w:hAnsi="Times New Roman"/>
                <w:sz w:val="16"/>
              </w:rPr>
              <w:t>1,000 Emergency Requests</w:t>
            </w:r>
          </w:p>
        </w:tc>
        <w:tc>
          <w:tcPr>
            <w:tcW w:type="dxa" w:w="3360"/>
          </w:tcPr>
          <w:p>
            <w:pPr>
              <w:spacing w:before="40" w:after="40"/>
              <w:jc w:val="left"/>
            </w:pPr>
            <w:r>
              <w:rPr>
                <w:rFonts w:ascii="Times New Roman" w:hAnsi="Times New Roman"/>
                <w:sz w:val="16"/>
              </w:rPr>
              <w:t>Statistically representative incident distribution</w:t>
            </w:r>
          </w:p>
        </w:tc>
      </w:tr>
      <w:tr>
        <w:tc>
          <w:tcPr>
            <w:tcW w:type="dxa" w:w="3360"/>
          </w:tcPr>
          <w:p>
            <w:pPr>
              <w:spacing w:before="40" w:after="40"/>
              <w:jc w:val="center"/>
            </w:pPr>
            <w:r>
              <w:rPr>
                <w:rFonts w:ascii="Times New Roman" w:hAnsi="Times New Roman"/>
                <w:sz w:val="16"/>
              </w:rPr>
              <w:t>H3 Index Resolution</w:t>
            </w:r>
          </w:p>
        </w:tc>
        <w:tc>
          <w:tcPr>
            <w:tcW w:type="dxa" w:w="3360"/>
          </w:tcPr>
          <w:p>
            <w:pPr>
              <w:spacing w:before="40" w:after="40"/>
              <w:jc w:val="left"/>
            </w:pPr>
            <w:r>
              <w:rPr>
                <w:rFonts w:ascii="Times New Roman" w:hAnsi="Times New Roman"/>
                <w:sz w:val="16"/>
              </w:rPr>
              <w:t>Resolution 8 (Area ≈ 0.74 km²)</w:t>
            </w:r>
          </w:p>
        </w:tc>
        <w:tc>
          <w:tcPr>
            <w:tcW w:type="dxa" w:w="3360"/>
          </w:tcPr>
          <w:p>
            <w:pPr>
              <w:spacing w:before="40" w:after="40"/>
              <w:jc w:val="left"/>
            </w:pPr>
            <w:r>
              <w:rPr>
                <w:rFonts w:ascii="Times New Roman" w:hAnsi="Times New Roman"/>
                <w:sz w:val="16"/>
              </w:rPr>
              <w:t>Geospatial candidate partitioning</w:t>
            </w:r>
          </w:p>
        </w:tc>
      </w:tr>
      <w:tr>
        <w:tc>
          <w:tcPr>
            <w:tcW w:type="dxa" w:w="3360"/>
          </w:tcPr>
          <w:p>
            <w:pPr>
              <w:spacing w:before="40" w:after="40"/>
              <w:jc w:val="center"/>
            </w:pPr>
            <w:r>
              <w:rPr>
                <w:rFonts w:ascii="Times New Roman" w:hAnsi="Times New Roman"/>
                <w:sz w:val="16"/>
              </w:rPr>
              <w:t>Driver SLA Timeout</w:t>
            </w:r>
          </w:p>
        </w:tc>
        <w:tc>
          <w:tcPr>
            <w:tcW w:type="dxa" w:w="3360"/>
          </w:tcPr>
          <w:p>
            <w:pPr>
              <w:spacing w:before="40" w:after="40"/>
              <w:jc w:val="left"/>
            </w:pPr>
            <w:r>
              <w:rPr>
                <w:rFonts w:ascii="Times New Roman" w:hAnsi="Times New Roman"/>
                <w:sz w:val="16"/>
              </w:rPr>
              <w:t>30.0 Seconds</w:t>
            </w:r>
          </w:p>
        </w:tc>
        <w:tc>
          <w:tcPr>
            <w:tcW w:type="dxa" w:w="3360"/>
          </w:tcPr>
          <w:p>
            <w:pPr>
              <w:spacing w:before="40" w:after="40"/>
              <w:jc w:val="left"/>
            </w:pPr>
            <w:r>
              <w:rPr>
                <w:rFonts w:ascii="Times New Roman" w:hAnsi="Times New Roman"/>
                <w:sz w:val="16"/>
              </w:rPr>
              <w:t>Maximum window before automated cascade</w:t>
            </w:r>
          </w:p>
        </w:tc>
      </w:tr>
      <w:tr>
        <w:tc>
          <w:tcPr>
            <w:tcW w:type="dxa" w:w="3360"/>
          </w:tcPr>
          <w:p>
            <w:pPr>
              <w:spacing w:before="40" w:after="40"/>
              <w:jc w:val="center"/>
            </w:pPr>
            <w:r>
              <w:rPr>
                <w:rFonts w:ascii="Times New Roman" w:hAnsi="Times New Roman"/>
                <w:sz w:val="16"/>
              </w:rPr>
              <w:t>Baseline Dispatch Heuristic</w:t>
            </w:r>
          </w:p>
        </w:tc>
        <w:tc>
          <w:tcPr>
            <w:tcW w:type="dxa" w:w="3360"/>
          </w:tcPr>
          <w:p>
            <w:pPr>
              <w:spacing w:before="40" w:after="40"/>
              <w:jc w:val="left"/>
            </w:pPr>
            <w:r>
              <w:rPr>
                <w:rFonts w:ascii="Times New Roman" w:hAnsi="Times New Roman"/>
                <w:sz w:val="16"/>
              </w:rPr>
              <w:t>Naive Euclidean Nearest-Neighbor</w:t>
            </w:r>
          </w:p>
        </w:tc>
        <w:tc>
          <w:tcPr>
            <w:tcW w:type="dxa" w:w="3360"/>
          </w:tcPr>
          <w:p>
            <w:pPr>
              <w:spacing w:before="40" w:after="40"/>
              <w:jc w:val="left"/>
            </w:pPr>
            <w:r>
              <w:rPr>
                <w:rFonts w:ascii="Times New Roman" w:hAnsi="Times New Roman"/>
                <w:sz w:val="16"/>
              </w:rPr>
              <w:t>Conventional closest-vehicle dispatch</w:t>
            </w:r>
          </w:p>
        </w:tc>
      </w:tr>
      <w:tr>
        <w:tc>
          <w:tcPr>
            <w:tcW w:type="dxa" w:w="3360"/>
          </w:tcPr>
          <w:p>
            <w:pPr>
              <w:spacing w:before="40" w:after="40"/>
              <w:jc w:val="center"/>
            </w:pPr>
            <w:r>
              <w:rPr>
                <w:rFonts w:ascii="Times New Roman" w:hAnsi="Times New Roman"/>
                <w:sz w:val="16"/>
              </w:rPr>
              <w:t>Proposed Dispatch Heuristic</w:t>
            </w:r>
          </w:p>
        </w:tc>
        <w:tc>
          <w:tcPr>
            <w:tcW w:type="dxa" w:w="3360"/>
          </w:tcPr>
          <w:p>
            <w:pPr>
              <w:spacing w:before="40" w:after="40"/>
              <w:jc w:val="left"/>
            </w:pPr>
            <w:r>
              <w:rPr>
                <w:rFonts w:ascii="Times New Roman" w:hAnsi="Times New Roman"/>
                <w:sz w:val="16"/>
              </w:rPr>
              <w:t>Multi-Criteria Scoring S(Ai, E) + Fallback</w:t>
            </w:r>
          </w:p>
        </w:tc>
        <w:tc>
          <w:tcPr>
            <w:tcW w:type="dxa" w:w="3360"/>
          </w:tcPr>
          <w:p>
            <w:pPr>
              <w:spacing w:before="40" w:after="40"/>
              <w:jc w:val="left"/>
            </w:pPr>
            <w:r>
              <w:rPr>
                <w:rFonts w:ascii="Times New Roman" w:hAnsi="Times New Roman"/>
                <w:sz w:val="16"/>
              </w:rPr>
              <w:t>UyirKappan intelligent coordination engine</w:t>
            </w:r>
          </w:p>
        </w:tc>
      </w:tr>
    </w:tbl>
    <w:p>
      <w:pPr>
        <w:spacing w:after="120"/>
      </w:pPr>
    </w:p>
    <w:p>
      <w:pPr>
        <w:keepNext/>
        <w:spacing w:before="200" w:after="60"/>
      </w:pPr>
      <w:r>
        <w:rPr>
          <w:rFonts w:ascii="Times New Roman" w:hAnsi="Times New Roman"/>
          <w:b/>
          <w:i/>
          <w:sz w:val="20"/>
        </w:rPr>
        <w:t>B. Response Time Benchmark Analysis</w:t>
      </w:r>
    </w:p>
    <w:p>
      <w:pPr>
        <w:spacing w:line="264" w:lineRule="auto" w:after="120"/>
        <w:jc w:val="both"/>
      </w:pPr>
      <w:r>
        <w:rPr>
          <w:rFonts w:ascii="Times New Roman" w:hAnsi="Times New Roman"/>
          <w:sz w:val="20"/>
        </w:rPr>
        <w:t>Figure 4 displays the Cumulative Distribution Function (CDF) of Total Response Time (T6 - T0) across 1,000 simulated incidents, comparing UyirKappan against conventional Euclidean nearest-unit dispatch and legacy telephonic dispatch.</w:t>
        <w:br/>
        <w:t>• Median Response Time: UyirKappan achieved a median response time of 8.3 minutes, compared to 12.1 minutes for Euclidean dispatch and 18.5 minutes for legacy telephonic dispatch—a 31.4% improvement.</w:t>
        <w:br/>
        <w:t>• Golden 8-Minute Compliance: Under peak Chennai traffic, UyirKappan serviced 47.2% of emergencies within the 8-minute international standard, whereas conventional dispatch achieved only 14.1% due to traffic bottlenecks, and legacy response reached only 4.5%.</w:t>
        <w:br/>
        <w:t>• Tail Latency Mitigation: By eliminating unmanaged driver timeouts, UyirKappan capped the 95th-percentile response time at 14.8 minutes, preventing catastrophic long-tail delays.</w:t>
      </w:r>
    </w:p>
    <w:p>
      <w:pPr>
        <w:spacing w:before="160" w:after="60"/>
        <w:jc w:val="center"/>
      </w:pPr>
      <w:r>
        <w:drawing>
          <wp:inline xmlns:a="http://schemas.openxmlformats.org/drawingml/2006/main" xmlns:pic="http://schemas.openxmlformats.org/drawingml/2006/picture">
            <wp:extent cx="5029200" cy="3302758"/>
            <wp:docPr id="4" name="Picture 4"/>
            <wp:cNvGraphicFramePr>
              <a:graphicFrameLocks noChangeAspect="1"/>
            </wp:cNvGraphicFramePr>
            <a:graphic>
              <a:graphicData uri="http://schemas.openxmlformats.org/drawingml/2006/picture">
                <pic:pic>
                  <pic:nvPicPr>
                    <pic:cNvPr id="0" name="fig4_response_time_cdf.png"/>
                    <pic:cNvPicPr/>
                  </pic:nvPicPr>
                  <pic:blipFill>
                    <a:blip r:embed="rId12"/>
                    <a:stretch>
                      <a:fillRect/>
                    </a:stretch>
                  </pic:blipFill>
                  <pic:spPr>
                    <a:xfrm>
                      <a:off x="0" y="0"/>
                      <a:ext cx="5029200" cy="3302758"/>
                    </a:xfrm>
                    <a:prstGeom prst="rect"/>
                  </pic:spPr>
                </pic:pic>
              </a:graphicData>
            </a:graphic>
          </wp:inline>
        </w:drawing>
      </w:r>
    </w:p>
    <w:p>
      <w:pPr>
        <w:keepNext/>
        <w:spacing w:after="200"/>
        <w:jc w:val="center"/>
      </w:pPr>
      <w:r>
        <w:rPr>
          <w:rFonts w:ascii="Times New Roman" w:hAnsi="Times New Roman"/>
          <w:b/>
          <w:sz w:val="18"/>
        </w:rPr>
        <w:t>Figure 4. Cumulative Distribution Function (CDF) of Total Emergency Response Time (T6 - T0), comparing UyirKappan against Conventional Euclidean Nearest Dispatch and Legacy Telephonic Dispatch.</w:t>
      </w:r>
    </w:p>
    <w:p>
      <w:pPr>
        <w:keepNext/>
        <w:spacing w:before="200" w:after="60"/>
      </w:pPr>
      <w:r>
        <w:rPr>
          <w:rFonts w:ascii="Times New Roman" w:hAnsi="Times New Roman"/>
          <w:b/>
          <w:i/>
          <w:sz w:val="20"/>
        </w:rPr>
        <w:t>C. Stage-by-Stage Latency Breakdown</w:t>
      </w:r>
    </w:p>
    <w:p>
      <w:pPr>
        <w:spacing w:line="264" w:lineRule="auto" w:after="120"/>
        <w:jc w:val="both"/>
      </w:pPr>
      <w:r>
        <w:rPr>
          <w:rFonts w:ascii="Times New Roman" w:hAnsi="Times New Roman"/>
          <w:sz w:val="20"/>
        </w:rPr>
        <w:t>Table III and Figure 5 present elapsed stage durations across four operational workflows:</w:t>
        <w:br/>
        <w:t>• Workflow 1 (Optimal Dispatch): Sub-second ingest (0.55s), scoring (0.42s), alert (0.15s), driver acceptance (5.2s), crew mobilization (28s), and road transit (445s). Total: 8.0 minutes.</w:t>
        <w:br/>
        <w:t>• Workflow 2 (Driver Rejection with Fallback): Driver 1 declines after 8.4s. The engine re-scores and reallocates in 0.62 seconds to Driver 2, who accepts in 4.5s. Total duration: 8.9 minutes—adding less than 55 seconds overhead compared to optimal dispatch.</w:t>
        <w:br/>
        <w:t>• Workflow 3 (30s SLA Timeout with Fallback): Driver 1 fails to respond; at 30.0s the SLA timer fires and cascades to Driver 2. Total duration: 9.5 minutes.</w:t>
        <w:br/>
        <w:t>• Workflow 4 (Legacy 108 Telephonic): Caller spends 95s in IVR/verbal triage. When Driver 1 is unresponsive, the system stalls until the caller redials at 5 minutes. Total: 21.6 minutes.</w:t>
      </w:r>
    </w:p>
    <w:p>
      <w:pPr>
        <w:keepNext/>
        <w:spacing w:before="120" w:after="40"/>
        <w:jc w:val="center"/>
      </w:pPr>
      <w:r>
        <w:rPr>
          <w:rFonts w:ascii="Times New Roman" w:hAnsi="Times New Roman"/>
          <w:b/>
          <w:sz w:val="18"/>
        </w:rPr>
        <w:t>TABLE III</w:t>
        <w:br/>
        <w:t>BENCHMARK LATENCY BREAKDOWN (SECONDS) ACROSS DISPATCH WORKFLOWS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680"/>
        <w:gridCol w:w="1680"/>
        <w:gridCol w:w="1680"/>
        <w:gridCol w:w="1680"/>
        <w:gridCol w:w="1680"/>
        <w:gridCol w:w="1680"/>
      </w:tblGrid>
      <w:tr>
        <w:tc>
          <w:tcPr>
            <w:tcW w:type="dxa" w:w="1680"/>
            <w:shd w:fill="E2E8F0"/>
          </w:tcPr>
          <w:p>
            <w:pPr>
              <w:spacing w:before="40" w:after="40"/>
              <w:jc w:val="left"/>
            </w:pPr>
            <w:r>
              <w:rPr>
                <w:rFonts w:ascii="Times New Roman" w:hAnsi="Times New Roman"/>
                <w:b/>
                <w:sz w:val="16"/>
              </w:rPr>
              <w:t>Pipeline Stage</w:t>
            </w:r>
          </w:p>
        </w:tc>
        <w:tc>
          <w:tcPr>
            <w:tcW w:type="dxa" w:w="1680"/>
            <w:shd w:fill="E2E8F0"/>
          </w:tcPr>
          <w:p>
            <w:pPr>
              <w:spacing w:before="40" w:after="40"/>
              <w:jc w:val="left"/>
            </w:pPr>
            <w:r>
              <w:rPr>
                <w:rFonts w:ascii="Times New Roman" w:hAnsi="Times New Roman"/>
                <w:b/>
                <w:sz w:val="16"/>
              </w:rPr>
              <w:t>Stage Description</w:t>
            </w:r>
          </w:p>
        </w:tc>
        <w:tc>
          <w:tcPr>
            <w:tcW w:type="dxa" w:w="1680"/>
            <w:shd w:fill="E2E8F0"/>
          </w:tcPr>
          <w:p>
            <w:pPr>
              <w:spacing w:before="40" w:after="40"/>
              <w:jc w:val="center"/>
            </w:pPr>
            <w:r>
              <w:rPr>
                <w:rFonts w:ascii="Times New Roman" w:hAnsi="Times New Roman"/>
                <w:b/>
                <w:sz w:val="16"/>
              </w:rPr>
              <w:t>Workflow 1</w:t>
              <w:br/>
              <w:t>(Optimal)</w:t>
            </w:r>
          </w:p>
        </w:tc>
        <w:tc>
          <w:tcPr>
            <w:tcW w:type="dxa" w:w="1680"/>
            <w:shd w:fill="E2E8F0"/>
          </w:tcPr>
          <w:p>
            <w:pPr>
              <w:spacing w:before="40" w:after="40"/>
              <w:jc w:val="center"/>
            </w:pPr>
            <w:r>
              <w:rPr>
                <w:rFonts w:ascii="Times New Roman" w:hAnsi="Times New Roman"/>
                <w:b/>
                <w:sz w:val="16"/>
              </w:rPr>
              <w:t>Workflow 2</w:t>
              <w:br/>
              <w:t>(Decline)</w:t>
            </w:r>
          </w:p>
        </w:tc>
        <w:tc>
          <w:tcPr>
            <w:tcW w:type="dxa" w:w="1680"/>
            <w:shd w:fill="E2E8F0"/>
          </w:tcPr>
          <w:p>
            <w:pPr>
              <w:spacing w:before="40" w:after="40"/>
              <w:jc w:val="center"/>
            </w:pPr>
            <w:r>
              <w:rPr>
                <w:rFonts w:ascii="Times New Roman" w:hAnsi="Times New Roman"/>
                <w:b/>
                <w:sz w:val="16"/>
              </w:rPr>
              <w:t>Workflow 3</w:t>
              <w:br/>
              <w:t>(Timeout)</w:t>
            </w:r>
          </w:p>
        </w:tc>
        <w:tc>
          <w:tcPr>
            <w:tcW w:type="dxa" w:w="1680"/>
            <w:shd w:fill="E2E8F0"/>
          </w:tcPr>
          <w:p>
            <w:pPr>
              <w:spacing w:before="40" w:after="40"/>
              <w:jc w:val="center"/>
            </w:pPr>
            <w:r>
              <w:rPr>
                <w:rFonts w:ascii="Times New Roman" w:hAnsi="Times New Roman"/>
                <w:b/>
                <w:sz w:val="16"/>
              </w:rPr>
              <w:t>Workflow 4</w:t>
              <w:br/>
              <w:t>(Legacy 108)</w:t>
            </w:r>
          </w:p>
        </w:tc>
      </w:tr>
      <w:tr>
        <w:tc>
          <w:tcPr>
            <w:tcW w:type="dxa" w:w="1680"/>
          </w:tcPr>
          <w:p>
            <w:pPr>
              <w:spacing w:before="40" w:after="40"/>
              <w:jc w:val="left"/>
            </w:pPr>
            <w:r>
              <w:rPr>
                <w:rFonts w:ascii="Times New Roman" w:hAnsi="Times New Roman"/>
                <w:sz w:val="16"/>
              </w:rPr>
              <w:t>T1 - T0</w:t>
            </w:r>
          </w:p>
        </w:tc>
        <w:tc>
          <w:tcPr>
            <w:tcW w:type="dxa" w:w="1680"/>
          </w:tcPr>
          <w:p>
            <w:pPr>
              <w:spacing w:before="40" w:after="40"/>
              <w:jc w:val="left"/>
            </w:pPr>
            <w:r>
              <w:rPr>
                <w:rFonts w:ascii="Times New Roman" w:hAnsi="Times New Roman"/>
                <w:sz w:val="16"/>
              </w:rPr>
              <w:t>Client-to-Server Network Ingest</w:t>
            </w:r>
          </w:p>
        </w:tc>
        <w:tc>
          <w:tcPr>
            <w:tcW w:type="dxa" w:w="1680"/>
          </w:tcPr>
          <w:p>
            <w:pPr>
              <w:spacing w:before="40" w:after="40"/>
              <w:jc w:val="center"/>
            </w:pPr>
            <w:r>
              <w:rPr>
                <w:rFonts w:ascii="Times New Roman" w:hAnsi="Times New Roman"/>
                <w:sz w:val="16"/>
              </w:rPr>
              <w:t>0.55 s</w:t>
            </w:r>
          </w:p>
        </w:tc>
        <w:tc>
          <w:tcPr>
            <w:tcW w:type="dxa" w:w="1680"/>
          </w:tcPr>
          <w:p>
            <w:pPr>
              <w:spacing w:before="40" w:after="40"/>
              <w:jc w:val="center"/>
            </w:pPr>
            <w:r>
              <w:rPr>
                <w:rFonts w:ascii="Times New Roman" w:hAnsi="Times New Roman"/>
                <w:sz w:val="16"/>
              </w:rPr>
              <w:t>0.58 s</w:t>
            </w:r>
          </w:p>
        </w:tc>
        <w:tc>
          <w:tcPr>
            <w:tcW w:type="dxa" w:w="1680"/>
          </w:tcPr>
          <w:p>
            <w:pPr>
              <w:spacing w:before="40" w:after="40"/>
              <w:jc w:val="center"/>
            </w:pPr>
            <w:r>
              <w:rPr>
                <w:rFonts w:ascii="Times New Roman" w:hAnsi="Times New Roman"/>
                <w:sz w:val="16"/>
              </w:rPr>
              <w:t>0.54 s</w:t>
            </w:r>
          </w:p>
        </w:tc>
        <w:tc>
          <w:tcPr>
            <w:tcW w:type="dxa" w:w="1680"/>
          </w:tcPr>
          <w:p>
            <w:pPr>
              <w:spacing w:before="40" w:after="40"/>
              <w:jc w:val="center"/>
            </w:pPr>
            <w:r>
              <w:rPr>
                <w:rFonts w:ascii="Times New Roman" w:hAnsi="Times New Roman"/>
                <w:sz w:val="16"/>
              </w:rPr>
              <w:t>95.0 s (IVR/Triage)</w:t>
            </w:r>
          </w:p>
        </w:tc>
      </w:tr>
      <w:tr>
        <w:tc>
          <w:tcPr>
            <w:tcW w:type="dxa" w:w="1680"/>
          </w:tcPr>
          <w:p>
            <w:pPr>
              <w:spacing w:before="40" w:after="40"/>
              <w:jc w:val="left"/>
            </w:pPr>
            <w:r>
              <w:rPr>
                <w:rFonts w:ascii="Times New Roman" w:hAnsi="Times New Roman"/>
                <w:sz w:val="16"/>
              </w:rPr>
              <w:t>T2 - T1</w:t>
            </w:r>
          </w:p>
        </w:tc>
        <w:tc>
          <w:tcPr>
            <w:tcW w:type="dxa" w:w="1680"/>
          </w:tcPr>
          <w:p>
            <w:pPr>
              <w:spacing w:before="40" w:after="40"/>
              <w:jc w:val="left"/>
            </w:pPr>
            <w:r>
              <w:rPr>
                <w:rFonts w:ascii="Times New Roman" w:hAnsi="Times New Roman"/>
                <w:sz w:val="16"/>
              </w:rPr>
              <w:t>Spatial Index &amp; Candidate Scoring</w:t>
            </w:r>
          </w:p>
        </w:tc>
        <w:tc>
          <w:tcPr>
            <w:tcW w:type="dxa" w:w="1680"/>
          </w:tcPr>
          <w:p>
            <w:pPr>
              <w:spacing w:before="40" w:after="40"/>
              <w:jc w:val="center"/>
            </w:pPr>
            <w:r>
              <w:rPr>
                <w:rFonts w:ascii="Times New Roman" w:hAnsi="Times New Roman"/>
                <w:sz w:val="16"/>
              </w:rPr>
              <w:t>0.42 s</w:t>
            </w:r>
          </w:p>
        </w:tc>
        <w:tc>
          <w:tcPr>
            <w:tcW w:type="dxa" w:w="1680"/>
          </w:tcPr>
          <w:p>
            <w:pPr>
              <w:spacing w:before="40" w:after="40"/>
              <w:jc w:val="center"/>
            </w:pPr>
            <w:r>
              <w:rPr>
                <w:rFonts w:ascii="Times New Roman" w:hAnsi="Times New Roman"/>
                <w:sz w:val="16"/>
              </w:rPr>
              <w:t>1.25 s</w:t>
            </w:r>
          </w:p>
        </w:tc>
        <w:tc>
          <w:tcPr>
            <w:tcW w:type="dxa" w:w="1680"/>
          </w:tcPr>
          <w:p>
            <w:pPr>
              <w:spacing w:before="40" w:after="40"/>
              <w:jc w:val="center"/>
            </w:pPr>
            <w:r>
              <w:rPr>
                <w:rFonts w:ascii="Times New Roman" w:hAnsi="Times New Roman"/>
                <w:sz w:val="16"/>
              </w:rPr>
              <w:t>1.30 s</w:t>
            </w:r>
          </w:p>
        </w:tc>
        <w:tc>
          <w:tcPr>
            <w:tcW w:type="dxa" w:w="1680"/>
          </w:tcPr>
          <w:p>
            <w:pPr>
              <w:spacing w:before="40" w:after="40"/>
              <w:jc w:val="center"/>
            </w:pPr>
            <w:r>
              <w:rPr>
                <w:rFonts w:ascii="Times New Roman" w:hAnsi="Times New Roman"/>
                <w:sz w:val="16"/>
              </w:rPr>
              <w:t>45.0 s (Manual Map)</w:t>
            </w:r>
          </w:p>
        </w:tc>
      </w:tr>
      <w:tr>
        <w:tc>
          <w:tcPr>
            <w:tcW w:type="dxa" w:w="1680"/>
          </w:tcPr>
          <w:p>
            <w:pPr>
              <w:spacing w:before="40" w:after="40"/>
              <w:jc w:val="left"/>
            </w:pPr>
            <w:r>
              <w:rPr>
                <w:rFonts w:ascii="Times New Roman" w:hAnsi="Times New Roman"/>
                <w:sz w:val="16"/>
              </w:rPr>
              <w:t>T3 - T2</w:t>
            </w:r>
          </w:p>
        </w:tc>
        <w:tc>
          <w:tcPr>
            <w:tcW w:type="dxa" w:w="1680"/>
          </w:tcPr>
          <w:p>
            <w:pPr>
              <w:spacing w:before="40" w:after="40"/>
              <w:jc w:val="left"/>
            </w:pPr>
            <w:r>
              <w:rPr>
                <w:rFonts w:ascii="Times New Roman" w:hAnsi="Times New Roman"/>
                <w:sz w:val="16"/>
              </w:rPr>
              <w:t>Push Notification &amp; Socket Broadcast</w:t>
            </w:r>
          </w:p>
        </w:tc>
        <w:tc>
          <w:tcPr>
            <w:tcW w:type="dxa" w:w="1680"/>
          </w:tcPr>
          <w:p>
            <w:pPr>
              <w:spacing w:before="40" w:after="40"/>
              <w:jc w:val="center"/>
            </w:pPr>
            <w:r>
              <w:rPr>
                <w:rFonts w:ascii="Times New Roman" w:hAnsi="Times New Roman"/>
                <w:sz w:val="16"/>
              </w:rPr>
              <w:t>0.15 s</w:t>
            </w:r>
          </w:p>
        </w:tc>
        <w:tc>
          <w:tcPr>
            <w:tcW w:type="dxa" w:w="1680"/>
          </w:tcPr>
          <w:p>
            <w:pPr>
              <w:spacing w:before="40" w:after="40"/>
              <w:jc w:val="center"/>
            </w:pPr>
            <w:r>
              <w:rPr>
                <w:rFonts w:ascii="Times New Roman" w:hAnsi="Times New Roman"/>
                <w:sz w:val="16"/>
              </w:rPr>
              <w:t>0.32 s</w:t>
            </w:r>
          </w:p>
        </w:tc>
        <w:tc>
          <w:tcPr>
            <w:tcW w:type="dxa" w:w="1680"/>
          </w:tcPr>
          <w:p>
            <w:pPr>
              <w:spacing w:before="40" w:after="40"/>
              <w:jc w:val="center"/>
            </w:pPr>
            <w:r>
              <w:rPr>
                <w:rFonts w:ascii="Times New Roman" w:hAnsi="Times New Roman"/>
                <w:sz w:val="16"/>
              </w:rPr>
              <w:t>0.30 s</w:t>
            </w:r>
          </w:p>
        </w:tc>
        <w:tc>
          <w:tcPr>
            <w:tcW w:type="dxa" w:w="1680"/>
          </w:tcPr>
          <w:p>
            <w:pPr>
              <w:spacing w:before="40" w:after="40"/>
              <w:jc w:val="center"/>
            </w:pPr>
            <w:r>
              <w:rPr>
                <w:rFonts w:ascii="Times New Roman" w:hAnsi="Times New Roman"/>
                <w:sz w:val="16"/>
              </w:rPr>
              <w:t>15.0 s (Radio Call)</w:t>
            </w:r>
          </w:p>
        </w:tc>
      </w:tr>
      <w:tr>
        <w:tc>
          <w:tcPr>
            <w:tcW w:type="dxa" w:w="1680"/>
          </w:tcPr>
          <w:p>
            <w:pPr>
              <w:spacing w:before="40" w:after="40"/>
              <w:jc w:val="left"/>
            </w:pPr>
            <w:r>
              <w:rPr>
                <w:rFonts w:ascii="Times New Roman" w:hAnsi="Times New Roman"/>
                <w:sz w:val="16"/>
              </w:rPr>
              <w:t>T4 - T3</w:t>
            </w:r>
          </w:p>
        </w:tc>
        <w:tc>
          <w:tcPr>
            <w:tcW w:type="dxa" w:w="1680"/>
          </w:tcPr>
          <w:p>
            <w:pPr>
              <w:spacing w:before="40" w:after="40"/>
              <w:jc w:val="left"/>
            </w:pPr>
            <w:r>
              <w:rPr>
                <w:rFonts w:ascii="Times New Roman" w:hAnsi="Times New Roman"/>
                <w:sz w:val="16"/>
              </w:rPr>
              <w:t>Driver Interaction / Fallback Timeout</w:t>
            </w:r>
          </w:p>
        </w:tc>
        <w:tc>
          <w:tcPr>
            <w:tcW w:type="dxa" w:w="1680"/>
          </w:tcPr>
          <w:p>
            <w:pPr>
              <w:spacing w:before="40" w:after="40"/>
              <w:jc w:val="center"/>
            </w:pPr>
            <w:r>
              <w:rPr>
                <w:rFonts w:ascii="Times New Roman" w:hAnsi="Times New Roman"/>
                <w:sz w:val="16"/>
              </w:rPr>
              <w:t>5.20 s</w:t>
            </w:r>
          </w:p>
        </w:tc>
        <w:tc>
          <w:tcPr>
            <w:tcW w:type="dxa" w:w="1680"/>
          </w:tcPr>
          <w:p>
            <w:pPr>
              <w:spacing w:before="40" w:after="40"/>
              <w:jc w:val="center"/>
            </w:pPr>
            <w:r>
              <w:rPr>
                <w:rFonts w:ascii="Times New Roman" w:hAnsi="Times New Roman"/>
                <w:sz w:val="16"/>
              </w:rPr>
              <w:t>8.40 s</w:t>
            </w:r>
          </w:p>
        </w:tc>
        <w:tc>
          <w:tcPr>
            <w:tcW w:type="dxa" w:w="1680"/>
          </w:tcPr>
          <w:p>
            <w:pPr>
              <w:spacing w:before="40" w:after="40"/>
              <w:jc w:val="center"/>
            </w:pPr>
            <w:r>
              <w:rPr>
                <w:rFonts w:ascii="Times New Roman" w:hAnsi="Times New Roman"/>
                <w:sz w:val="16"/>
              </w:rPr>
              <w:t>34.20 s</w:t>
            </w:r>
          </w:p>
        </w:tc>
        <w:tc>
          <w:tcPr>
            <w:tcW w:type="dxa" w:w="1680"/>
          </w:tcPr>
          <w:p>
            <w:pPr>
              <w:spacing w:before="40" w:after="40"/>
              <w:jc w:val="center"/>
            </w:pPr>
            <w:r>
              <w:rPr>
                <w:rFonts w:ascii="Times New Roman" w:hAnsi="Times New Roman"/>
                <w:sz w:val="16"/>
              </w:rPr>
              <w:t>360.0 s (Redial Wait)</w:t>
            </w:r>
          </w:p>
        </w:tc>
      </w:tr>
      <w:tr>
        <w:tc>
          <w:tcPr>
            <w:tcW w:type="dxa" w:w="1680"/>
          </w:tcPr>
          <w:p>
            <w:pPr>
              <w:spacing w:before="40" w:after="40"/>
              <w:jc w:val="left"/>
            </w:pPr>
            <w:r>
              <w:rPr>
                <w:rFonts w:ascii="Times New Roman" w:hAnsi="Times New Roman"/>
                <w:sz w:val="16"/>
              </w:rPr>
              <w:t>T5 - T4</w:t>
            </w:r>
          </w:p>
        </w:tc>
        <w:tc>
          <w:tcPr>
            <w:tcW w:type="dxa" w:w="1680"/>
          </w:tcPr>
          <w:p>
            <w:pPr>
              <w:spacing w:before="40" w:after="40"/>
              <w:jc w:val="left"/>
            </w:pPr>
            <w:r>
              <w:rPr>
                <w:rFonts w:ascii="Times New Roman" w:hAnsi="Times New Roman"/>
                <w:sz w:val="16"/>
              </w:rPr>
              <w:t>Paramedic Mobilization &amp; Wheels Roll</w:t>
            </w:r>
          </w:p>
        </w:tc>
        <w:tc>
          <w:tcPr>
            <w:tcW w:type="dxa" w:w="1680"/>
          </w:tcPr>
          <w:p>
            <w:pPr>
              <w:spacing w:before="40" w:after="40"/>
              <w:jc w:val="center"/>
            </w:pPr>
            <w:r>
              <w:rPr>
                <w:rFonts w:ascii="Times New Roman" w:hAnsi="Times New Roman"/>
                <w:sz w:val="16"/>
              </w:rPr>
              <w:t>28.0 s</w:t>
            </w:r>
          </w:p>
        </w:tc>
        <w:tc>
          <w:tcPr>
            <w:tcW w:type="dxa" w:w="1680"/>
          </w:tcPr>
          <w:p>
            <w:pPr>
              <w:spacing w:before="40" w:after="40"/>
              <w:jc w:val="center"/>
            </w:pPr>
            <w:r>
              <w:rPr>
                <w:rFonts w:ascii="Times New Roman" w:hAnsi="Times New Roman"/>
                <w:sz w:val="16"/>
              </w:rPr>
              <w:t>32.0 s</w:t>
            </w:r>
          </w:p>
        </w:tc>
        <w:tc>
          <w:tcPr>
            <w:tcW w:type="dxa" w:w="1680"/>
          </w:tcPr>
          <w:p>
            <w:pPr>
              <w:spacing w:before="40" w:after="40"/>
              <w:jc w:val="center"/>
            </w:pPr>
            <w:r>
              <w:rPr>
                <w:rFonts w:ascii="Times New Roman" w:hAnsi="Times New Roman"/>
                <w:sz w:val="16"/>
              </w:rPr>
              <w:t>30.0 s</w:t>
            </w:r>
          </w:p>
        </w:tc>
        <w:tc>
          <w:tcPr>
            <w:tcW w:type="dxa" w:w="1680"/>
          </w:tcPr>
          <w:p>
            <w:pPr>
              <w:spacing w:before="40" w:after="40"/>
              <w:jc w:val="center"/>
            </w:pPr>
            <w:r>
              <w:rPr>
                <w:rFonts w:ascii="Times New Roman" w:hAnsi="Times New Roman"/>
                <w:sz w:val="16"/>
              </w:rPr>
              <w:t>65.0 s</w:t>
            </w:r>
          </w:p>
        </w:tc>
      </w:tr>
      <w:tr>
        <w:tc>
          <w:tcPr>
            <w:tcW w:type="dxa" w:w="1680"/>
          </w:tcPr>
          <w:p>
            <w:pPr>
              <w:spacing w:before="40" w:after="40"/>
              <w:jc w:val="left"/>
            </w:pPr>
            <w:r>
              <w:rPr>
                <w:rFonts w:ascii="Times New Roman" w:hAnsi="Times New Roman"/>
                <w:sz w:val="16"/>
              </w:rPr>
              <w:t>T6 - T5</w:t>
            </w:r>
          </w:p>
        </w:tc>
        <w:tc>
          <w:tcPr>
            <w:tcW w:type="dxa" w:w="1680"/>
          </w:tcPr>
          <w:p>
            <w:pPr>
              <w:spacing w:before="40" w:after="40"/>
              <w:jc w:val="left"/>
            </w:pPr>
            <w:r>
              <w:rPr>
                <w:rFonts w:ascii="Times New Roman" w:hAnsi="Times New Roman"/>
                <w:sz w:val="16"/>
              </w:rPr>
              <w:t>Road Graph Vehicular Transit Time</w:t>
            </w:r>
          </w:p>
        </w:tc>
        <w:tc>
          <w:tcPr>
            <w:tcW w:type="dxa" w:w="1680"/>
          </w:tcPr>
          <w:p>
            <w:pPr>
              <w:spacing w:before="40" w:after="40"/>
              <w:jc w:val="center"/>
            </w:pPr>
            <w:r>
              <w:rPr>
                <w:rFonts w:ascii="Times New Roman" w:hAnsi="Times New Roman"/>
                <w:sz w:val="16"/>
              </w:rPr>
              <w:t>445.0 s</w:t>
            </w:r>
          </w:p>
        </w:tc>
        <w:tc>
          <w:tcPr>
            <w:tcW w:type="dxa" w:w="1680"/>
          </w:tcPr>
          <w:p>
            <w:pPr>
              <w:spacing w:before="40" w:after="40"/>
              <w:jc w:val="center"/>
            </w:pPr>
            <w:r>
              <w:rPr>
                <w:rFonts w:ascii="Times New Roman" w:hAnsi="Times New Roman"/>
                <w:sz w:val="16"/>
              </w:rPr>
              <w:t>460.0 s</w:t>
            </w:r>
          </w:p>
        </w:tc>
        <w:tc>
          <w:tcPr>
            <w:tcW w:type="dxa" w:w="1680"/>
          </w:tcPr>
          <w:p>
            <w:pPr>
              <w:spacing w:before="40" w:after="40"/>
              <w:jc w:val="center"/>
            </w:pPr>
            <w:r>
              <w:rPr>
                <w:rFonts w:ascii="Times New Roman" w:hAnsi="Times New Roman"/>
                <w:sz w:val="16"/>
              </w:rPr>
              <w:t>452.0 s</w:t>
            </w:r>
          </w:p>
        </w:tc>
        <w:tc>
          <w:tcPr>
            <w:tcW w:type="dxa" w:w="1680"/>
          </w:tcPr>
          <w:p>
            <w:pPr>
              <w:spacing w:before="40" w:after="40"/>
              <w:jc w:val="center"/>
            </w:pPr>
            <w:r>
              <w:rPr>
                <w:rFonts w:ascii="Times New Roman" w:hAnsi="Times New Roman"/>
                <w:sz w:val="16"/>
              </w:rPr>
              <w:t>720.0 s (Traffic Jam)</w:t>
            </w:r>
          </w:p>
        </w:tc>
      </w:tr>
      <w:tr>
        <w:tc>
          <w:tcPr>
            <w:tcW w:type="dxa" w:w="1680"/>
            <w:shd w:fill="EDF8FF"/>
          </w:tcPr>
          <w:p>
            <w:pPr>
              <w:spacing w:before="40" w:after="40"/>
              <w:jc w:val="left"/>
            </w:pPr>
            <w:r>
              <w:rPr>
                <w:rFonts w:ascii="Times New Roman" w:hAnsi="Times New Roman"/>
                <w:b/>
                <w:sz w:val="16"/>
              </w:rPr>
              <w:t>Total (T6 - T0)</w:t>
            </w:r>
          </w:p>
        </w:tc>
        <w:tc>
          <w:tcPr>
            <w:tcW w:type="dxa" w:w="1680"/>
            <w:shd w:fill="EDF8FF"/>
          </w:tcPr>
          <w:p>
            <w:pPr>
              <w:spacing w:before="40" w:after="40"/>
              <w:jc w:val="left"/>
            </w:pPr>
            <w:r>
              <w:rPr>
                <w:rFonts w:ascii="Times New Roman" w:hAnsi="Times New Roman"/>
                <w:b/>
                <w:sz w:val="16"/>
              </w:rPr>
              <w:t>Total Emergency Response Interval</w:t>
            </w:r>
          </w:p>
        </w:tc>
        <w:tc>
          <w:tcPr>
            <w:tcW w:type="dxa" w:w="1680"/>
            <w:shd w:fill="EDF8FF"/>
          </w:tcPr>
          <w:p>
            <w:pPr>
              <w:spacing w:before="40" w:after="40"/>
              <w:jc w:val="center"/>
            </w:pPr>
            <w:r>
              <w:rPr>
                <w:rFonts w:ascii="Times New Roman" w:hAnsi="Times New Roman"/>
                <w:b/>
                <w:sz w:val="16"/>
              </w:rPr>
              <w:t>479.3 s (8.0 min)</w:t>
            </w:r>
          </w:p>
        </w:tc>
        <w:tc>
          <w:tcPr>
            <w:tcW w:type="dxa" w:w="1680"/>
            <w:shd w:fill="EDF8FF"/>
          </w:tcPr>
          <w:p>
            <w:pPr>
              <w:spacing w:before="40" w:after="40"/>
              <w:jc w:val="center"/>
            </w:pPr>
            <w:r>
              <w:rPr>
                <w:rFonts w:ascii="Times New Roman" w:hAnsi="Times New Roman"/>
                <w:b/>
                <w:sz w:val="16"/>
              </w:rPr>
              <w:t>532.5 s (8.9 min)</w:t>
            </w:r>
          </w:p>
        </w:tc>
        <w:tc>
          <w:tcPr>
            <w:tcW w:type="dxa" w:w="1680"/>
            <w:shd w:fill="EDF8FF"/>
          </w:tcPr>
          <w:p>
            <w:pPr>
              <w:spacing w:before="40" w:after="40"/>
              <w:jc w:val="center"/>
            </w:pPr>
            <w:r>
              <w:rPr>
                <w:rFonts w:ascii="Times New Roman" w:hAnsi="Times New Roman"/>
                <w:b/>
                <w:sz w:val="16"/>
              </w:rPr>
              <w:t>568.3 s (9.5 min)</w:t>
            </w:r>
          </w:p>
        </w:tc>
        <w:tc>
          <w:tcPr>
            <w:tcW w:type="dxa" w:w="1680"/>
            <w:shd w:fill="EDF8FF"/>
          </w:tcPr>
          <w:p>
            <w:pPr>
              <w:spacing w:before="40" w:after="40"/>
              <w:jc w:val="center"/>
            </w:pPr>
            <w:r>
              <w:rPr>
                <w:rFonts w:ascii="Times New Roman" w:hAnsi="Times New Roman"/>
                <w:b/>
                <w:sz w:val="16"/>
              </w:rPr>
              <w:t>1295.0 s (21.6 min)</w:t>
            </w:r>
          </w:p>
        </w:tc>
      </w:tr>
    </w:tbl>
    <w:p>
      <w:pPr>
        <w:spacing w:after="120"/>
      </w:pPr>
    </w:p>
    <w:p>
      <w:pPr>
        <w:spacing w:before="160" w:after="60"/>
        <w:jc w:val="center"/>
      </w:pPr>
      <w:r>
        <w:drawing>
          <wp:inline xmlns:a="http://schemas.openxmlformats.org/drawingml/2006/main" xmlns:pic="http://schemas.openxmlformats.org/drawingml/2006/picture">
            <wp:extent cx="5486400" cy="2620687"/>
            <wp:docPr id="5" name="Picture 5"/>
            <wp:cNvGraphicFramePr>
              <a:graphicFrameLocks noChangeAspect="1"/>
            </wp:cNvGraphicFramePr>
            <a:graphic>
              <a:graphicData uri="http://schemas.openxmlformats.org/drawingml/2006/picture">
                <pic:pic>
                  <pic:nvPicPr>
                    <pic:cNvPr id="0" name="fig5_stage_latency_breakdown.png"/>
                    <pic:cNvPicPr/>
                  </pic:nvPicPr>
                  <pic:blipFill>
                    <a:blip r:embed="rId13"/>
                    <a:stretch>
                      <a:fillRect/>
                    </a:stretch>
                  </pic:blipFill>
                  <pic:spPr>
                    <a:xfrm>
                      <a:off x="0" y="0"/>
                      <a:ext cx="5486400" cy="2620687"/>
                    </a:xfrm>
                    <a:prstGeom prst="rect"/>
                  </pic:spPr>
                </pic:pic>
              </a:graphicData>
            </a:graphic>
          </wp:inline>
        </w:drawing>
      </w:r>
    </w:p>
    <w:p>
      <w:pPr>
        <w:keepNext/>
        <w:spacing w:after="200"/>
        <w:jc w:val="center"/>
      </w:pPr>
      <w:r>
        <w:rPr>
          <w:rFonts w:ascii="Times New Roman" w:hAnsi="Times New Roman"/>
          <w:b/>
          <w:sz w:val="18"/>
        </w:rPr>
        <w:t>Figure 5. Stage-by-Stage Latency Breakdown (T0 to T6) across Optimal Dispatch, Driver Rejection, Driver Timeout, and Legacy Telephonic Dispatch.</w:t>
      </w:r>
    </w:p>
    <w:p>
      <w:pPr>
        <w:keepNext/>
        <w:spacing w:before="200" w:after="60"/>
      </w:pPr>
      <w:r>
        <w:rPr>
          <w:rFonts w:ascii="Times New Roman" w:hAnsi="Times New Roman"/>
          <w:b/>
          <w:i/>
          <w:sz w:val="20"/>
        </w:rPr>
        <w:t>D. Cascading Fallback Efficiency and Hospital Lead Time</w:t>
      </w:r>
    </w:p>
    <w:p>
      <w:pPr>
        <w:spacing w:line="264" w:lineRule="auto" w:after="120"/>
        <w:jc w:val="both"/>
      </w:pPr>
      <w:r>
        <w:rPr>
          <w:rFonts w:ascii="Times New Roman" w:hAnsi="Times New Roman"/>
          <w:sz w:val="20"/>
        </w:rPr>
        <w:t>Figure 6 details the cascading reallocation dynamics across fallback attempts. Primary candidates achieved a 78.5% initial acceptance rate. Reassignment to rank-2 candidates (k=1) achieved 94.2% cumulative acceptance with an algorithmic re-scoring overhead of only 0.62 seconds. By k=2, cumulative acceptance reached 98.8%, and by k=3, 99.7%. Across all 1,000 incident simulations, zero requests were orphaned or abandoned.</w:t>
      </w:r>
    </w:p>
    <w:p>
      <w:pPr>
        <w:spacing w:before="160" w:after="60"/>
        <w:jc w:val="center"/>
      </w:pPr>
      <w:r>
        <w:drawing>
          <wp:inline xmlns:a="http://schemas.openxmlformats.org/drawingml/2006/main" xmlns:pic="http://schemas.openxmlformats.org/drawingml/2006/picture">
            <wp:extent cx="5029200" cy="2649331"/>
            <wp:docPr id="6" name="Picture 6"/>
            <wp:cNvGraphicFramePr>
              <a:graphicFrameLocks noChangeAspect="1"/>
            </wp:cNvGraphicFramePr>
            <a:graphic>
              <a:graphicData uri="http://schemas.openxmlformats.org/drawingml/2006/picture">
                <pic:pic>
                  <pic:nvPicPr>
                    <pic:cNvPr id="0" name="fig6_fallback_reassignment.png"/>
                    <pic:cNvPicPr/>
                  </pic:nvPicPr>
                  <pic:blipFill>
                    <a:blip r:embed="rId14"/>
                    <a:stretch>
                      <a:fillRect/>
                    </a:stretch>
                  </pic:blipFill>
                  <pic:spPr>
                    <a:xfrm>
                      <a:off x="0" y="0"/>
                      <a:ext cx="5029200" cy="2649331"/>
                    </a:xfrm>
                    <a:prstGeom prst="rect"/>
                  </pic:spPr>
                </pic:pic>
              </a:graphicData>
            </a:graphic>
          </wp:inline>
        </w:drawing>
      </w:r>
    </w:p>
    <w:p>
      <w:pPr>
        <w:keepNext/>
        <w:spacing w:after="200"/>
        <w:jc w:val="center"/>
      </w:pPr>
      <w:r>
        <w:rPr>
          <w:rFonts w:ascii="Times New Roman" w:hAnsi="Times New Roman"/>
          <w:b/>
          <w:sz w:val="18"/>
        </w:rPr>
        <w:t>Figure 6. Cascading Fallback Efficiency: Algorithmic Re-scoring Overhead vs. Cumulative Dispatch Success Rate across Fallback Attempts (k = 0, 1, 2, 3).</w:t>
      </w:r>
    </w:p>
    <w:p>
      <w:pPr>
        <w:spacing w:line="264" w:lineRule="auto" w:after="120"/>
        <w:jc w:val="both"/>
      </w:pPr>
      <w:r>
        <w:rPr>
          <w:rFonts w:ascii="Times New Roman" w:hAnsi="Times New Roman"/>
          <w:sz w:val="20"/>
        </w:rPr>
        <w:t>Figure 7 illustrates the clinical impact of streaming real-time vehicle telemetry to receiving trauma bays. In legacy systems with unannounced walk-in arrivals, trauma bay readiness stands at less than 18% upon patient arrival. UyirKappan provides receiving emergency wards with an average advance telemetry lead time of 11.4 minutes, enabling hospitals to achieve 95.2% triage readiness prior to patient arrival, compressing in-hospital door-to-needle latency.</w:t>
      </w:r>
    </w:p>
    <w:p>
      <w:pPr>
        <w:spacing w:before="160" w:after="60"/>
        <w:jc w:val="center"/>
      </w:pPr>
      <w:r>
        <w:drawing>
          <wp:inline xmlns:a="http://schemas.openxmlformats.org/drawingml/2006/main" xmlns:pic="http://schemas.openxmlformats.org/drawingml/2006/picture">
            <wp:extent cx="5029200" cy="3084314"/>
            <wp:docPr id="7" name="Picture 7"/>
            <wp:cNvGraphicFramePr>
              <a:graphicFrameLocks noChangeAspect="1"/>
            </wp:cNvGraphicFramePr>
            <a:graphic>
              <a:graphicData uri="http://schemas.openxmlformats.org/drawingml/2006/picture">
                <pic:pic>
                  <pic:nvPicPr>
                    <pic:cNvPr id="0" name="fig7_hospital_lead_time.png"/>
                    <pic:cNvPicPr/>
                  </pic:nvPicPr>
                  <pic:blipFill>
                    <a:blip r:embed="rId15"/>
                    <a:stretch>
                      <a:fillRect/>
                    </a:stretch>
                  </pic:blipFill>
                  <pic:spPr>
                    <a:xfrm>
                      <a:off x="0" y="0"/>
                      <a:ext cx="5029200" cy="3084314"/>
                    </a:xfrm>
                    <a:prstGeom prst="rect"/>
                  </pic:spPr>
                </pic:pic>
              </a:graphicData>
            </a:graphic>
          </wp:inline>
        </w:drawing>
      </w:r>
    </w:p>
    <w:p>
      <w:pPr>
        <w:keepNext/>
        <w:spacing w:after="200"/>
        <w:jc w:val="center"/>
      </w:pPr>
      <w:r>
        <w:rPr>
          <w:rFonts w:ascii="Times New Roman" w:hAnsi="Times New Roman"/>
          <w:b/>
          <w:sz w:val="18"/>
        </w:rPr>
        <w:t>Figure 7. Impact of Pre-Arrival Telemetry on Hospital Trauma Triage Readiness, comparing UyirKappan against Legacy Walk-In Admissions.</w:t>
      </w:r>
    </w:p>
    <w:p>
      <w:pPr>
        <w:keepNext/>
        <w:spacing w:before="280" w:after="80"/>
      </w:pPr>
      <w:r>
        <w:rPr>
          <w:rFonts w:ascii="Times New Roman" w:hAnsi="Times New Roman"/>
          <w:b/>
          <w:sz w:val="21"/>
        </w:rPr>
        <w:t>V. CONCLUSION AND FUTURE SCOPE</w:t>
      </w:r>
    </w:p>
    <w:p>
      <w:pPr>
        <w:keepNext/>
        <w:spacing w:before="200" w:after="60"/>
      </w:pPr>
      <w:r>
        <w:rPr>
          <w:rFonts w:ascii="Times New Roman" w:hAnsi="Times New Roman"/>
          <w:b/>
          <w:i/>
          <w:sz w:val="20"/>
        </w:rPr>
        <w:t>A. Conclusion</w:t>
      </w:r>
    </w:p>
    <w:p>
      <w:pPr>
        <w:spacing w:line="264" w:lineRule="auto" w:after="120"/>
        <w:jc w:val="both"/>
      </w:pPr>
      <w:r>
        <w:rPr>
          <w:rFonts w:ascii="Times New Roman" w:hAnsi="Times New Roman"/>
          <w:sz w:val="20"/>
        </w:rPr>
        <w:t>In acute medical emergencies, the effectiveness of healthcare intervention is strictly bounded by the speed, accuracy, and coordination of pre-hospital EMS. In this paper, we introduced UyirKappan, a unified, multi-stakeholder emergency coordination platform engineered to eliminate the critical failure modes of conventional urban dispatch. By replacing telephonic delays with 1-tap mobile GPS reporting, substituting naive Euclidean heuristics with an intelligent multi-criteria scoring function, establishing a 30-second SLA cascading fallback state machine that eliminates abandoned requests, and streaming live telemetry to receiving hospital trauma bays, UyirKappan bridges previously isolated emergency actors into a synchronized life-saving network.</w:t>
      </w:r>
    </w:p>
    <w:p>
      <w:pPr>
        <w:spacing w:line="264" w:lineRule="auto" w:after="120"/>
        <w:jc w:val="both"/>
      </w:pPr>
      <w:r>
        <w:rPr>
          <w:rFonts w:ascii="Times New Roman" w:hAnsi="Times New Roman"/>
          <w:sz w:val="20"/>
        </w:rPr>
        <w:t>Empirical simulation across the Chennai metropolitan road network (40 ambulance stations, 30 emergency trauma centers, and 1,000 incident scenarios) demonstrated:</w:t>
        <w:br/>
        <w:t>1. A 31.4% reduction in total emergency response time (T6 - T0), elevating international 8-minute standard compliance from 14.1% to 47.2%.</w:t>
        <w:br/>
        <w:t>2. A 100% request recovery rate under driver decline or timeout events, reallocating secondary units within an average of 0.62 seconds without placing any burden on the caller.</w:t>
        <w:br/>
        <w:t>3. An average 11.4-minute pre-arrival telemetry warning window that elevates receiving hospital emergency bay readiness to 95.2%.</w:t>
      </w:r>
    </w:p>
    <w:p>
      <w:pPr>
        <w:keepNext/>
        <w:spacing w:before="200" w:after="60"/>
      </w:pPr>
      <w:r>
        <w:rPr>
          <w:rFonts w:ascii="Times New Roman" w:hAnsi="Times New Roman"/>
          <w:b/>
          <w:i/>
          <w:sz w:val="20"/>
        </w:rPr>
        <w:t>B. Future Scope</w:t>
      </w:r>
    </w:p>
    <w:p>
      <w:pPr>
        <w:spacing w:line="264" w:lineRule="auto" w:after="120"/>
        <w:jc w:val="both"/>
      </w:pPr>
      <w:r>
        <w:rPr>
          <w:rFonts w:ascii="Times New Roman" w:hAnsi="Times New Roman"/>
          <w:sz w:val="20"/>
        </w:rPr>
        <w:t>Future work includes: (1) IoT-driven dynamic green corridors utilizing V2I traffic signal preemption; (2) multimodal dispatch incorporating first-responder paramedic motorbikes; (3) AI multimodal triage using computer vision on on-scene trauma photos; and (4) integration with national digital health records (ABDM/FHIR) for automated patient medical history synchronization.</w:t>
      </w:r>
    </w:p>
    <w:p>
      <w:pPr>
        <w:keepNext/>
        <w:spacing w:before="280" w:after="80"/>
      </w:pPr>
      <w:r>
        <w:rPr>
          <w:rFonts w:ascii="Times New Roman" w:hAnsi="Times New Roman"/>
          <w:b/>
          <w:sz w:val="21"/>
        </w:rPr>
        <w:t>VI. REFERENCES</w:t>
      </w:r>
    </w:p>
    <w:p>
      <w:pPr>
        <w:spacing w:line="252" w:lineRule="auto" w:after="80"/>
      </w:pPr>
      <w:r>
        <w:rPr>
          <w:rFonts w:ascii="Times New Roman" w:hAnsi="Times New Roman"/>
          <w:sz w:val="17"/>
        </w:rPr>
        <w:t>[1] X. Fu, V. Krzhizhanovskaya, A. Yakovlev, and S. Kovalchuk, “Modelling hospital strategies in city-scale ambulance dispatching,” arXiv preprint arXiv:2201.01846, 2022.</w:t>
      </w:r>
    </w:p>
    <w:p>
      <w:pPr>
        <w:spacing w:line="252" w:lineRule="auto" w:after="80"/>
      </w:pPr>
      <w:r>
        <w:rPr>
          <w:rFonts w:ascii="Times New Roman" w:hAnsi="Times New Roman"/>
          <w:sz w:val="17"/>
        </w:rPr>
        <w:t>[2] A. Olivier, M. Adams, S. Mohammadi, A. Smyth, K. Thomson, T. Kepler, and M. Dadlani, “Data analytics for improved closest hospital suggestion for EMS operations in New York City,” Sustainable Cities and Society, vol. 86, p. 104104, 2022.</w:t>
      </w:r>
    </w:p>
    <w:p>
      <w:pPr>
        <w:spacing w:line="252" w:lineRule="auto" w:after="80"/>
      </w:pPr>
      <w:r>
        <w:rPr>
          <w:rFonts w:ascii="Times New Roman" w:hAnsi="Times New Roman"/>
          <w:sz w:val="17"/>
        </w:rPr>
        <w:t>[3] Y.-Y. Xu, S.-J. Weng, P.-W. Huang, L.-M. Wang, C.-H. Chen, Y.-T. Tsai et al., “The emergency medical service dispatch recommendation system using simulation based on bed availability,” BMC Health Services Research, vol. 24, p. 1513, 2024.</w:t>
      </w:r>
    </w:p>
    <w:p>
      <w:pPr>
        <w:spacing w:line="252" w:lineRule="auto" w:after="80"/>
      </w:pPr>
      <w:r>
        <w:rPr>
          <w:rFonts w:ascii="Times New Roman" w:hAnsi="Times New Roman"/>
          <w:sz w:val="17"/>
        </w:rPr>
        <w:t>[4] M. A. R. Abdeen, M. H. Ahmed, H. Seliem, T. R. Sheltami, T. M. Alghamdi, and M. El-Nainay, “A novel smart ambulance system—Algorithm design, modeling, and performance analysis,” IEEE Access, vol. 10, pp. 42 656–42 672, 2022.</w:t>
      </w:r>
    </w:p>
    <w:p>
      <w:pPr>
        <w:spacing w:line="252" w:lineRule="auto" w:after="80"/>
      </w:pPr>
      <w:r>
        <w:rPr>
          <w:rFonts w:ascii="Times New Roman" w:hAnsi="Times New Roman"/>
          <w:sz w:val="17"/>
        </w:rPr>
        <w:t>[5] S. Mahalakshmi, T. Ragunthar, N. Veena, S. Sumukha, and P. R. Deshkulkarni, “Adaptive ambulance monitoring system using IoT,” Measurement: Sensors, vol. 24, p. 100555, 2022.</w:t>
      </w:r>
    </w:p>
    <w:p>
      <w:pPr>
        <w:spacing w:line="252" w:lineRule="auto" w:after="80"/>
      </w:pPr>
      <w:r>
        <w:rPr>
          <w:rFonts w:ascii="Times New Roman" w:hAnsi="Times New Roman"/>
          <w:sz w:val="17"/>
        </w:rPr>
        <w:t>[6] W. Rafaqat, S. M. A. Abidi, J. Lee, A. A. Javed, and A. I. Mian, “EMCON: A comprehensive emergency response system for low- and middle-income countries,” Disaster Medicine and Public Health Preparedness, vol. 19, p. e324, 2025.</w:t>
      </w:r>
    </w:p>
    <w:p>
      <w:pPr>
        <w:spacing w:line="252" w:lineRule="auto" w:after="80"/>
      </w:pPr>
      <w:r>
        <w:rPr>
          <w:rFonts w:ascii="Times New Roman" w:hAnsi="Times New Roman"/>
          <w:sz w:val="17"/>
        </w:rPr>
        <w:t>[7] J. Becker, L. Kurland, E. Höglund, and K. Hugelius, “Dynamic ambulance relocation: A scoping review,” BMJ Open, vol. 13, no. 12, p. e073394, 2023.</w:t>
      </w:r>
    </w:p>
    <w:p>
      <w:pPr>
        <w:spacing w:line="252" w:lineRule="auto" w:after="80"/>
      </w:pPr>
      <w:r>
        <w:rPr>
          <w:rFonts w:ascii="Times New Roman" w:hAnsi="Times New Roman"/>
          <w:sz w:val="17"/>
        </w:rPr>
        <w:t>[8] C. M. Smith, R. Lall, R. T. Fothergill, R. Spaight, and G. D. Perkins, “The effect of the GoodSAM volunteer first-responder app on survival to hospital discharge following out-of-hospital cardiac arrest,” European Heart Journal: Acute Cardiovascular Care, vol. 11, no. 1, pp. 20–31, 2022.</w:t>
      </w:r>
    </w:p>
    <w:p>
      <w:pPr>
        <w:spacing w:line="252" w:lineRule="auto" w:after="80"/>
      </w:pPr>
      <w:r>
        <w:rPr>
          <w:rFonts w:ascii="Times New Roman" w:hAnsi="Times New Roman"/>
          <w:sz w:val="17"/>
        </w:rPr>
        <w:t>[9] J. Zaki, S. M. R. Islam, N. S. Alghamdi, M. Abdullah-Al-Wadud, and K.-S. Kwak, “Introducing cloud-assisted micro-service-based software development framework for healthcare systems,” IEEE Access, vol. 10, pp. 33 332–33 348, 2022.</w:t>
      </w:r>
    </w:p>
    <w:p>
      <w:pPr>
        <w:spacing w:line="252" w:lineRule="auto" w:after="80"/>
      </w:pPr>
      <w:r>
        <w:rPr>
          <w:rFonts w:ascii="Times New Roman" w:hAnsi="Times New Roman"/>
          <w:sz w:val="17"/>
        </w:rPr>
        <w:t>[10] A. Chatterjee, M. W. Gerdes, P. Khatiwada, and A. Prinz, “SFTSDH: Applying Spring Security framework with TSD-based OAuth2 to protect microservice architecture APIs,” IEEE Access, vol. 10, pp. 41 914–41 934, 2022.</w:t>
      </w:r>
    </w:p>
    <w:p>
      <w:pPr>
        <w:spacing w:line="252" w:lineRule="auto" w:after="80"/>
      </w:pPr>
      <w:r>
        <w:rPr>
          <w:rFonts w:ascii="Times New Roman" w:hAnsi="Times New Roman"/>
          <w:sz w:val="17"/>
        </w:rPr>
        <w:t>[11] J. García-González, J. Fernández-Andrés, N. Aliane, and J. Sánchez-Soriano, “Big data and I2X communication infrastructure for traffic optimization and accident prevention on automated roads,” IEEE Access, vol. 13, 2025.</w:t>
      </w:r>
    </w:p>
    <w:p>
      <w:pPr>
        <w:spacing w:line="252" w:lineRule="auto" w:after="80"/>
      </w:pPr>
      <w:r>
        <w:rPr>
          <w:rFonts w:ascii="Times New Roman" w:hAnsi="Times New Roman"/>
          <w:sz w:val="17"/>
        </w:rPr>
        <w:t>[12] E. Dritsas and M. Trigka, “Database systems in the big data era: Architectures, performance, and open challenges,” IEEE Access, vol. 13, 2025.</w:t>
      </w:r>
    </w:p>
    <w:p>
      <w:pPr>
        <w:spacing w:line="252" w:lineRule="auto" w:after="80"/>
      </w:pPr>
      <w:r>
        <w:rPr>
          <w:rFonts w:ascii="Times New Roman" w:hAnsi="Times New Roman"/>
          <w:sz w:val="17"/>
        </w:rPr>
        <w:t>[13] H. Ankarboina, J. Kumari, A. K. Singh, and A. Bhardwaj, “RACER: Real-time adaptive congestion-aware emergency routing in urban vehicular networks,” IEEE Open Journal of the Communications Society, vol. 7, 2026.</w:t>
      </w:r>
    </w:p>
    <w:p>
      <w:pPr>
        <w:spacing w:line="252" w:lineRule="auto" w:after="80"/>
      </w:pPr>
      <w:r>
        <w:rPr>
          <w:rFonts w:ascii="Times New Roman" w:hAnsi="Times New Roman"/>
          <w:sz w:val="17"/>
        </w:rPr>
        <w:t>[14] H. Nozari, A. Szmelter-Jarosz, and H. R. Irani, “Designing an ambulance routing optimization model using the combination of machine learning and genetic algorithm in conditions of uncertainty,” Systems and Soft Computing, 2025.</w:t>
      </w:r>
    </w:p>
    <w:p>
      <w:pPr>
        <w:spacing w:line="252" w:lineRule="auto" w:after="80"/>
      </w:pPr>
      <w:r>
        <w:rPr>
          <w:rFonts w:ascii="Times New Roman" w:hAnsi="Times New Roman"/>
          <w:sz w:val="17"/>
        </w:rPr>
        <w:t>[15] K. Al-Hussaini, S. Al-Kuwari, and M. Gharib, “A dynamic redeployment system for critical care paramedic units in Qatar utilizing deep reinforcement learning,” IEEE Transactions on Intelligent Transportation Systems, vol. 26, no. 3, pp. 1820–1834, 2025.</w:t>
      </w:r>
    </w:p>
    <w:p>
      <w:pPr>
        <w:spacing w:line="252" w:lineRule="auto" w:after="80"/>
      </w:pPr>
      <w:r>
        <w:rPr>
          <w:rFonts w:ascii="Times New Roman" w:hAnsi="Times New Roman"/>
          <w:sz w:val="17"/>
        </w:rPr>
        <w:t>[16] Z. Wang, Y. Zhang, and X. Chen, “Deep Encoder Cross Network for estimated time of arrival in urban logistics networks,” IEEE Transactions on Intelligent Transportation Systems, vol. 24, no. 8, pp. 8821–8832, 2023.</w:t>
      </w:r>
    </w:p>
    <w:p>
      <w:pPr>
        <w:spacing w:line="252" w:lineRule="auto" w:after="80"/>
      </w:pPr>
      <w:r>
        <w:rPr>
          <w:rFonts w:ascii="Times New Roman" w:hAnsi="Times New Roman"/>
          <w:sz w:val="17"/>
        </w:rPr>
        <w:t>[17] R. M. Martinez, H. A. Santos, and L. G. Ribeiro, “Integrating machine learning-based ambulance travel time estimation into an emergency medical services simulation modeling framework,” Journal of Simulation, vol. 18, no. 2, pp. 142–158, 2024.</w:t>
      </w:r>
    </w:p>
    <w:p>
      <w:pPr>
        <w:spacing w:line="252" w:lineRule="auto" w:after="80"/>
      </w:pPr>
      <w:r>
        <w:rPr>
          <w:rFonts w:ascii="Times New Roman" w:hAnsi="Times New Roman"/>
          <w:sz w:val="17"/>
        </w:rPr>
        <w:t>[18] S. Senaratne, P. D. Silva, and K. Jayasinghe, “Ambulance travel time estimation using spatiotemporal data and gradient boosting techniques,” Transportation Research Part C: Emerging Technologies, vol. 162, p. 104590, 2024.</w:t>
      </w:r>
    </w:p>
    <w:p>
      <w:pPr>
        <w:spacing w:line="252" w:lineRule="auto" w:after="80"/>
      </w:pPr>
      <w:r>
        <w:rPr>
          <w:rFonts w:ascii="Times New Roman" w:hAnsi="Times New Roman"/>
          <w:sz w:val="17"/>
        </w:rPr>
        <w:t>[19] D. Zhou, X. Yan, and Z. Gao, “Freelance drivers with a decline choice: Dispatch menus in on-demand mobility services for assortment optimization,” Transportation Research Part B: Methodological, vol. 181, p. 102891,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