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28"/>
        </w:rPr>
        <w:t>REMAND CASE DIARY</w:t>
      </w:r>
    </w:p>
    <w:p>
      <w:pPr>
        <w:spacing w:before="0" w:after="160"/>
        <w:jc w:val="center"/>
      </w:pPr>
      <w:r>
        <w:rPr>
          <w:rFonts w:ascii="Times New Roman" w:hAnsi="Times New Roman" w:cs="Times New Roman"/>
          <w:b w:val="0"/>
          <w:i/>
          <w:sz w:val="22"/>
        </w:rPr>
        <w:t>Part-I</w:t>
      </w:r>
    </w:p>
    <w:p>
      <w:pPr>
        <w:spacing w:before="0" w:after="200"/>
        <w:jc w:val="center"/>
      </w:pPr>
      <w:r>
        <w:rPr>
          <w:rFonts w:ascii="Times New Roman" w:hAnsi="Times New Roman" w:cs="Times New Roman"/>
          <w:b/>
          <w:i w:val="0"/>
          <w:sz w:val="22"/>
        </w:rPr>
        <w:t>IN THE COURT OF JUDICIAL MAGISTRATE OF FIRST CLASS AT MAKTHAL,</w:t>
      </w:r>
    </w:p>
    <w:tbl>
      <w:tblPr>
        <w:tblStyle w:val="TableGrid"/>
        <w:tblW w:type="auto" w:w="0"/>
        <w:tblLayout w:type="fixed"/>
        <w:tblLook w:firstColumn="1" w:firstRow="1" w:lastColumn="0" w:lastRow="0" w:noHBand="0" w:noVBand="1" w:val="04A0"/>
      </w:tblPr>
      <w:tblGrid>
        <w:gridCol w:w="5270"/>
        <w:gridCol w:w="5270"/>
      </w:tblGrid>
      <w:tr>
        <w:tc>
          <w:tcPr>
            <w:tcW w:type="dxa" w:w="4535"/>
            <w:tcBorders>
              <w:top w:val="single" w:sz="6" w:color="000000"/>
              <w:left w:val="single" w:sz="6" w:color="000000"/>
              <w:bottom w:val="single" w:sz="6" w:color="000000"/>
              <w:right w:val="single" w:sz="6" w:color="000000"/>
            </w:tcBorders>
            <w:vAlign w:val="top"/>
          </w:tcPr>
          <w:p>
            <w:pPr>
              <w:spacing w:before="0" w:after="0"/>
              <w:jc w:val="left"/>
            </w:pPr>
            <w:r/>
            <w:r>
              <w:rPr>
                <w:rFonts w:ascii="Times New Roman" w:hAnsi="Times New Roman" w:cs="Times New Roman"/>
                <w:b/>
                <w:i w:val="0"/>
                <w:sz w:val="22"/>
              </w:rPr>
              <w:t>P.S.: Makthal</w:t>
              <w:br/>
              <w:t>Dist: Narayanpet</w:t>
            </w:r>
          </w:p>
        </w:tc>
        <w:tc>
          <w:tcPr>
            <w:tcW w:type="dxa" w:w="4535"/>
            <w:tcBorders>
              <w:top w:val="single" w:sz="6" w:color="000000"/>
              <w:left w:val="single" w:sz="6" w:color="000000"/>
              <w:bottom w:val="single" w:sz="6" w:color="000000"/>
              <w:right w:val="single" w:sz="6" w:color="000000"/>
            </w:tcBorders>
            <w:vAlign w:val="top"/>
          </w:tcPr>
          <w:p>
            <w:pPr>
              <w:spacing w:before="0" w:after="0"/>
              <w:jc w:val="right"/>
            </w:pPr>
            <w:r/>
            <w:r>
              <w:rPr>
                <w:rFonts w:ascii="Times New Roman" w:hAnsi="Times New Roman" w:cs="Times New Roman"/>
                <w:b/>
                <w:i w:val="0"/>
                <w:sz w:val="22"/>
              </w:rPr>
              <w:t>FIR No. 100/2025</w:t>
              <w:br/>
              <w:t>Dated: 24.04.2025</w:t>
            </w:r>
          </w:p>
        </w:tc>
      </w:tr>
    </w:tbl>
    <w:p/>
    <w:p>
      <w:pPr>
        <w:spacing w:before="0" w:after="120"/>
        <w:jc w:val="left"/>
      </w:pPr>
      <w:r>
        <w:rPr>
          <w:rFonts w:ascii="Times New Roman" w:hAnsi="Times New Roman" w:cs="Times New Roman"/>
          <w:b w:val="0"/>
          <w:i w:val="0"/>
          <w:sz w:val="22"/>
        </w:rPr>
        <w:t>Honoured Sir,</w:t>
      </w:r>
    </w:p>
    <w:tbl>
      <w:tblPr>
        <w:tblStyle w:val="TableGrid"/>
        <w:tblW w:type="auto" w:w="0"/>
        <w:tblLayout w:type="fixed"/>
        <w:tblLook w:firstColumn="1" w:firstRow="1" w:lastColumn="0" w:lastRow="0" w:noHBand="0" w:noVBand="1" w:val="04A0"/>
      </w:tblPr>
      <w:tblGrid>
        <w:gridCol w:w="5270"/>
        <w:gridCol w:w="5270"/>
      </w:tblGrid>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1. Name of the Investigating Officer</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 Lal Singh, HC 248 of Police PS Makthal (IO &amp; Filed Charge sheet)</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2. Date and place of occurrence</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23.04.2025, 12:30 hours at Yellammakunta, Makthal town</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3. Offence U/s</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126(2), 118(1), 352, 351, R/w 3(5) BNS</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4. Date on which action was taken</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24.04.2025 at 06:00 hours</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5. Name of the complainant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6. Name of the accused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A1. Smt. Chityala Sujatha, W/o Chityala Ramulu, Age: 54 years, Caste: Mudiraj, Occ: House wife, R/o H.No.2-57/1, LB Nagar, Makthal Town, Narayanpet, Ph.8187015150</w:t>
              <w:br/>
              <w:t>A2. Smt. Latha Koli, W/o Amresh Koli, Age: 49 years, Caste: Mudiraj, Occ: Teacher, R/o Room No.2, Pravin Apartment, B Cabin Road, Behind Hari Om Park, Ambernath, Thane, Maharashtra, Ph.8208171689</w:t>
              <w:br/>
              <w:t>A3. Sri. Chityala Praveen, S/o Chityala Ramulu, Age: 31 years, Caste: Mudiraj, Occ: Business, R/o H.No.2-57/1, LB Nagar, Makthal Town, Narayanpet, Ph.7036127159</w:t>
              <w:br/>
              <w:t>A4. Sri. Chityala Pramod, S/o Chityala Ramulu, Age: 29 years, Caste: Mudiraj, Occ: Employee, R/o H.No.2-57/1, LB Nagar, Makthal Town, Narayanpet, Ph.9705486586</w:t>
              <w:br/>
              <w:t>A5. Sri. Prathamesh Koli, S/o Amresh Koli, Age: 20 years, Caste: Mudiraj, Occ: Student, R/o Room No.2, Pravin Apartment, B Cabin Road, Behind Hari Om Park, Ambernath, Thane, Maharashtra, Ph.8010297564</w:t>
              <w:br/>
              <w:t>A6. Smt. Vidya Bandari, W/o Raju Bandari, Age: 42 years, Caste: Mudiraj, Occ: Business, R/o Room No.201, Near Shiv mandir, SVP Road, Shivnagar, Ambernath, Thane, Maharashtra, Ph.9623628831</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7. Property lost</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8. Property recovered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9. Name of the deceased</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10. Name of the witnesses</w:t>
            </w:r>
          </w:p>
        </w:tc>
        <w:tc>
          <w:tcPr>
            <w:tcW w:type="dxa" w:w="5270"/>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Smt. Jingiti Aruna, W/o Jangiti Anjaneyulu, Age: 44 years, Caste: Mudiraj, Occ: Housewife, R/o Yellammakunta, Makthal Town, Narayanpet, Ph.9011645665</w:t>
              <w:br/>
              <w:t>2. Sri. Jangiti Anjaneylu, S/o Jangiti Chinna Thayappa, Age: 52 years, Caste: Mudiraj, Occ: Self-employee, R/o Makthal, Ph.9182690192</w:t>
              <w:br/>
              <w:t>3. Sri. Jangati Raghavendra, S/o Jangiti Anjaneylu, Age: 15 years, Caste: Mudiraj, Occ: Student, R/o Makthal, Ph.NOT FOUND IN DOCUMENTS</w:t>
              <w:br/>
              <w:t>4. Sri. Neerati Narsimha, S/o Venkatramulu, Age: 42 years, Caste: Mudiraj, Occ: Agriculture, R/o Jaklair of Makthal, Ph.9704215326</w:t>
              <w:br/>
              <w:t>5. Sri. Kuppapolice Ravi Kumar, S/o Gurudevappa, Age: 45 years, Caste: SC Mala, Occ: Coolie, R/o Yellammakunta of Makthal, Ph.NOT FOUND IN DOCUMENTS</w:t>
              <w:br/>
              <w:t>6. Sri. Allapolla Balraj, S/o Kistappa, Age: 31 years, Caste: Kurva, Occ: Business, R/o Yellammakunta of Makthal, Ph.NOT FOUND IN DOCUMENTS</w:t>
              <w:br/>
              <w:t>7. Sri. Dr. A Mahesh Raj, S/o NOT FOUND IN DOCUMENTS, Age: NOT FOUND IN DOCUMENTS years, Caste: NOT FOUND IN DOCUMENTS, Occ: CAS CHC Makthal, R/o NOT FOUND IN DOCUMENTS, Ph.NOT FOUND IN DOCUMENTS</w:t>
              <w:br/>
              <w:t>8. Sri. K Lal Singh, S/o NOT FOUND IN DOCUMENTS, Age: NOT FOUND IN DOCUMENTS years, Caste: NOT FOUND IN DOCUMENTS, Occ: HC 248 of Makthal PS, R/o NOT FOUND IN DOCUMENTS, Ph.NOT FOUND IN DOCUMENTS</w:t>
              <w:br/>
              <w:t>9. Sri. Y. Bhagyalakshmi Reddy, D/o NOT FOUND IN DOCUMENTS, Age: NOT FOUND IN DOCUMENTS years, Caste: NOT FOUND IN DOCUMENTS, Occ: SI of Police, Makthal PS, R/o NOT FOUND IN DOCUMENTS, Ph.NOT FOUND IN DOCUMENTS</w:t>
            </w:r>
          </w:p>
        </w:tc>
      </w:tr>
    </w:tbl>
    <w:p/>
    <w:p>
      <w:pPr>
        <w:spacing w:before="120" w:after="0"/>
        <w:jc w:val="left"/>
      </w:pPr>
      <w:r>
        <w:rPr>
          <w:rFonts w:ascii="Times New Roman" w:hAnsi="Times New Roman" w:cs="Times New Roman"/>
          <w:b/>
          <w:i w:val="0"/>
          <w:sz w:val="22"/>
        </w:rPr>
        <w:t>Brief Facts of the Case:</w:t>
      </w:r>
    </w:p>
    <w:p>
      <w:pPr>
        <w:spacing w:before="0" w:after="80"/>
        <w:jc w:val="both"/>
      </w:pPr>
      <w:r>
        <w:rPr>
          <w:rFonts w:ascii="Times New Roman" w:hAnsi="Times New Roman" w:cs="Times New Roman"/>
          <w:b w:val="0"/>
          <w:i w:val="0"/>
          <w:sz w:val="22"/>
        </w:rPr>
        <w:t>On 23.04.2025 at around 12:30 hours, at Yellammakunta, Makthal town, the accused A1 to A6 obstructed and assaulted the complainant Smt. Jingiti Aruna and her family while they were attending a ritual. The accused used abusive language and attacked them with hands and stones, causing simple injuries. The complainant's brother intervened but was also assaulted. The accused threatened the victims with dire consequences.</w:t>
      </w:r>
    </w:p>
    <w:p>
      <w:pPr>
        <w:spacing w:before="120" w:after="0"/>
        <w:jc w:val="left"/>
      </w:pPr>
      <w:r>
        <w:rPr>
          <w:rFonts w:ascii="Times New Roman" w:hAnsi="Times New Roman" w:cs="Times New Roman"/>
          <w:b/>
          <w:i w:val="0"/>
          <w:sz w:val="22"/>
        </w:rPr>
        <w:t>Investigation Done So Far:</w:t>
      </w:r>
    </w:p>
    <w:p>
      <w:pPr>
        <w:spacing w:before="0" w:after="80"/>
        <w:jc w:val="both"/>
      </w:pPr>
      <w:r>
        <w:rPr>
          <w:rFonts w:ascii="Times New Roman" w:hAnsi="Times New Roman" w:cs="Times New Roman"/>
          <w:b w:val="0"/>
          <w:i w:val="0"/>
          <w:sz w:val="22"/>
        </w:rPr>
        <w:t>The investigation included recording statements of LWs 1 to 3 under Section 180(3) BNSS, conducting a scene of offence panchanama with mediators LW-5 and LW-6, and preparing a rough sketch. Medical certificates were obtained from LW-7, confirming simple injuries. Notices under Section 35(3) BNSS were served to A1 to A6, who later admitted their guilt and were released as the offence is punishable with less than 7 years of imprisonment.</w:t>
      </w:r>
    </w:p>
    <w:p>
      <w:pPr>
        <w:spacing w:before="120" w:after="0"/>
        <w:jc w:val="left"/>
      </w:pPr>
      <w:r>
        <w:rPr>
          <w:rFonts w:ascii="Times New Roman" w:hAnsi="Times New Roman" w:cs="Times New Roman"/>
          <w:b/>
          <w:i w:val="0"/>
          <w:sz w:val="22"/>
        </w:rPr>
        <w:t>Reasons for arrest:</w:t>
      </w:r>
    </w:p>
    <w:p>
      <w:pPr>
        <w:spacing w:before="0" w:after="80"/>
        <w:jc w:val="both"/>
      </w:pPr>
      <w:r>
        <w:rPr>
          <w:rFonts w:ascii="Times New Roman" w:hAnsi="Times New Roman" w:cs="Times New Roman"/>
          <w:b w:val="0"/>
          <w:i w:val="0"/>
          <w:sz w:val="22"/>
        </w:rPr>
        <w:t>Remand custody is sought due to the severity of the offences involving wrongful restraint and assault, potential risk of evidence tampering, and ensuring the safety of the victims. The accused have familial ties with the victims, increasing the risk of intimidation. A1 and A2 are sisters of LW-2, which indicates prior animosity and strengthens the necessity for judicial remand.</w:t>
      </w:r>
    </w:p>
    <w:p>
      <w:pPr>
        <w:spacing w:before="120" w:after="80"/>
        <w:jc w:val="left"/>
      </w:pPr>
      <w:r>
        <w:rPr>
          <w:rFonts w:ascii="Times New Roman" w:hAnsi="Times New Roman" w:cs="Times New Roman"/>
          <w:b/>
          <w:i w:val="0"/>
          <w:sz w:val="22"/>
        </w:rPr>
        <w:t>Hence the remand report.</w:t>
      </w:r>
    </w:p>
    <w:p>
      <w:pPr>
        <w:spacing w:before="0" w:after="280"/>
        <w:jc w:val="both"/>
      </w:pPr>
      <w:r>
        <w:rPr>
          <w:rFonts w:ascii="Times New Roman" w:hAnsi="Times New Roman" w:cs="Times New Roman"/>
          <w:b w:val="0"/>
          <w:i/>
          <w:sz w:val="22"/>
        </w:rPr>
        <w:t>The arrested accused persons A1 to A6 herewith produced before the Hon'ble Court under proper escort with a pray to send them for judicial remand custody as the court deems fit.</w:t>
      </w:r>
    </w:p>
    <w:p>
      <w:pPr>
        <w:spacing w:before="0" w:after="0"/>
        <w:jc w:val="left"/>
      </w:pPr>
    </w:p>
    <w:p>
      <w:pPr>
        <w:spacing w:before="0" w:after="0"/>
        <w:jc w:val="right"/>
      </w:pPr>
      <w:r>
        <w:rPr>
          <w:rFonts w:ascii="Times New Roman" w:hAnsi="Times New Roman" w:cs="Times New Roman"/>
          <w:b/>
          <w:i w:val="0"/>
          <w:sz w:val="22"/>
        </w:rPr>
        <w:t>Signature of the Investigating Officer</w:t>
      </w:r>
    </w:p>
    <w:p>
      <w:pPr>
        <w:spacing w:before="0" w:after="0"/>
        <w:jc w:val="right"/>
      </w:pPr>
      <w:r>
        <w:rPr>
          <w:rFonts w:ascii="Times New Roman" w:hAnsi="Times New Roman" w:cs="Times New Roman"/>
          <w:b w:val="0"/>
          <w:i w:val="0"/>
          <w:sz w:val="22"/>
        </w:rPr>
        <w:t>(K. Lal Singh)</w:t>
      </w:r>
    </w:p>
    <w:p>
      <w:pPr>
        <w:spacing w:before="0" w:after="0"/>
        <w:jc w:val="right"/>
      </w:pPr>
      <w:r>
        <w:rPr>
          <w:rFonts w:ascii="Times New Roman" w:hAnsi="Times New Roman" w:cs="Times New Roman"/>
          <w:b w:val="0"/>
          <w:i w:val="0"/>
          <w:sz w:val="22"/>
        </w:rPr>
        <w:t>HC 248</w:t>
      </w:r>
    </w:p>
    <w:p>
      <w:pPr>
        <w:spacing w:before="0" w:after="280"/>
        <w:jc w:val="right"/>
      </w:pPr>
      <w:r>
        <w:rPr>
          <w:rFonts w:ascii="Times New Roman" w:hAnsi="Times New Roman" w:cs="Times New Roman"/>
          <w:b w:val="0"/>
          <w:i w:val="0"/>
          <w:sz w:val="22"/>
        </w:rPr>
        <w:t>Makthal P.S.</w:t>
      </w:r>
    </w:p>
    <w:p>
      <w:pPr>
        <w:spacing w:before="0" w:after="0"/>
        <w:jc w:val="left"/>
      </w:pPr>
      <w:r>
        <w:rPr>
          <w:rFonts w:ascii="Times New Roman" w:hAnsi="Times New Roman" w:cs="Times New Roman"/>
          <w:b/>
          <w:i w:val="0"/>
          <w:sz w:val="22"/>
        </w:rPr>
        <w:t>Encl:</w:t>
      </w:r>
    </w:p>
    <w:p>
      <w:pPr>
        <w:spacing w:before="0" w:after="0"/>
        <w:jc w:val="left"/>
      </w:pPr>
      <w:r>
        <w:rPr>
          <w:rFonts w:ascii="Times New Roman" w:hAnsi="Times New Roman" w:cs="Times New Roman"/>
          <w:b w:val="0"/>
          <w:i w:val="0"/>
          <w:sz w:val="20"/>
        </w:rPr>
        <w:t xml:space="preserve">   • Copy of FIR (Cr.No.100/2025)</w:t>
      </w:r>
    </w:p>
    <w:p>
      <w:pPr>
        <w:spacing w:before="0" w:after="0"/>
        <w:jc w:val="left"/>
      </w:pPr>
      <w:r>
        <w:rPr>
          <w:rFonts w:ascii="Times New Roman" w:hAnsi="Times New Roman" w:cs="Times New Roman"/>
          <w:b w:val="0"/>
          <w:i w:val="0"/>
          <w:sz w:val="20"/>
        </w:rPr>
        <w:t xml:space="preserve">   • Statements of LW-1 to LW-9 u/s 180 BNSS</w:t>
      </w:r>
    </w:p>
    <w:p>
      <w:pPr>
        <w:spacing w:before="0" w:after="0"/>
        <w:jc w:val="left"/>
      </w:pPr>
      <w:r>
        <w:rPr>
          <w:rFonts w:ascii="Times New Roman" w:hAnsi="Times New Roman" w:cs="Times New Roman"/>
          <w:b w:val="0"/>
          <w:i w:val="0"/>
          <w:sz w:val="20"/>
        </w:rPr>
        <w:t xml:space="preserve">   • Scene of Offence Panchanama</w:t>
      </w:r>
    </w:p>
    <w:p>
      <w:pPr>
        <w:spacing w:before="0" w:after="0"/>
        <w:jc w:val="left"/>
      </w:pPr>
      <w:r>
        <w:rPr>
          <w:rFonts w:ascii="Times New Roman" w:hAnsi="Times New Roman" w:cs="Times New Roman"/>
          <w:b w:val="0"/>
          <w:i w:val="0"/>
          <w:sz w:val="20"/>
        </w:rPr>
        <w:t xml:space="preserve">   • Rough sketch of the scene</w:t>
      </w:r>
    </w:p>
    <w:p>
      <w:pPr>
        <w:spacing w:before="0" w:after="0"/>
        <w:jc w:val="left"/>
      </w:pPr>
      <w:r>
        <w:rPr>
          <w:rFonts w:ascii="Times New Roman" w:hAnsi="Times New Roman" w:cs="Times New Roman"/>
          <w:b w:val="0"/>
          <w:i w:val="0"/>
          <w:sz w:val="20"/>
        </w:rPr>
        <w:t xml:space="preserve">   • Wound certificate / MLC of LW-1 to LW-3</w:t>
      </w:r>
    </w:p>
    <w:p>
      <w:pPr>
        <w:spacing w:before="0" w:after="0"/>
        <w:jc w:val="left"/>
      </w:pPr>
      <w:r>
        <w:rPr>
          <w:rFonts w:ascii="Times New Roman" w:hAnsi="Times New Roman" w:cs="Times New Roman"/>
          <w:b w:val="0"/>
          <w:i w:val="0"/>
          <w:sz w:val="20"/>
        </w:rPr>
        <w:t xml:space="preserve">   • Notice u/s 35(3) BNSS served on A1 to A6</w:t>
      </w:r>
    </w:p>
    <w:p>
      <w:pPr>
        <w:spacing w:before="0" w:after="0"/>
        <w:jc w:val="left"/>
      </w:pPr>
      <w:r>
        <w:rPr>
          <w:rFonts w:ascii="Times New Roman" w:hAnsi="Times New Roman" w:cs="Times New Roman"/>
          <w:b w:val="0"/>
          <w:i w:val="0"/>
          <w:sz w:val="20"/>
        </w:rPr>
        <w:t xml:space="preserve">   • Aadhaar / ID proof of accused A1 to A6</w:t>
      </w:r>
    </w:p>
    <w:p>
      <w:pPr>
        <w:spacing w:before="0" w:after="0"/>
        <w:jc w:val="left"/>
      </w:pPr>
    </w:p>
    <w:p>
      <w:pPr>
        <w:spacing w:before="0" w:after="0"/>
        <w:jc w:val="left"/>
      </w:pPr>
      <w:r>
        <w:rPr>
          <w:rFonts w:ascii="Times New Roman" w:hAnsi="Times New Roman" w:cs="Times New Roman"/>
          <w:b w:val="0"/>
          <w:i w:val="0"/>
          <w:sz w:val="22"/>
        </w:rPr>
        <w:t>Escort: PC 656 of Makthal PS</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