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57/2026</w:t>
        <w:br/>
      </w:r>
      <w:r>
        <w:rPr>
          <w:b/>
        </w:rPr>
        <w:t xml:space="preserve">U/S: </w:t>
      </w:r>
      <w:r>
        <w:t xml:space="preserve">(3), 3(5), 35(3), 35, 1118(2), 115(2), 352, 118(1), 115(2), 352, 180(3)</w:t>
        <w:br/>
      </w:r>
      <w:r>
        <w:rPr>
          <w:b/>
        </w:rPr>
        <w:t xml:space="preserve">Remand CD Dt: </w:t>
      </w:r>
      <w:r>
        <w:t xml:space="preserve">03.04.2026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LW-7. Chandapuram Manikanta</w:t>
        <w:br/>
        <w:t xml:space="preserve">Chandrashekar, LW-1. Chandapuram Manikanta</w:t>
      </w:r>
    </w:p>
    <w:p/>
    <w:p>
      <w:r>
        <w:rPr>
          <w:b/>
        </w:rPr>
        <w:t>Honoured Sir,</w:t>
      </w:r>
    </w:p>
    <w:p/>
    <w:p>
      <w:r>
        <w:rPr>
          <w:b/>
        </w:rPr>
        <w:t>Brief facts of the case:</w:t>
        <w:br/>
        <w:br/>
      </w:r>
      <w:r>
        <w:t xml:space="preserve">On 22.02.2026, in connection with FIR No. 57/2026 registered at Makthal Police Station for offences under Sections 3, 3(5), 35, 35(3), 1118(2), 118(1), 115(2), 352 and 180(3) (as mentioned in FIR), the complainant/injured (male) was examined and his statement was recorded under Section 180(3) BNSS and incorporated in Part-II Case Diary. The injured was sent to Government Area Hospital, Makthal for treatment and for issuance of wound certificate.</w:t>
        <w:br/>
        <w:t xml:space="preserve"/>
        <w:br/>
        <w:t xml:space="preserve">On the same day, the Investigating Officer visited the scene of offence situated at Sukanya Glass Frame Work Shop, Nethajinagar, Makthal Town, located approximately 500 meters east of the police station. Two mediators, LW-5 and LW-6, were secured and, in their presence, the Scene of Offence Panchanama was conducted. A detailed rough sketch of the crime scene was prepared in the Crime Detail Form depicting the surroundings.</w:t>
        <w:br/>
        <w:t xml:space="preserve"/>
        <w:br/>
        <w:t xml:space="preserve">During the scene proceedings, the place was searched for case property; however, no property was found and nothing was seized at the spot. Further, the statements of LW-2 to LW-4 were examined and recorded under Section 180(3) BNSS at the scene and incorporated in the Part-II Case Diaries. Subsequently, the accused persons, namely Chandapuram Manikanta and Pujari Nandakishor, came to the police station and surrendered before the Investigating Officer, and their admission was recorded in the case diary as stated in the documents.</w:t>
        <w:br/>
        <w:t xml:space="preserve"/>
        <w:br/>
        <w:t xml:space="preserve">Upon surrender, notices under Section 35(3) BNSS were served on the accused, directing them to appear on 23.02.2026 along with their ID proofs and documents; the Investigating Officer noted that ID proofs and acknowledgment receipts are to be collected from the accused. The evidence collected and documented as per record consists of the complainant/injured statement, statements of LW-2 to LW-4, the Scene of Offence Panchanama with mediators LW-5 and LW-6, and the rough sketch/Crime Detail Form, along with hospital referral for treatment and wound certification.</w:t>
      </w:r>
    </w:p>
    <w:p/>
    <w:p>
      <w:pPr>
        <w:jc w:val="center"/>
      </w:pPr>
      <w:r>
        <w:rPr>
          <w:b/>
        </w:rPr>
        <w:t>REASONS FOR ARREST:</w:t>
      </w:r>
    </w:p>
    <w:p>
      <w:r>
        <w:t xml:space="preserve">### Reasons for Arrest (Remand Case Diary) – FIR No. 57/2026, Makthal P.S.</w:t>
        <w:br/>
        <w:t xml:space="preserve"/>
        <w:br/>
        <w:t xml:space="preserve">1. **Cognizable offence committed:**  </w:t>
        <w:br/>
        <w:t xml:space="preserve">   The instant case pertains to allegations constituting cognizable offences registered vide FIR No. 57/2026 of Makthal Police Station under Sections 3, 3(5), 35, 35(3), 1118(2), 118(1), 115(2), 352 and 180(3) (as mentioned in FIR). The complaint/injured statement was recorded under Section 180(3) BNSS, and the injured was referred to Government Area Hospital, Makthal for treatment and wound certification, thereby disclosing commission of the said offences requiring immediate police action and investigation.</w:t>
        <w:br/>
        <w:t xml:space="preserve"/>
        <w:br/>
        <w:t xml:space="preserve">2. **Evidence linking the accused with the offence:**  </w:t>
        <w:br/>
        <w:t xml:space="preserve">   During the course of investigation, the statement of the complainant/injured was recorded and incorporated in the Part-II Case Diary. Further, statements of material witnesses LW-2 to LW-4 were examined and recorded under Section 180(3) BNSS at the scene of offence. The accused persons, namely **Chandapuram Manikanta** and **Pujari Nandakishor**, thereafter appeared at the Police Station and surrendered before the Investigating Officer, and their admission was recorded in the case diary as per record. The scene of offence was inspected, and Scene of Offence Panchanama was conducted in the presence of mediators LW-5 and LW-6, along with preparation of rough sketch in the Crime Detail Form.</w:t>
        <w:br/>
        <w:t xml:space="preserve"/>
        <w:br/>
        <w:t xml:space="preserve">3. **Risk of absconding:**  </w:t>
        <w:br/>
        <w:t xml:space="preserve">   The offences invoked are cognizable and entail serious legal consequences. Though the accused have surrendered, their identity proofs and acknowledgements are yet to be collected as noted in the case diary, and their continued availability for investigation and subsequent trial cannot be secured without arrest and judicial remand. There exists a reasonable apprehension that, if left at liberty, the accused may avoid appearance before the Investigating Officer/court and evade due process.</w:t>
        <w:br/>
        <w:t xml:space="preserve"/>
        <w:br/>
        <w:t xml:space="preserve">4. **Risk of tampering with evidence / influencing witnesses:**  </w:t>
        <w:br/>
        <w:t xml:space="preserve">   The material witnesses (LW-2 to LW-4) are already examined and their statements are recorded; however, the witnesses and mediators are local to the place of occurrence at Nethajinagar, Makthal Town. In the absence of custodial control, there is a reasonable apprehension that the accused may threaten, induce, or influence the complainant/injured and other local witnesses, and thereby impede fair investigation. Further, no case property could be seized from the scene during panchanama, hence the possibility of the accused interfering with efforts to trace and recover any related material cannot be ruled out.</w:t>
        <w:br/>
        <w:t xml:space="preserve"/>
        <w:br/>
        <w:t xml:space="preserve">5. **Need for custody for effective investigation:**  </w:t>
        <w:br/>
        <w:t xml:space="preserve">   Custodial interrogation is necessary to (i) verify and secure identity proofs and relevant documents from the accused as directed through notice under Section 35(3) BNSS, (ii) ascertain the sequence of events and the individual roles of each accused, (iii) make further efforts for tracing/recovery of any material object connected with the offence, since none was found at the spot, (iv) facilitate collection of the wound certificate/medical documents from Government Area Hospital, Makthal and correlate the same with witness versions, and (v) ensure the presence of the accused for further investigation steps and compliance with procedural requirements. Accordingly, arrest and remand are required in the interests of justice and for completion of investigation without obstruction.</w:t>
      </w:r>
    </w:p>
    <w:p/>
    <w:p>
      <w:pPr>
        <w:jc w:val="center"/>
      </w:pPr>
      <w:r>
        <w:rPr>
          <w:b/>
        </w:rPr>
        <w:t>HENCE THE REMAND REPORT:</w:t>
      </w:r>
    </w:p>
    <w:p>
      <w:r>
        <w:t>It is therefore prayed that the Hon'ble Court may kindly remand the accused:</w:t>
        <w:br/>
        <w:br/>
        <w:t xml:space="preserve">A1. Chandapuram Manikanta, S/o Chandrashekar, R/o Nethajinagar</w:t>
        <w:br/>
        <w:t xml:space="preserve">1. Pujari Nandakishor, S/o Pujari Subhash, R/o H.No. 2-72 Maganoor Village  Mandal</w:t>
        <w:br/>
        <w:t xml:space="preserve">A3. tances from you, S/o Pujari Subhash, R/o H No.2-72 Maganoor Village</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