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CCTNS-063837/2026    </w:t>
      </w:r>
      <w:r>
        <w:rPr>
          <w:b/>
        </w:rPr>
        <w:t xml:space="preserve">CD Dt: </w:t>
      </w:r>
      <w:r>
        <w:t xml:space="preserve">01.04.2026</w:t>
        <w:br/>
      </w:r>
      <w:r>
        <w:rPr>
          <w:b/>
        </w:rPr>
        <w:t xml:space="preserve">Offence u/s </w:t>
      </w:r>
      <w:r>
        <w:t xml:space="preserve">118(2) BNS</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In the present case, a complaint was registered vide FIR No. **CCTNS-063837/2026** under **Section 118(2) of the Bharatiya Nyaya Sanhita (BNS)**. The available case record provided for preparation of the brief facts does not contain the particulars of the **complainant**, **accused**, **place of occurrence**, or **date/time of occurrence/registration**, as the corresponding fields and narrative details are not furnished in the supplied raw document contents.</w:t>
        <w:br/>
        <w:t xml:space="preserve"/>
        <w:br/>
        <w:t xml:space="preserve">As per the FIR, the matter pertains to an offence alleged under **Section 118(2) BNS**. However, the supplied documents do not provide the factual narrative describing the incident, the manner of commission, the acts alleged, or the circumstances constituting the offence. Accordingly, the nature and specifics of the alleged occurrence cannot be detailed in this brief facts summary on the basis of the present material.</w:t>
        <w:br/>
        <w:t xml:space="preserve"/>
        <w:br/>
        <w:t xml:space="preserve">With respect to the **role of the accused**, the documents provided do not disclose the identity of the accused person(s), nor do they contain any attributed acts, participation, or other role description connected to the alleged offence. Therefore, the role of the accused cannot be set out in this Charge Sheet brief facts section on the basis of the current record.</w:t>
        <w:br/>
        <w:t xml:space="preserve"/>
        <w:br/>
        <w:t xml:space="preserve">Regarding **evidence collected during investigation**, no documentary list, witness details, seizure memos, medical reports, scene of offence panchanama, electronic/digital evidence particulars, or other investigation papers have been provided in the raw contents. Hence, the evidence collected (if any) cannot be enumerated from the supplied material. If the missing particulars (complaint narrative, date/place, details of parties, and investigation documents) are furnished, the brief facts can be accurately drafted in full compliance with the case record.</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