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CCTNS-063837/2026</w:t>
        <w:br/>
      </w:r>
      <w:r>
        <w:rPr>
          <w:b/>
        </w:rPr>
        <w:t xml:space="preserve">U/S: </w:t>
      </w:r>
      <w:r>
        <w:t xml:space="preserve">118(2) BNS</w:t>
        <w:br/>
      </w:r>
      <w:r>
        <w:rPr>
          <w:b/>
        </w:rPr>
        <w:t xml:space="preserve">Remand CD Dt: </w:t>
      </w:r>
      <w:r>
        <w:t xml:space="preserve">01.04.2026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In the present case, a complaint was registered vide FIR No. **CCTNS-063837/2026** under **Section 118(2) of the Bharatiya Nyaya Sanhita (BNS)**. The available case record provided for preparation of the brief facts does not contain the particulars of the **complainant**, **accused**, **place of occurrence**, or **date/time of occurrence/registration**, as the corresponding fields and narrative details are not furnished in the supplied raw document contents.</w:t>
        <w:br/>
        <w:t xml:space="preserve"/>
        <w:br/>
        <w:t xml:space="preserve">As per the FIR, the matter pertains to an offence alleged under **Section 118(2) BNS**. However, the supplied documents do not provide the factual narrative describing the incident, the manner of commission, the acts alleged, or the circumstances constituting the offence. Accordingly, the nature and specifics of the alleged occurrence cannot be detailed in this brief facts summary on the basis of the present material.</w:t>
        <w:br/>
        <w:t xml:space="preserve"/>
        <w:br/>
        <w:t xml:space="preserve">With respect to the **role of the accused**, the documents provided do not disclose the identity of the accused person(s), nor do they contain any attributed acts, participation, or other role description connected to the alleged offence. Therefore, the role of the accused cannot be set out in this Charge Sheet brief facts section on the basis of the current record.</w:t>
        <w:br/>
        <w:t xml:space="preserve"/>
        <w:br/>
        <w:t xml:space="preserve">Regarding **evidence collected during investigation**, no documentary list, witness details, seizure memos, medical reports, scene of offence panchanama, electronic/digital evidence particulars, or other investigation papers have been provided in the raw contents. Hence, the evidence collected (if any) cannot be enumerated from the supplied material. If the missing particulars (complaint narrative, date/place, details of parties, and investigation documents) are furnished, the brief facts can be accurately drafted in full compliance with the case record.</w:t>
      </w:r>
    </w:p>
    <w:p/>
    <w:p>
      <w:pPr>
        <w:jc w:val="center"/>
      </w:pPr>
      <w:r>
        <w:rPr>
          <w:b/>
        </w:rPr>
        <w:t>REASONS FOR ARREST:</w:t>
      </w:r>
    </w:p>
    <w:p>
      <w:r>
        <w:t xml:space="preserve">1. **Cognizable offence committed:** The present case has been registered vide FIR No. **CCTNS-063837/2026** for an offence punishable under **Section 118(2) BNS**. The offence disclosed in the FIR is cognizable in nature, warranting immediate police intervention and investigation as per law.</w:t>
        <w:br/>
        <w:t xml:space="preserve"/>
        <w:br/>
        <w:t xml:space="preserve">2. **Evidence linking the accused to the offence:** As per the material provided for preparation of the remand note, the identity particulars of the accused and the specific factual allegations/narrative of occurrence have not been furnished, and no witness statements, seizure memos, medical records, or other investigation papers have been supplied. Therefore, the specific evidence and material connecting the accused with the commission of the offence cannot be set out from the present record.</w:t>
        <w:br/>
        <w:t xml:space="preserve"/>
        <w:br/>
        <w:t xml:space="preserve">3. **Risk of absconding:** In view of the non-availability of the accused particulars and case-specific antecedents in the supplied record, the risk assessment regarding absconding cannot be supported with documented, case-specific facts. However, to secure the presence of the accused during investigation and subsequent legal proceedings in a cognizable offence, arrest and appropriate custody are sought as per procedure established by law.</w:t>
        <w:br/>
        <w:t xml:space="preserve"/>
        <w:br/>
        <w:t xml:space="preserve">4. **Risk of tampering with evidence / influencing witnesses:** The supplied record does not contain the particulars of witnesses, nature of evidence collected, or details of scene of offence/seizures. Hence, case-specific grounds regarding likelihood of tampering or influencing witnesses cannot be elaborated on the basis of the present documents. Custodial measures are sought to prevent any interference with the ongoing investigation and to ensure preservation of evidence, subject to further material emerging during investigation.</w:t>
        <w:br/>
        <w:t xml:space="preserve"/>
        <w:br/>
        <w:t xml:space="preserve">5. **Need for custody for investigation:** Police custody/judicial custody is required to facilitate effective investigation, including verification of the accused’s identity and role, collection of relevant documents and other material evidence, examination of witnesses, and completion of other necessary investigative steps connected with the offence under **Section 118(2) BNS**. In the absence of the detailed case papers in the provided record, custody is sought for lawful completion of investigation and to ensure the accused’s availability for required investigative procedures.</w:t>
      </w:r>
    </w:p>
    <w:p/>
    <w:p>
      <w:pPr>
        <w:jc w:val="center"/>
      </w:pPr>
      <w:r>
        <w:rPr>
          <w:b/>
        </w:rPr>
        <w:t>HENCE THE REMAND REPORT:</w:t>
      </w:r>
    </w:p>
    <w:p>
      <w:r>
        <w:t>It is therefore prayed that the Hon'ble Court may kindly remand the accused:</w:t>
        <w:br/>
        <w:br/>
        <w:t xml:space="preserve">[ ]</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