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REMAND CASE DIARY</w:t>
      </w:r>
    </w:p>
    <w:p>
      <w:pPr>
        <w:jc w:val="center"/>
      </w:pPr>
      <w:r>
        <w:t xml:space="preserve">Part-I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Crime No.: </w:t>
      </w:r>
      <w:r>
        <w:t xml:space="preserve">CCTNS-063958/2026</w:t>
        <w:br/>
      </w:r>
      <w:r>
        <w:rPr>
          <w:b/>
        </w:rPr>
        <w:t xml:space="preserve">U/S: </w:t>
      </w:r>
      <w:r>
        <w:t xml:space="preserve">118(2) BNS</w:t>
        <w:br/>
      </w:r>
      <w:r>
        <w:rPr>
          <w:b/>
        </w:rPr>
        <w:t xml:space="preserve">Remand CD Dt: </w:t>
      </w:r>
      <w:r>
        <w:t xml:space="preserve">01.04.2026</w:t>
      </w:r>
    </w:p>
    <w:p/>
    <w:p>
      <w:r>
        <w:rPr>
          <w:b/>
        </w:rPr>
        <w:t xml:space="preserve">Previous case diary: </w:t>
      </w:r>
      <w:r>
        <w:t>This is the first Remand Case Diary.</w:t>
      </w:r>
    </w:p>
    <w:p>
      <w:r>
        <w:rPr>
          <w:b/>
        </w:rPr>
        <w:t xml:space="preserve">Name of the deceased: </w:t>
      </w:r>
      <w:r>
        <w:t>---</w:t>
      </w:r>
    </w:p>
    <w:p>
      <w:r>
        <w:rPr>
          <w:b/>
        </w:rPr>
        <w:t xml:space="preserve">Name of the witnesses examined: </w:t>
      </w:r>
      <w:r>
        <w:t xml:space="preserve">---</w:t>
      </w:r>
    </w:p>
    <w:p/>
    <w:p>
      <w:r>
        <w:rPr>
          <w:b/>
        </w:rPr>
        <w:t>Honoured Sir,</w:t>
      </w:r>
    </w:p>
    <w:p/>
    <w:p>
      <w:r>
        <w:rPr>
          <w:b/>
        </w:rPr>
        <w:t>Brief facts of the case:</w:t>
        <w:br/>
        <w:br/>
      </w:r>
      <w:r>
        <w:t xml:space="preserve">On the basis of the information received, FIR No. **CCTNS-063958/2026** was registered for the offence punishable under **Section 118(2) of the Bharatiya Nyaya Sanhita (BNS)**. The present case has been taken up for investigation in accordance with law. However, the case records/documents provided do not contain the particulars of the **complainant**, **accused**, **place of occurrence**, and **date/time of occurrence/registration**, and the same are therefore not reflected herein.</w:t>
        <w:br/>
        <w:t xml:space="preserve"/>
        <w:br/>
        <w:t xml:space="preserve">As per the FIR particulars available, the case pertains to an offence registered under **Section 118(2) BNS**. The raw document contents furnished do not describe the **nature of the act/incident**, **manner of commission**, or **specific allegations** forming the basis of the said section; hence, only the statutory section invoked as per FIR is noted in this brief.</w:t>
        <w:br/>
        <w:t xml:space="preserve"/>
        <w:br/>
        <w:t xml:space="preserve">The documents provided do not mention the identity of the **accused** or set out any **specific role/acts attributed** to any person in connection with the alleged offence. Accordingly, no role attribution is stated in the absence of documented material.</w:t>
        <w:br/>
        <w:t xml:space="preserve"/>
        <w:br/>
        <w:t xml:space="preserve">Further, the supplied materials do not disclose the details of **evidence collected** during investigation (such as statements of witnesses, medical/legal reports, seizure memos, electronic/forensic evidence, scene of crime details, or arrest/notice proceedings). This “Brief Facts” summary is therefore confined to the FIR registration particulars available and may be supplemented upon receipt of complete case records/documents containing the relevant factual and evidentiary particulars.</w:t>
      </w:r>
    </w:p>
    <w:p/>
    <w:p>
      <w:pPr>
        <w:jc w:val="center"/>
      </w:pPr>
      <w:r>
        <w:rPr>
          <w:b/>
        </w:rPr>
        <w:t>REASONS FOR ARREST:</w:t>
      </w:r>
    </w:p>
    <w:p>
      <w:r>
        <w:t xml:space="preserve">1. **Cognizable offence committed:** FIR No. **CCTNS-063958/2026** has been registered for the offence punishable under **Section 118(2) BNS**, which is being investigated as per law. The arrest is shown in connection with the said registered offence; however, the case papers provided for the remand note do not contain the particulars of the complainant, occurrence, or the specific allegations narrating the commission of the offence.</w:t>
        <w:br/>
        <w:t xml:space="preserve"/>
        <w:br/>
        <w:t xml:space="preserve">2. **Evidence linking the accused to the offence:** In the material made available for preparation of this remand case diary, there is **no documented identification of the accused**, **no role attribution**, and **no record of evidence collected** (such as statements, seizure, medical/legal reports, or electronic/forensic material) linking any named person to the offence under Section 118(2) BNS. Hence, the specific evidentiary basis for arrest of the accused is **not available in the provided documents**.</w:t>
        <w:br/>
        <w:t xml:space="preserve"/>
        <w:br/>
        <w:t xml:space="preserve">3. **Risk of absconding:** The provided case documents do not contain the identity particulars of the accused, address verification, prior conduct, notice history, or any recorded attempts to evade investigation. Therefore, **no documented facts** are available in the supplied record to substantiate the likelihood of absconding.</w:t>
        <w:br/>
        <w:t xml:space="preserve"/>
        <w:br/>
        <w:t xml:space="preserve">4. **Risk of tampering with evidence / influencing witnesses:** The supplied materials do not disclose the list of witnesses, nature of evidence, seizure details, or any threat/intimidation inputs. Accordingly, **no specific documented grounds** are available from the provided record to state that the accused is likely to tamper with evidence or influence witnesses.</w:t>
        <w:br/>
        <w:t xml:space="preserve"/>
        <w:br/>
        <w:t xml:space="preserve">5. **Need for custodial interrogation / custody for investigation:** The documents provided do not mention what recoveries are pending, what electronic devices/documents are to be traced, what confrontations are required, or what further investigative steps necessitate custody. Therefore, on the basis of the limited record furnished, the **specific necessity for police custody** for further investigation cannot be articulated beyond the general requirement of investigation in FIR No. CCTNS-063958/2026 under Section 118(2) BNS.</w:t>
      </w:r>
    </w:p>
    <w:p/>
    <w:p>
      <w:pPr>
        <w:jc w:val="center"/>
      </w:pPr>
      <w:r>
        <w:rPr>
          <w:b/>
        </w:rPr>
        <w:t>HENCE THE REMAND REPORT:</w:t>
      </w:r>
    </w:p>
    <w:p>
      <w:r>
        <w:t>It is therefore prayed that the Hon'ble Court may kindly remand the accused:</w:t>
        <w:br/>
        <w:br/>
        <w:t xml:space="preserve">[ ]</w:t>
        <w:br/>
        <w:br/>
        <w:t>to judicial custody for a period of 15 days to enable the investigating officer to complete the investigation.</w:t>
      </w:r>
    </w:p>
    <w:p/>
    <w:p>
      <w:r>
        <w:rPr>
          <w:b/>
        </w:rPr>
        <w:t>Encl:</w:t>
      </w:r>
      <w:r>
        <w:br/>
        <w:t>1. Remand application</w:t>
        <w:br/>
        <w:t>2. Case diary copies</w:t>
        <w:br/>
        <w:t>3. Section 35(3) BNSS notice copies</w:t>
      </w:r>
    </w:p>
    <w:p/>
    <w:p>
      <w:pPr>
        <w:jc w:val="right"/>
      </w:pPr>
      <w:r>
        <w:t xml:space="preserve">()</w:t>
        <w:br/>
        <w:t xml:space="preserve">Sub Inspector of Police</w:t>
        <w:br/>
        <w:t xml:space="preserve">PS Makthal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