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FUSION-063938/2026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01.04.2026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BNS</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 ACCUSED DETAILS ]</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available records, FIR No. **FUSION-063938/2026** was registered for offences punishable under Sections **118(2), 115(2), and 352 of the Bharatiya Nyaya Sanhita (BNS)**. The case has been taken up for investigation in accordance with law. The **complainant details, accused details, place of occurrence, and date of occurrence are not available in the documents provided** and therefore are not reproduced herein.</w:t>
              <w:br/>
              <w:t xml:space="preserve"/>
              <w:br/>
              <w:t xml:space="preserve">The present case pertains to allegations attracting the above-mentioned provisions of BNS, indicating commission of the alleged offence(s) as recorded in the FIR. As per the documents made available, the **nature of offence is reflected only through the invoked sections**, and no further narrative of the incident has been provided in the raw contents to specify the manner of commission, sequence of events, or the specific acts constituting the offence.</w:t>
              <w:br/>
              <w:t xml:space="preserve"/>
              <w:br/>
              <w:t xml:space="preserve">With respect to the **role of the accused**, the documents provided do not contain the name/identity of the accused or any description of the individual acts attributed to the accused. Accordingly, no specific role allocation or overt act can be set out in this brief facts summary beyond the fact that the FIR stands registered under the above sections.</w:t>
              <w:br/>
              <w:t xml:space="preserve"/>
              <w:br/>
              <w:t xml:space="preserve">Regarding **evidence collected**, the raw document contents supplied do not include details of statements recorded, medical records, scene inspection, seizure memos, documentary or electronic evidence, witness particulars, or any other investigative material. Hence, the evidence position cannot be detailed on the basis of the present inputs, except to note that the FIR registration particulars as stated above are available on record.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01.04.2026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