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REMAND CASE DIARY</w:t>
      </w:r>
    </w:p>
    <w:p>
      <w:pPr>
        <w:jc w:val="center"/>
      </w:pPr>
      <w:r>
        <w:t xml:space="preserve">Part-I</w:t>
      </w:r>
    </w:p>
    <w:p>
      <w:r>
        <w:rPr>
          <w:b/>
        </w:rPr>
        <w:t xml:space="preserve">Police Station: </w:t>
      </w:r>
      <w:r>
        <w:t xml:space="preserve">Makthal    </w:t>
      </w:r>
      <w:r>
        <w:rPr>
          <w:b/>
        </w:rPr>
        <w:t xml:space="preserve">Dist: </w:t>
      </w:r>
      <w:r>
        <w:t xml:space="preserve">Narayanpet</w:t>
        <w:br/>
      </w:r>
      <w:r>
        <w:rPr>
          <w:b/>
        </w:rPr>
        <w:t xml:space="preserve">Crime No.: </w:t>
      </w:r>
      <w:r>
        <w:t xml:space="preserve">FUSION-063938/2026</w:t>
        <w:br/>
      </w:r>
      <w:r>
        <w:rPr>
          <w:b/>
        </w:rPr>
        <w:t xml:space="preserve">U/S: </w:t>
      </w:r>
      <w:r>
        <w:t xml:space="preserve">118(2), 115(2), 352 BNS</w:t>
        <w:br/>
      </w:r>
      <w:r>
        <w:rPr>
          <w:b/>
        </w:rPr>
        <w:t xml:space="preserve">Remand CD Dt: </w:t>
      </w:r>
      <w:r>
        <w:t xml:space="preserve">01.04.2026</w:t>
      </w:r>
    </w:p>
    <w:p/>
    <w:p>
      <w:r>
        <w:rPr>
          <w:b/>
        </w:rPr>
        <w:t xml:space="preserve">Previous case diary: </w:t>
      </w:r>
      <w:r>
        <w:t>This is the first Remand Case Diary.</w:t>
      </w:r>
    </w:p>
    <w:p>
      <w:r>
        <w:rPr>
          <w:b/>
        </w:rPr>
        <w:t xml:space="preserve">Name of the deceased: </w:t>
      </w:r>
      <w:r>
        <w:t>---</w:t>
      </w:r>
    </w:p>
    <w:p>
      <w:r>
        <w:rPr>
          <w:b/>
        </w:rPr>
        <w:t xml:space="preserve">Name of the witnesses examined: </w:t>
      </w:r>
      <w:r>
        <w:t xml:space="preserve">---</w:t>
      </w:r>
    </w:p>
    <w:p/>
    <w:p>
      <w:r>
        <w:rPr>
          <w:b/>
        </w:rPr>
        <w:t>Honoured Sir,</w:t>
      </w:r>
    </w:p>
    <w:p/>
    <w:p>
      <w:r>
        <w:rPr>
          <w:b/>
        </w:rPr>
        <w:t>Brief facts of the case:</w:t>
        <w:br/>
        <w:br/>
      </w:r>
      <w:r>
        <w:t xml:space="preserve">On the basis of the available records, FIR No. **FUSION-063938/2026** was registered for offences punishable under Sections **118(2), 115(2), and 352 of the Bharatiya Nyaya Sanhita (BNS)**. The case has been taken up for investigation in accordance with law. The **complainant details, accused details, place of occurrence, and date of occurrence are not available in the documents provided** and therefore are not reproduced herein.</w:t>
        <w:br/>
        <w:t xml:space="preserve"/>
        <w:br/>
        <w:t xml:space="preserve">The present case pertains to allegations attracting the above-mentioned provisions of BNS, indicating commission of the alleged offence(s) as recorded in the FIR. As per the documents made available, the **nature of offence is reflected only through the invoked sections**, and no further narrative of the incident has been provided in the raw contents to specify the manner of commission, sequence of events, or the specific acts constituting the offence.</w:t>
        <w:br/>
        <w:t xml:space="preserve"/>
        <w:br/>
        <w:t xml:space="preserve">With respect to the **role of the accused**, the documents provided do not contain the name/identity of the accused or any description of the individual acts attributed to the accused. Accordingly, no specific role allocation or overt act can be set out in this brief facts summary beyond the fact that the FIR stands registered under the above sections.</w:t>
        <w:br/>
        <w:t xml:space="preserve"/>
        <w:br/>
        <w:t xml:space="preserve">Regarding **evidence collected**, the raw document contents supplied do not include details of statements recorded, medical records, scene inspection, seizure memos, documentary or electronic evidence, witness particulars, or any other investigative material. Hence, the evidence position cannot be detailed on the basis of the present inputs, except to note that the FIR registration particulars as stated above are available on record.</w:t>
      </w:r>
    </w:p>
    <w:p/>
    <w:p>
      <w:pPr>
        <w:jc w:val="center"/>
      </w:pPr>
      <w:r>
        <w:rPr>
          <w:b/>
        </w:rPr>
        <w:t>REASONS FOR ARREST:</w:t>
      </w:r>
    </w:p>
    <w:p>
      <w:r>
        <w:t xml:space="preserve">1. **Cognizable offence committed:** FIR No. **FUSION-063938/2026** has been registered for offences punishable under Sections **118(2), 115(2), and 352 of the Bharatiya Nyaya Sanhita (BNS)**. The said offences, as invoked in the FIR, disclose commission of a cognizable offence warranting police intervention and investigation as per law.</w:t>
        <w:br/>
        <w:t xml:space="preserve"/>
        <w:br/>
        <w:t xml:space="preserve">2. **Evidence linking the accused to the offence:** The case documents presently available do not contain the **name/identity of the accused**, particulars of the accused’s role, or any material such as witness statements, medical records, seizure memos, or electronic/digital evidence linking any identified person to the alleged occurrence. Therefore, at this stage, **specific incriminating material against a named accused is not available in the supplied record**.</w:t>
        <w:br/>
        <w:t xml:space="preserve"/>
        <w:br/>
        <w:t xml:space="preserve">3. **Risk of absconding:** In the absence of the accused’s identity particulars, address verification, antecedents, and conduct details in the available record, **an objective assessment regarding likelihood of absconding cannot be recorded** on the basis of the documents provided.</w:t>
        <w:br/>
        <w:t xml:space="preserve"/>
        <w:br/>
        <w:t xml:space="preserve">4. **Risk of tampering with evidence / influencing witnesses:** The available documents do not reflect details of witnesses, the nature and location of physical/electronic evidence, or any prior conduct of the accused. Accordingly, **risk assessment pertaining to tampering with evidence or influencing witnesses cannot be specifically stated** on the basis of the present record.</w:t>
        <w:br/>
        <w:t xml:space="preserve"/>
        <w:br/>
        <w:t xml:space="preserve">5. **Need for custody for investigation:** As the raw records furnished do not disclose the accused’s identity, role, or the evidence collected, the investigative requirements such as **ascertainment of accused identity, verification of involvement, recovery/seizure of material objects, collection of medical/forensic and digital evidence, identification of witnesses, and confrontation with relevant materials** cannot be articulated with specificity. On the basis of the present documents alone, **grounds demonstrating necessity of custodial interrogation cannot be concretely made out**; custody, if sought, would need to be supported by case-diary material indicating specific investigative steps requiring such custody.</w:t>
      </w:r>
    </w:p>
    <w:p/>
    <w:p>
      <w:pPr>
        <w:jc w:val="center"/>
      </w:pPr>
      <w:r>
        <w:rPr>
          <w:b/>
        </w:rPr>
        <w:t>HENCE THE REMAND REPORT:</w:t>
      </w:r>
    </w:p>
    <w:p>
      <w:r>
        <w:t>It is therefore prayed that the Hon'ble Court may kindly remand the accused:</w:t>
        <w:br/>
        <w:br/>
        <w:t xml:space="preserve">[ ]</w:t>
        <w:br/>
        <w:br/>
        <w:t>to judicial custody for a period of 15 days to enable the investigating officer to complete the investigation.</w:t>
      </w:r>
    </w:p>
    <w:p/>
    <w:p>
      <w:r>
        <w:rPr>
          <w:b/>
        </w:rPr>
        <w:t>Encl:</w:t>
      </w:r>
      <w:r>
        <w:br/>
        <w:t>1. Remand application</w:t>
        <w:br/>
        <w:t>2. Case diary copies</w:t>
        <w:br/>
        <w:t>3. Section 35(3) BNSS notice copies</w:t>
      </w:r>
    </w:p>
    <w:p/>
    <w:p>
      <w:pPr>
        <w:jc w:val="right"/>
      </w:pPr>
      <w:r>
        <w:t xml:space="preserve">()</w:t>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