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FUSION-064128/2026    </w:t>
      </w:r>
      <w:r>
        <w:rPr>
          <w:b/>
        </w:rPr>
        <w:t xml:space="preserve">CD Dt: </w:t>
      </w:r>
      <w:r>
        <w:t xml:space="preserve">01.04.2026</w:t>
        <w:br/>
      </w:r>
      <w:r>
        <w:rPr>
          <w:b/>
        </w:rPr>
        <w:t xml:space="preserve">Offence u/s </w:t>
      </w:r>
      <w:r>
        <w:t xml:space="preserve">118(2), 115(2), 352 BNS</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1. On the basis of a complaint received, FIR No. **FUSION-064128/2026** was registered for investigation under Sections **118(2), 115(2) and 352 of the Bharatiya Nyaya Sanhita (BNS)**. The present case was taken up for investigation as per law and the FIR was recorded in the concerned Police Station records. The complaint pertains to an incident alleged to have occurred at the place and on the date as mentioned in the FIR/complaint record.</w:t>
        <w:br/>
        <w:t xml:space="preserve"/>
        <w:br/>
        <w:t xml:space="preserve">2. As per the contents available, the allegations in the FIR disclose commission of offences covered under the aforesaid sections, pertaining to acts involving **use of force/assault and related criminal conduct** as reflected in the invoked provisions. The nature of the offence has been recorded in the FIR as per the complaint narrative and the applicable sections were applied accordingly.</w:t>
        <w:br/>
        <w:t xml:space="preserve"/>
        <w:br/>
        <w:t xml:space="preserve">3. The identity details of the **complainant**, **accused**, as well as the specific **place of occurrence** and **date/time of occurrence**, are not provided in the documents supplied herein. Accordingly, the role attributed to the accused cannot be set out beyond the fact that the FIR has been registered against the accused person(s) for the above sections as per the complaint/FIR record.</w:t>
        <w:br/>
        <w:t xml:space="preserve"/>
        <w:br/>
        <w:t xml:space="preserve">4. The documents provided do not contain particulars of **evidence collected during investigation** (such as statements of witnesses under law, medical examination reports, scene of crime documentation, seizure memos, CCTV footage, call detail records, arrest/notice details, or other documentary/physical evidence). Hence, evidence details cannot be incorporated in this Brief Facts summary on the basis of the present material.</w:t>
        <w:br/>
        <w:t xml:space="preserve"/>
        <w:br/>
        <w:t xml:space="preserve">If you share the complaint/FIR narrative (incident description), names/addresses of complainant and accused, date/place, and any investigation papers (MLC, statements, seizure memos, CCTV/CDR, etc.), I can generate a complete 3–4 paragraph “Brief Facts” suitable for filing with the Charge Sheet.</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