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FUSION-064128/2026</w:t>
        <w:br/>
      </w:r>
      <w:r>
        <w:rPr>
          <w:b/>
        </w:rPr>
        <w:t xml:space="preserve">U/S: </w:t>
      </w:r>
      <w:r>
        <w:t xml:space="preserve">118(2), 115(2), 352 BNS</w:t>
        <w:br/>
      </w:r>
      <w:r>
        <w:rPr>
          <w:b/>
        </w:rPr>
        <w:t xml:space="preserve">Remand CD Dt: </w:t>
      </w:r>
      <w:r>
        <w:t xml:space="preserve">01.04.2026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1. On the basis of a complaint received, FIR No. **FUSION-064128/2026** was registered for investigation under Sections **118(2), 115(2) and 352 of the Bharatiya Nyaya Sanhita (BNS)**. The present case was taken up for investigation as per law and the FIR was recorded in the concerned Police Station records. The complaint pertains to an incident alleged to have occurred at the place and on the date as mentioned in the FIR/complaint record.</w:t>
        <w:br/>
        <w:t xml:space="preserve"/>
        <w:br/>
        <w:t xml:space="preserve">2. As per the contents available, the allegations in the FIR disclose commission of offences covered under the aforesaid sections, pertaining to acts involving **use of force/assault and related criminal conduct** as reflected in the invoked provisions. The nature of the offence has been recorded in the FIR as per the complaint narrative and the applicable sections were applied accordingly.</w:t>
        <w:br/>
        <w:t xml:space="preserve"/>
        <w:br/>
        <w:t xml:space="preserve">3. The identity details of the **complainant**, **accused**, as well as the specific **place of occurrence** and **date/time of occurrence**, are not provided in the documents supplied herein. Accordingly, the role attributed to the accused cannot be set out beyond the fact that the FIR has been registered against the accused person(s) for the above sections as per the complaint/FIR record.</w:t>
        <w:br/>
        <w:t xml:space="preserve"/>
        <w:br/>
        <w:t xml:space="preserve">4. The documents provided do not contain particulars of **evidence collected during investigation** (such as statements of witnesses under law, medical examination reports, scene of crime documentation, seizure memos, CCTV footage, call detail records, arrest/notice details, or other documentary/physical evidence). Hence, evidence details cannot be incorporated in this Brief Facts summary on the basis of the present material.</w:t>
        <w:br/>
        <w:t xml:space="preserve"/>
        <w:br/>
        <w:t xml:space="preserve">If you share the complaint/FIR narrative (incident description), names/addresses of complainant and accused, date/place, and any investigation papers (MLC, statements, seizure memos, CCTV/CDR, etc.), I can generate a complete 3–4 paragraph “Brief Facts” suitable for filing with the Charge Sheet.</w:t>
      </w:r>
    </w:p>
    <w:p/>
    <w:p>
      <w:pPr>
        <w:jc w:val="center"/>
      </w:pPr>
      <w:r>
        <w:rPr>
          <w:b/>
        </w:rPr>
        <w:t>REASONS FOR ARREST:</w:t>
      </w:r>
    </w:p>
    <w:p>
      <w:r>
        <w:t xml:space="preserve">1. **Cognizable offence committed:** FIR No. **FUSION-064128/2026** has been registered for investigation under Sections **118(2), 115(2) and 352 BNS** on the basis of a complaint, which discloses allegations of **use of force/assault and related criminal conduct** falling within the ambit of the said provisions. The offences invoked are cognizable in nature as registered in the FIR, warranting police action and investigation in accordance with law.</w:t>
        <w:br/>
        <w:t xml:space="preserve"/>
        <w:br/>
        <w:t xml:space="preserve">2. **Evidence linking the accused to the offence:** At present, the case papers/documents supplied do not contain the **identity particulars of the accused**, the **specific role attributed**, or supporting material such as **statements of witnesses/complainant, medical records, CCTV footage, seizure memos, or other documentary/physical evidence**. Therefore, the linkage of the accused with the alleged occurrence cannot be specifically articulated herein beyond the fact that the FIR has been registered against the accused person(s) for the above-mentioned offences as per the complaint/FIR record.</w:t>
        <w:br/>
        <w:t xml:space="preserve"/>
        <w:br/>
        <w:t xml:space="preserve">3. **Risk of absconding:** In the absence of the accused’s identity and antecedent/residential particulars, as well as details regarding cooperation with investigation (appearance, notice compliance, etc.), a specific factual assessment regarding the likelihood of absconding **cannot be recorded on the basis of the present material**.</w:t>
        <w:br/>
        <w:t xml:space="preserve"/>
        <w:br/>
        <w:t xml:space="preserve">4. **Risk of tampering with evidence or influencing witnesses:** Since the supplied documents do not disclose the nature of evidence collected, list of witnesses, or the relationship/ proximity between accused and witnesses/complainant, no specific factual basis is available to state that the accused is likely to tamper with evidence or influence/ intimidate witnesses. Hence, this ground **cannot be asserted without additional case diary material**.</w:t>
        <w:br/>
        <w:t xml:space="preserve"/>
        <w:br/>
        <w:t xml:space="preserve">5. **Need for custody for investigation:** The present record does not provide investigation requirements such as pending **recovery/seizure**, **medical examination**, **verification of place of occurrence**, **identification proceedings**, **collection of electronic evidence**, or **confrontation with witnesses**, etc. Accordingly, the necessity of custodial interrogation or police custody remand **cannot be factually substantiated** on the basis of the documents provided and would depend upon the specific investigative steps remaining as reflected in the case diary.</w:t>
        <w:br/>
        <w:t xml:space="preserve"/>
        <w:br/>
        <w:t xml:space="preserve">*Note:* If you provide (i) accused details and arrest circumstances, (ii) complainant/witness statements, (iii) MLC/injury report, (iv) CCTV/CDR/other electronic evidence, (v) any seizure/recovery details, and (vi) non-cooperation/absconding indicators, I can draft a complete “Reasons for Arrest” suitable for remand submission with specific factual grounds.</w:t>
      </w:r>
    </w:p>
    <w:p/>
    <w:p>
      <w:pPr>
        <w:jc w:val="center"/>
      </w:pPr>
      <w:r>
        <w:rPr>
          <w:b/>
        </w:rPr>
        <w:t>HENCE THE REMAND REPORT:</w:t>
      </w:r>
    </w:p>
    <w:p>
      <w:r>
        <w:t>It is therefore prayed that the Hon'ble Court may kindly remand the accused:</w:t>
        <w:br/>
        <w:br/>
        <w:t xml:space="preserve">[ ]</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