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 H A R G E – S H E E T</w:t>
      </w:r>
    </w:p>
    <w:p>
      <w:pPr>
        <w:jc w:val="center"/>
      </w:pPr>
      <w:r>
        <w:t>(UNDER SECTION 193 BNSS.)</w:t>
      </w:r>
    </w:p>
    <w:p>
      <w:pPr>
        <w:jc w:val="center"/>
      </w:pPr>
      <w:r>
        <w:rPr>
          <w:b/>
        </w:rPr>
        <w:t>IN THE COURT OF ADDL. JUDICIAL FIRST CLASS MAGISTRATE AT {{ police_station|upper 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Dist / PS / FIR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Dist.:- {{ district }} Police Station: {{ police_station }} FIR. No: {{ fir_number }} Dated: {{ fir_date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Final Report/Charge Sheet No.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chargesheet_number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current_date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Act/Sections.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sections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Type of Final Report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Charge sheet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F.R. Un occurred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07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Original/supplementary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Original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08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Names of I.O.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Sri. {{ io_name }}, {{ io_rank }} PS {{ police_station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09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of complainant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complainant_formatted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Property Recovered/Seized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property_recovered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Particulars of accused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accused_formatted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Sureties/Convictions/Absconding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Accused not charge sheeted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Witnesses to be examined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witnesses_formatted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Result of Lab Analysis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fsl_result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Brief facts of the case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brief_facts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Notice to complainant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Dispatched on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current_date }}</w:t>
            </w:r>
          </w:p>
        </w:tc>
      </w:tr>
    </w:tbl>
    <w:p/>
    <w:p>
      <w:r>
        <w:rPr>
          <w:b/>
        </w:rPr>
        <w:t xml:space="preserve">PRAYER: </w:t>
      </w:r>
      <w:r>
        <w:t>Therefore, the Hon'ble Court is prayed that the accused persons mentioned in column No. 11 may be tried and dealt with suitably as per law.</w:t>
      </w:r>
    </w:p>
    <w:p/>
    <w:p/>
    <w:p>
      <w:pPr>
        <w:jc w:val="right"/>
      </w:pPr>
      <w:r>
        <w:t>Signature of Investigation Officer</w:t>
        <w:br/>
        <w:t>{{ io_name }}</w:t>
        <w:br/>
        <w:t>{{ io_rank }}</w:t>
        <w:br/>
        <w:t>PS {{ police_station }}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